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EA537">
      <w:pPr>
        <w:spacing w:before="100" w:after="240" w:line="500" w:lineRule="exact"/>
        <w:jc w:val="center"/>
        <w:rPr>
          <w:rFonts w:ascii="仿宋" w:hAnsi="仿宋" w:eastAsia="仿宋"/>
          <w:b/>
          <w:bCs/>
          <w:color w:val="auto"/>
          <w:sz w:val="40"/>
          <w:szCs w:val="40"/>
        </w:rPr>
      </w:pPr>
      <w:r>
        <w:rPr>
          <w:rFonts w:hint="eastAsia" w:ascii="仿宋" w:hAnsi="仿宋" w:eastAsia="仿宋"/>
          <w:b/>
          <w:bCs/>
          <w:color w:val="auto"/>
          <w:sz w:val="40"/>
          <w:szCs w:val="40"/>
        </w:rPr>
        <w:t>全镇存量农村污水管网疏通养护招标公告</w:t>
      </w:r>
    </w:p>
    <w:p w14:paraId="31B50468">
      <w:pPr>
        <w:spacing w:before="100" w:after="240" w:line="500" w:lineRule="exact"/>
        <w:jc w:val="center"/>
        <w:rPr>
          <w:rFonts w:ascii="仿宋" w:hAnsi="仿宋" w:eastAsia="仿宋"/>
          <w:color w:val="auto"/>
          <w:sz w:val="24"/>
        </w:rPr>
      </w:pPr>
      <w:r>
        <w:rPr>
          <w:rFonts w:hint="eastAsia" w:ascii="仿宋" w:hAnsi="仿宋" w:eastAsia="仿宋"/>
          <w:color w:val="auto"/>
          <w:sz w:val="24"/>
        </w:rPr>
        <w:t>编号：奔（服采）2025003号</w:t>
      </w:r>
    </w:p>
    <w:p w14:paraId="06384E1A">
      <w:pPr>
        <w:overflowPunct w:val="0"/>
        <w:spacing w:line="360" w:lineRule="exact"/>
        <w:ind w:firstLine="480" w:firstLineChars="200"/>
        <w:rPr>
          <w:rFonts w:ascii="仿宋" w:hAnsi="仿宋" w:eastAsia="仿宋"/>
          <w:color w:val="auto"/>
          <w:sz w:val="24"/>
        </w:rPr>
      </w:pPr>
      <w:r>
        <w:rPr>
          <w:rFonts w:hint="eastAsia" w:ascii="仿宋" w:hAnsi="仿宋" w:eastAsia="仿宋"/>
          <w:color w:val="auto"/>
          <w:sz w:val="24"/>
        </w:rPr>
        <w:t>江苏广信工程咨询有限公司受</w:t>
      </w:r>
      <w:r>
        <w:rPr>
          <w:rFonts w:hint="eastAsia" w:ascii="仿宋" w:hAnsi="仿宋" w:eastAsia="仿宋"/>
          <w:b/>
          <w:color w:val="auto"/>
          <w:sz w:val="24"/>
          <w:u w:val="single"/>
        </w:rPr>
        <w:t>常州市新北区奔牛镇人民政府（建设管理办公室）</w:t>
      </w:r>
      <w:r>
        <w:rPr>
          <w:rFonts w:hint="eastAsia" w:ascii="仿宋" w:hAnsi="仿宋" w:eastAsia="仿宋"/>
          <w:color w:val="auto"/>
          <w:sz w:val="24"/>
        </w:rPr>
        <w:t>的委托，对该单位</w:t>
      </w:r>
      <w:r>
        <w:rPr>
          <w:rFonts w:hint="eastAsia" w:ascii="仿宋" w:hAnsi="仿宋" w:eastAsia="仿宋"/>
          <w:b/>
          <w:bCs/>
          <w:color w:val="auto"/>
          <w:sz w:val="24"/>
          <w:u w:val="single"/>
        </w:rPr>
        <w:t>全镇存量农村污水管网疏通养护</w:t>
      </w:r>
      <w:r>
        <w:rPr>
          <w:rFonts w:hint="eastAsia" w:ascii="仿宋" w:hAnsi="仿宋" w:eastAsia="仿宋"/>
          <w:color w:val="auto"/>
          <w:sz w:val="24"/>
        </w:rPr>
        <w:t>公开招标。现邀请符合条件的投标人参加本次公开招标，有关事项的具体内容通知如下：</w:t>
      </w:r>
      <w:r>
        <w:rPr>
          <w:rFonts w:ascii="仿宋" w:hAnsi="仿宋" w:eastAsia="仿宋"/>
          <w:color w:val="auto"/>
          <w:sz w:val="24"/>
        </w:rPr>
        <w:t xml:space="preserve"> </w:t>
      </w:r>
    </w:p>
    <w:p w14:paraId="4FBF473D">
      <w:pPr>
        <w:snapToGrid w:val="0"/>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一、项目基本情况</w:t>
      </w:r>
    </w:p>
    <w:p w14:paraId="6957E77F">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1.项目名称：全镇存量农村污水管网疏通养护</w:t>
      </w:r>
    </w:p>
    <w:p w14:paraId="30C7A0FE">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2.项目编号：奔（服采）2025003号</w:t>
      </w:r>
    </w:p>
    <w:p w14:paraId="396D5013">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3.项目预算：40万元</w:t>
      </w:r>
    </w:p>
    <w:p w14:paraId="75279584">
      <w:pPr>
        <w:snapToGrid w:val="0"/>
        <w:spacing w:line="360" w:lineRule="exact"/>
        <w:ind w:firstLine="720" w:firstLineChars="300"/>
        <w:rPr>
          <w:rFonts w:ascii="仿宋" w:hAnsi="仿宋" w:eastAsia="仿宋"/>
          <w:color w:val="auto"/>
          <w:sz w:val="24"/>
        </w:rPr>
      </w:pPr>
      <w:r>
        <w:rPr>
          <w:rFonts w:hint="eastAsia" w:ascii="仿宋" w:hAnsi="仿宋" w:eastAsia="仿宋"/>
          <w:color w:val="auto"/>
          <w:sz w:val="24"/>
        </w:rPr>
        <w:t>最高限价：40万元</w:t>
      </w:r>
    </w:p>
    <w:p w14:paraId="4268B94A">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4.招标范围：</w:t>
      </w:r>
    </w:p>
    <w:p w14:paraId="43B55A73">
      <w:pPr>
        <w:pStyle w:val="4"/>
        <w:snapToGrid w:val="0"/>
        <w:spacing w:before="0" w:after="0" w:line="400" w:lineRule="exact"/>
        <w:ind w:firstLine="482" w:firstLineChars="200"/>
        <w:jc w:val="left"/>
        <w:textAlignment w:val="auto"/>
        <w:outlineLvl w:val="9"/>
        <w:rPr>
          <w:rFonts w:ascii="仿宋" w:hAnsi="仿宋" w:eastAsia="仿宋"/>
          <w:color w:val="auto"/>
          <w:sz w:val="24"/>
        </w:rPr>
      </w:pPr>
      <w:r>
        <w:rPr>
          <w:rFonts w:hint="eastAsia" w:ascii="仿宋" w:hAnsi="仿宋" w:eastAsia="仿宋"/>
          <w:color w:val="auto"/>
          <w:sz w:val="24"/>
        </w:rPr>
        <w:t>本项目为全镇存量农村污水管网疏通养护，主要为奔牛镇范围内40公里农村污水管网疏通养护。</w:t>
      </w:r>
      <w:bookmarkStart w:id="0" w:name="_Toc2149"/>
    </w:p>
    <w:p w14:paraId="39A32B62">
      <w:pPr>
        <w:pStyle w:val="4"/>
        <w:snapToGrid w:val="0"/>
        <w:spacing w:before="0" w:after="0" w:line="400" w:lineRule="exact"/>
        <w:ind w:firstLine="480" w:firstLineChars="200"/>
        <w:jc w:val="left"/>
        <w:textAlignment w:val="auto"/>
        <w:outlineLvl w:val="9"/>
        <w:rPr>
          <w:rFonts w:ascii="仿宋" w:hAnsi="仿宋" w:eastAsia="仿宋"/>
          <w:b w:val="0"/>
          <w:color w:val="auto"/>
          <w:sz w:val="24"/>
        </w:rPr>
      </w:pPr>
      <w:r>
        <w:rPr>
          <w:rFonts w:hint="eastAsia" w:ascii="仿宋" w:hAnsi="仿宋" w:eastAsia="仿宋"/>
          <w:b w:val="0"/>
          <w:color w:val="auto"/>
          <w:sz w:val="24"/>
        </w:rPr>
        <w:t>根据相关要求，需对</w:t>
      </w:r>
      <w:bookmarkEnd w:id="0"/>
      <w:r>
        <w:rPr>
          <w:rFonts w:hint="eastAsia" w:ascii="仿宋" w:hAnsi="仿宋" w:eastAsia="仿宋"/>
          <w:b w:val="0"/>
          <w:color w:val="auto"/>
          <w:sz w:val="24"/>
        </w:rPr>
        <w:t>奔牛镇范围内40公里农村污水管网进行疏通养护。</w:t>
      </w:r>
    </w:p>
    <w:p w14:paraId="4FD8F6E0">
      <w:pPr>
        <w:pStyle w:val="4"/>
        <w:snapToGrid w:val="0"/>
        <w:spacing w:before="0" w:after="0" w:line="400" w:lineRule="exact"/>
        <w:ind w:firstLine="480" w:firstLineChars="200"/>
        <w:jc w:val="left"/>
        <w:textAlignment w:val="auto"/>
        <w:outlineLvl w:val="9"/>
        <w:rPr>
          <w:rFonts w:ascii="仿宋" w:hAnsi="仿宋" w:eastAsia="仿宋"/>
          <w:b w:val="0"/>
          <w:color w:val="auto"/>
          <w:sz w:val="24"/>
        </w:rPr>
      </w:pPr>
      <w:r>
        <w:rPr>
          <w:rFonts w:hint="eastAsia" w:ascii="仿宋" w:hAnsi="仿宋" w:eastAsia="仿宋"/>
          <w:b w:val="0"/>
          <w:color w:val="auto"/>
          <w:sz w:val="24"/>
        </w:rPr>
        <w:t>（一）每年至少2次对奔牛镇范围内农村污水管网进行全面摸排、清淤并形成书面报告；</w:t>
      </w:r>
    </w:p>
    <w:p w14:paraId="1FA27009">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（二）每季度至少1次对奔牛镇</w:t>
      </w:r>
      <w:r>
        <w:rPr>
          <w:rFonts w:hint="eastAsia" w:ascii="仿宋" w:hAnsi="仿宋" w:eastAsia="仿宋"/>
          <w:b w:val="0"/>
          <w:color w:val="auto"/>
          <w:sz w:val="24"/>
        </w:rPr>
        <w:t>范围内农村污水管网</w:t>
      </w:r>
      <w:r>
        <w:rPr>
          <w:rFonts w:hint="eastAsia" w:ascii="仿宋" w:hAnsi="仿宋" w:eastAsia="仿宋" w:cs="Times New Roman"/>
          <w:b w:val="0"/>
          <w:color w:val="auto"/>
          <w:sz w:val="24"/>
          <w:szCs w:val="24"/>
        </w:rPr>
        <w:t>进行全面检测并形成书面报告；</w:t>
      </w:r>
    </w:p>
    <w:p w14:paraId="656A9FED">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（三）需进行日常巡查并每周记录，每月形成书面报告；</w:t>
      </w:r>
    </w:p>
    <w:p w14:paraId="6AA67CA2">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（四）需保证奔牛镇全镇</w:t>
      </w:r>
      <w:r>
        <w:rPr>
          <w:rFonts w:hint="eastAsia" w:ascii="仿宋" w:hAnsi="仿宋" w:eastAsia="仿宋"/>
          <w:b w:val="0"/>
          <w:color w:val="auto"/>
          <w:sz w:val="24"/>
        </w:rPr>
        <w:t>范围内农村污水管网</w:t>
      </w:r>
      <w:r>
        <w:rPr>
          <w:rFonts w:hint="eastAsia" w:ascii="仿宋" w:hAnsi="仿宋" w:eastAsia="仿宋" w:cs="Times New Roman"/>
          <w:b w:val="0"/>
          <w:color w:val="auto"/>
          <w:sz w:val="24"/>
          <w:szCs w:val="24"/>
        </w:rPr>
        <w:t>通畅，如发生重大问题及时报告甲方；</w:t>
      </w:r>
    </w:p>
    <w:p w14:paraId="61BE4C38">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（五）本项目总费用内包括全镇</w:t>
      </w:r>
      <w:r>
        <w:rPr>
          <w:rFonts w:hint="eastAsia" w:ascii="仿宋" w:hAnsi="仿宋" w:eastAsia="仿宋"/>
          <w:b w:val="0"/>
          <w:color w:val="auto"/>
          <w:sz w:val="24"/>
        </w:rPr>
        <w:t>范围内农村污水管网</w:t>
      </w:r>
      <w:r>
        <w:rPr>
          <w:rFonts w:hint="eastAsia" w:ascii="仿宋" w:hAnsi="仿宋" w:eastAsia="仿宋" w:cs="Times New Roman"/>
          <w:b w:val="0"/>
          <w:color w:val="auto"/>
          <w:sz w:val="24"/>
          <w:szCs w:val="24"/>
        </w:rPr>
        <w:t>疏通管养维护、应急抢修及日常零星修缮；其中，应急抢修及日常零星修缮</w:t>
      </w:r>
      <w:r>
        <w:rPr>
          <w:rFonts w:hint="eastAsia" w:ascii="仿宋" w:hAnsi="仿宋" w:eastAsia="仿宋" w:cs="Times New Roman"/>
          <w:b w:val="0"/>
          <w:color w:val="auto"/>
          <w:sz w:val="24"/>
          <w:szCs w:val="24"/>
        </w:rPr>
        <w:t>费为12万元，</w:t>
      </w:r>
      <w:r>
        <w:rPr>
          <w:rFonts w:hint="eastAsia" w:ascii="仿宋" w:hAnsi="仿宋" w:eastAsia="仿宋" w:cs="Times New Roman"/>
          <w:b w:val="0"/>
          <w:color w:val="auto"/>
          <w:sz w:val="24"/>
          <w:szCs w:val="24"/>
        </w:rPr>
        <w:t>如使用该资金，需告知甲方并同意后进行相关工作，该项费用结算以审计结果为准。</w:t>
      </w:r>
    </w:p>
    <w:p w14:paraId="60E10CAB">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注：</w:t>
      </w:r>
    </w:p>
    <w:p w14:paraId="7AFB4732">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（一）单次修缮费用5万元及以上为应急抢修，其他均为日常零星修缮。</w:t>
      </w:r>
    </w:p>
    <w:p w14:paraId="1CF53B48">
      <w:pPr>
        <w:pStyle w:val="4"/>
        <w:numPr>
          <w:ilvl w:val="255"/>
          <w:numId w:val="0"/>
        </w:numPr>
        <w:snapToGrid w:val="0"/>
        <w:spacing w:before="0" w:after="0" w:line="400" w:lineRule="exact"/>
        <w:ind w:firstLine="480" w:firstLineChars="200"/>
        <w:jc w:val="left"/>
        <w:textAlignment w:val="auto"/>
        <w:outlineLvl w:val="9"/>
        <w:rPr>
          <w:rFonts w:ascii="仿宋" w:hAnsi="仿宋" w:eastAsia="仿宋" w:cs="Times New Roman"/>
          <w:b w:val="0"/>
          <w:color w:val="auto"/>
          <w:sz w:val="24"/>
          <w:szCs w:val="24"/>
        </w:rPr>
      </w:pPr>
      <w:r>
        <w:rPr>
          <w:rFonts w:hint="eastAsia" w:ascii="仿宋" w:hAnsi="仿宋" w:eastAsia="仿宋" w:cs="Times New Roman"/>
          <w:b w:val="0"/>
          <w:color w:val="auto"/>
          <w:sz w:val="24"/>
          <w:szCs w:val="24"/>
        </w:rPr>
        <w:t>（二）应急抢修及日常零星修缮费</w:t>
      </w:r>
      <w:r>
        <w:rPr>
          <w:rFonts w:hint="eastAsia" w:ascii="仿宋" w:hAnsi="仿宋" w:eastAsia="仿宋" w:cs="Times New Roman"/>
          <w:b w:val="0"/>
          <w:color w:val="auto"/>
          <w:sz w:val="24"/>
          <w:szCs w:val="24"/>
        </w:rPr>
        <w:t>为12万元不</w:t>
      </w:r>
      <w:r>
        <w:rPr>
          <w:rFonts w:hint="eastAsia" w:ascii="仿宋" w:hAnsi="仿宋" w:eastAsia="仿宋" w:cs="Times New Roman"/>
          <w:b w:val="0"/>
          <w:color w:val="auto"/>
          <w:sz w:val="24"/>
          <w:szCs w:val="24"/>
        </w:rPr>
        <w:t>得调整，须在报价明细表中进行报价，如未报价或调整作无效响应处理。</w:t>
      </w:r>
    </w:p>
    <w:p w14:paraId="0DAE99AE">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具体详见招标文件第三章招标要求及内容。</w:t>
      </w:r>
    </w:p>
    <w:p w14:paraId="60069DF4">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5.服务期：服务期限从签订合同起至满一年止。</w:t>
      </w:r>
    </w:p>
    <w:p w14:paraId="3E434EDD">
      <w:pPr>
        <w:snapToGrid w:val="0"/>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二、投标人的资格要求</w:t>
      </w:r>
    </w:p>
    <w:p w14:paraId="2BC02756">
      <w:pPr>
        <w:spacing w:line="360" w:lineRule="exact"/>
        <w:ind w:firstLine="480" w:firstLineChars="200"/>
        <w:rPr>
          <w:rFonts w:ascii="仿宋" w:hAnsi="仿宋" w:eastAsia="仿宋"/>
          <w:color w:val="auto"/>
          <w:sz w:val="24"/>
        </w:rPr>
      </w:pPr>
      <w:r>
        <w:rPr>
          <w:rFonts w:hint="eastAsia" w:ascii="仿宋" w:hAnsi="仿宋" w:eastAsia="仿宋"/>
          <w:color w:val="auto"/>
          <w:sz w:val="24"/>
        </w:rPr>
        <w:t>1.符合《中华人民共和国政府采购法》第二十二条规定的条件；</w:t>
      </w:r>
    </w:p>
    <w:p w14:paraId="539A02D5">
      <w:pPr>
        <w:spacing w:line="360" w:lineRule="exact"/>
        <w:ind w:firstLine="480" w:firstLineChars="200"/>
        <w:rPr>
          <w:rFonts w:ascii="仿宋" w:hAnsi="仿宋" w:eastAsia="仿宋"/>
          <w:color w:val="auto"/>
          <w:sz w:val="24"/>
        </w:rPr>
      </w:pPr>
      <w:r>
        <w:rPr>
          <w:rFonts w:hint="eastAsia" w:ascii="仿宋" w:hAnsi="仿宋" w:eastAsia="仿宋"/>
          <w:color w:val="auto"/>
          <w:sz w:val="24"/>
        </w:rPr>
        <w:t>2.其他资格要求：</w:t>
      </w:r>
    </w:p>
    <w:p w14:paraId="593D38E6">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2.1具有有效的营业执照；</w:t>
      </w:r>
    </w:p>
    <w:p w14:paraId="00793B85">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2.2投标人须具备市政公用工程施工总承包叁级及以上资质；</w:t>
      </w:r>
    </w:p>
    <w:p w14:paraId="4C6185AA">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2.3投标人的项目负责人须具有市政工程贰级及以上的建造师证书；</w:t>
      </w:r>
    </w:p>
    <w:p w14:paraId="163C66D4">
      <w:pPr>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2.4投标人须提供其与污泥接收处置单位（该处置单位须经环保部门的认可）针对本项目签订的污泥处置意向书</w:t>
      </w:r>
      <w:r>
        <w:rPr>
          <w:rFonts w:hint="eastAsia" w:ascii="仿宋" w:hAnsi="仿宋" w:eastAsia="仿宋" w:cs="仿宋"/>
          <w:color w:val="auto"/>
          <w:sz w:val="24"/>
        </w:rPr>
        <w:t>（在有效期内）</w:t>
      </w:r>
      <w:r>
        <w:rPr>
          <w:rFonts w:hint="eastAsia" w:ascii="仿宋" w:hAnsi="仿宋" w:eastAsia="仿宋" w:cs="仿宋"/>
          <w:color w:val="auto"/>
          <w:sz w:val="24"/>
        </w:rPr>
        <w:t>，且污泥处理处置单位近三年内无重大违法记录或不良行为记录或受过行政处罚（另须提供污泥处理处置单位</w:t>
      </w:r>
      <w:bookmarkStart w:id="1" w:name="_Hlk97558329"/>
      <w:r>
        <w:rPr>
          <w:rFonts w:hint="eastAsia" w:ascii="仿宋" w:hAnsi="仿宋" w:eastAsia="仿宋" w:cs="仿宋"/>
          <w:color w:val="auto"/>
          <w:sz w:val="24"/>
        </w:rPr>
        <w:t>营业执照及资质证书、污泥处置意向书复印件并加盖招标人公章</w:t>
      </w:r>
      <w:bookmarkEnd w:id="1"/>
      <w:r>
        <w:rPr>
          <w:rFonts w:hint="eastAsia" w:ascii="仿宋" w:hAnsi="仿宋" w:eastAsia="仿宋" w:cs="仿宋"/>
          <w:color w:val="auto"/>
          <w:sz w:val="24"/>
        </w:rPr>
        <w:t>，否则作无效响应处理）。</w:t>
      </w:r>
    </w:p>
    <w:p w14:paraId="0CAF2A49">
      <w:pPr>
        <w:spacing w:line="360" w:lineRule="exact"/>
        <w:ind w:firstLine="480" w:firstLineChars="200"/>
        <w:rPr>
          <w:rFonts w:ascii="仿宋" w:hAnsi="仿宋" w:eastAsia="仿宋"/>
          <w:color w:val="auto"/>
          <w:sz w:val="24"/>
        </w:rPr>
      </w:pPr>
      <w:r>
        <w:rPr>
          <w:rFonts w:hint="eastAsia" w:ascii="仿宋" w:hAnsi="仿宋" w:eastAsia="仿宋"/>
          <w:color w:val="auto"/>
          <w:sz w:val="24"/>
        </w:rPr>
        <w:t>3.未被“信用中国”网站或“中国政府采购网”网站列入失信被执行人、重大税收违法案件当事人名单、政府采购严重失信行为记录名单；</w:t>
      </w:r>
    </w:p>
    <w:p w14:paraId="588BAA76">
      <w:pPr>
        <w:spacing w:line="360" w:lineRule="exact"/>
        <w:ind w:firstLine="480" w:firstLineChars="200"/>
        <w:rPr>
          <w:rFonts w:ascii="仿宋" w:hAnsi="仿宋" w:eastAsia="仿宋"/>
          <w:color w:val="auto"/>
          <w:sz w:val="24"/>
        </w:rPr>
      </w:pPr>
      <w:r>
        <w:rPr>
          <w:rFonts w:hint="eastAsia" w:ascii="仿宋" w:hAnsi="仿宋" w:eastAsia="仿宋"/>
          <w:color w:val="auto"/>
          <w:sz w:val="24"/>
        </w:rPr>
        <w:t>4.本次招标不接受联合体投标。</w:t>
      </w:r>
    </w:p>
    <w:p w14:paraId="6DEE187F">
      <w:pPr>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三、报名及招标文件的获取</w:t>
      </w:r>
    </w:p>
    <w:p w14:paraId="49D5CB98">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1.报名</w:t>
      </w:r>
    </w:p>
    <w:p w14:paraId="3FBE0763">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1.1</w:t>
      </w:r>
      <w:r>
        <w:rPr>
          <w:rFonts w:ascii="仿宋" w:hAnsi="仿宋" w:eastAsia="仿宋"/>
          <w:color w:val="auto"/>
          <w:sz w:val="24"/>
        </w:rPr>
        <w:t>本</w:t>
      </w:r>
      <w:r>
        <w:rPr>
          <w:rFonts w:hint="eastAsia" w:ascii="仿宋" w:hAnsi="仿宋" w:eastAsia="仿宋"/>
          <w:color w:val="auto"/>
          <w:sz w:val="24"/>
        </w:rPr>
        <w:t>项目</w:t>
      </w:r>
      <w:r>
        <w:rPr>
          <w:rFonts w:ascii="仿宋" w:hAnsi="仿宋" w:eastAsia="仿宋"/>
          <w:color w:val="auto"/>
          <w:sz w:val="24"/>
        </w:rPr>
        <w:t>只接受现场报名，投标人须携带以下材料至奔牛镇招标办公室报名：</w:t>
      </w:r>
    </w:p>
    <w:p w14:paraId="4769044D">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（1）企业法人营业执照副本（复印件加盖公章）；</w:t>
      </w:r>
    </w:p>
    <w:p w14:paraId="1B270E56">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（2）法定代表人身份证明书（原件）、授权委托书（原件）、法定代表人及委托代理人身份证（复印件加盖公章）（格式详见本公告附件）；</w:t>
      </w:r>
    </w:p>
    <w:p w14:paraId="4AF1EB05">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（3）企业资质证书、项目负责人资格证书等招标公告中要求提供的材料；</w:t>
      </w:r>
    </w:p>
    <w:p w14:paraId="56972FCC">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（4）投标报名申请表（原件）（格式详见本公告附件）。</w:t>
      </w:r>
    </w:p>
    <w:p w14:paraId="06AA8B17">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1.2投标人报名时可到新北区奔牛镇招标办公室查阅或咨询招标公告相关内容，及时了解项目的相关招标事宜。</w:t>
      </w:r>
    </w:p>
    <w:p w14:paraId="02798C63">
      <w:pPr>
        <w:snapToGrid w:val="0"/>
        <w:spacing w:line="360" w:lineRule="exact"/>
        <w:ind w:firstLine="480" w:firstLineChars="200"/>
        <w:jc w:val="left"/>
        <w:rPr>
          <w:rFonts w:ascii="仿宋" w:hAnsi="仿宋" w:eastAsia="仿宋"/>
          <w:color w:val="auto"/>
          <w:sz w:val="24"/>
        </w:rPr>
      </w:pPr>
      <w:r>
        <w:rPr>
          <w:rFonts w:hint="eastAsia" w:ascii="仿宋" w:hAnsi="仿宋" w:eastAsia="仿宋"/>
          <w:color w:val="auto"/>
          <w:sz w:val="24"/>
        </w:rPr>
        <w:t>1.3</w:t>
      </w:r>
      <w:r>
        <w:rPr>
          <w:rFonts w:ascii="仿宋" w:hAnsi="仿宋" w:eastAsia="仿宋"/>
          <w:color w:val="auto"/>
          <w:sz w:val="24"/>
        </w:rPr>
        <w:t>报名期限：</w:t>
      </w:r>
      <w:r>
        <w:rPr>
          <w:rFonts w:hint="eastAsia" w:ascii="仿宋" w:hAnsi="仿宋" w:eastAsia="仿宋"/>
          <w:color w:val="auto"/>
          <w:sz w:val="24"/>
        </w:rPr>
        <w:t>2025</w:t>
      </w:r>
      <w:r>
        <w:rPr>
          <w:rFonts w:ascii="仿宋" w:hAnsi="仿宋" w:eastAsia="仿宋"/>
          <w:color w:val="auto"/>
          <w:sz w:val="24"/>
        </w:rPr>
        <w:t>年</w:t>
      </w:r>
      <w:r>
        <w:rPr>
          <w:rFonts w:hint="eastAsia" w:ascii="仿宋" w:hAnsi="仿宋" w:eastAsia="仿宋"/>
          <w:color w:val="auto"/>
          <w:sz w:val="24"/>
        </w:rPr>
        <w:t>3月10日至2025</w:t>
      </w:r>
      <w:r>
        <w:rPr>
          <w:rFonts w:ascii="仿宋" w:hAnsi="仿宋" w:eastAsia="仿宋"/>
          <w:color w:val="auto"/>
          <w:sz w:val="24"/>
        </w:rPr>
        <w:t>年</w:t>
      </w:r>
      <w:r>
        <w:rPr>
          <w:rFonts w:hint="eastAsia" w:ascii="仿宋" w:hAnsi="仿宋" w:eastAsia="仿宋"/>
          <w:color w:val="auto"/>
          <w:sz w:val="24"/>
        </w:rPr>
        <w:t>3月12日</w:t>
      </w:r>
      <w:r>
        <w:rPr>
          <w:rFonts w:ascii="仿宋" w:hAnsi="仿宋" w:eastAsia="仿宋"/>
          <w:color w:val="auto"/>
          <w:sz w:val="24"/>
        </w:rPr>
        <w:t>（</w:t>
      </w:r>
      <w:r>
        <w:rPr>
          <w:rFonts w:hint="eastAsia" w:ascii="仿宋" w:hAnsi="仿宋" w:eastAsia="仿宋"/>
          <w:color w:val="auto"/>
          <w:sz w:val="24"/>
        </w:rPr>
        <w:t>工作日</w:t>
      </w:r>
      <w:r>
        <w:rPr>
          <w:rFonts w:ascii="仿宋" w:hAnsi="仿宋" w:eastAsia="仿宋"/>
          <w:color w:val="auto"/>
          <w:sz w:val="24"/>
        </w:rPr>
        <w:t>9</w:t>
      </w:r>
      <w:r>
        <w:rPr>
          <w:rFonts w:hint="eastAsia" w:ascii="仿宋" w:hAnsi="仿宋" w:eastAsia="仿宋"/>
          <w:color w:val="auto"/>
          <w:sz w:val="24"/>
        </w:rPr>
        <w:t>:</w:t>
      </w:r>
      <w:r>
        <w:rPr>
          <w:rFonts w:ascii="仿宋" w:hAnsi="仿宋" w:eastAsia="仿宋"/>
          <w:color w:val="auto"/>
          <w:sz w:val="24"/>
        </w:rPr>
        <w:t>00-1</w:t>
      </w:r>
      <w:r>
        <w:rPr>
          <w:rFonts w:hint="eastAsia" w:ascii="仿宋" w:hAnsi="仿宋" w:eastAsia="仿宋"/>
          <w:color w:val="auto"/>
          <w:sz w:val="24"/>
        </w:rPr>
        <w:t>1:3</w:t>
      </w:r>
      <w:r>
        <w:rPr>
          <w:rFonts w:ascii="仿宋" w:hAnsi="仿宋" w:eastAsia="仿宋"/>
          <w:color w:val="auto"/>
          <w:sz w:val="24"/>
        </w:rPr>
        <w:t>0</w:t>
      </w:r>
      <w:r>
        <w:rPr>
          <w:rFonts w:hint="eastAsia" w:ascii="仿宋" w:hAnsi="仿宋" w:eastAsia="仿宋"/>
          <w:color w:val="auto"/>
          <w:sz w:val="24"/>
        </w:rPr>
        <w:t>,13:30-16:00</w:t>
      </w:r>
      <w:r>
        <w:rPr>
          <w:rFonts w:ascii="仿宋" w:hAnsi="仿宋" w:eastAsia="仿宋"/>
          <w:color w:val="auto"/>
          <w:sz w:val="24"/>
        </w:rPr>
        <w:t>）</w:t>
      </w:r>
    </w:p>
    <w:p w14:paraId="0F399C6D">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1.4报名地点：奔牛镇招标办公室（镇政府大院西三楼302室、304室）</w:t>
      </w:r>
    </w:p>
    <w:p w14:paraId="6D67E9B5">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1.5招标文件（纸质材料）费收取：报名资料递交成功后，现场缴纳200元/标段（只接受现金，不接受其他方式的缴纳）</w:t>
      </w:r>
    </w:p>
    <w:p w14:paraId="1B16CA30">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2.招标文件的获取</w:t>
      </w:r>
    </w:p>
    <w:p w14:paraId="5B7B68F0">
      <w:pPr>
        <w:spacing w:line="360" w:lineRule="exact"/>
        <w:ind w:firstLine="480" w:firstLineChars="200"/>
        <w:rPr>
          <w:rFonts w:ascii="仿宋" w:hAnsi="仿宋" w:eastAsia="仿宋"/>
          <w:color w:val="auto"/>
          <w:sz w:val="24"/>
        </w:rPr>
      </w:pPr>
      <w:r>
        <w:rPr>
          <w:rFonts w:hint="eastAsia" w:ascii="仿宋" w:hAnsi="仿宋" w:eastAsia="仿宋"/>
          <w:color w:val="auto"/>
          <w:sz w:val="24"/>
        </w:rPr>
        <w:t>报名成功后，①纸质版招标文件资料现场领取；②电子版招标文件统一发送至报名邮箱地址（见报名表），请仔细核对邮箱地址，如因投标人所留信息错误导致未收到招标文件等相关招标资料，则后果自负。</w:t>
      </w:r>
    </w:p>
    <w:p w14:paraId="3A3A4811">
      <w:pPr>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四、投标文件递交</w:t>
      </w:r>
    </w:p>
    <w:p w14:paraId="060F3D06">
      <w:pPr>
        <w:spacing w:line="360" w:lineRule="exact"/>
        <w:ind w:firstLine="480" w:firstLineChars="200"/>
        <w:rPr>
          <w:rFonts w:ascii="仿宋" w:hAnsi="仿宋" w:eastAsia="仿宋"/>
          <w:color w:val="auto"/>
          <w:sz w:val="24"/>
        </w:rPr>
      </w:pPr>
      <w:r>
        <w:rPr>
          <w:rFonts w:hint="eastAsia" w:ascii="仿宋" w:hAnsi="仿宋" w:eastAsia="仿宋"/>
          <w:color w:val="auto"/>
          <w:sz w:val="24"/>
        </w:rPr>
        <w:t>截止时间：2025年3月24日15点45分（北京时间）</w:t>
      </w:r>
    </w:p>
    <w:p w14:paraId="19E6CBF3">
      <w:pPr>
        <w:spacing w:line="360" w:lineRule="exact"/>
        <w:ind w:firstLine="480" w:firstLineChars="200"/>
        <w:rPr>
          <w:rFonts w:ascii="仿宋" w:hAnsi="仿宋" w:eastAsia="仿宋"/>
          <w:color w:val="auto"/>
          <w:sz w:val="24"/>
        </w:rPr>
      </w:pPr>
      <w:r>
        <w:rPr>
          <w:rFonts w:hint="eastAsia" w:ascii="仿宋" w:hAnsi="仿宋" w:eastAsia="仿宋"/>
          <w:color w:val="auto"/>
          <w:sz w:val="24"/>
        </w:rPr>
        <w:t>地点：新北区奔牛镇招标办公室（奔牛镇人民政府西302室）</w:t>
      </w:r>
    </w:p>
    <w:p w14:paraId="05E248D6">
      <w:pPr>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五、</w:t>
      </w:r>
      <w:r>
        <w:rPr>
          <w:rFonts w:hint="eastAsia" w:ascii="仿宋" w:hAnsi="仿宋" w:eastAsia="仿宋"/>
          <w:b/>
          <w:bCs/>
          <w:color w:val="auto"/>
          <w:sz w:val="24"/>
        </w:rPr>
        <w:t>开标</w:t>
      </w:r>
    </w:p>
    <w:p w14:paraId="4FC175F4">
      <w:pPr>
        <w:spacing w:line="360" w:lineRule="exact"/>
        <w:ind w:firstLine="480" w:firstLineChars="200"/>
        <w:rPr>
          <w:rFonts w:ascii="仿宋" w:hAnsi="仿宋" w:eastAsia="仿宋"/>
          <w:color w:val="auto"/>
          <w:sz w:val="24"/>
        </w:rPr>
      </w:pPr>
      <w:r>
        <w:rPr>
          <w:rFonts w:hint="eastAsia" w:ascii="仿宋" w:hAnsi="仿宋" w:eastAsia="仿宋"/>
          <w:color w:val="auto"/>
          <w:sz w:val="24"/>
        </w:rPr>
        <w:t>时间：</w:t>
      </w:r>
      <w:r>
        <w:rPr>
          <w:rFonts w:hint="eastAsia" w:ascii="仿宋" w:hAnsi="仿宋" w:eastAsia="仿宋"/>
          <w:color w:val="auto"/>
          <w:sz w:val="24"/>
        </w:rPr>
        <w:t>2025年3月24日15点45分（</w:t>
      </w:r>
      <w:bookmarkStart w:id="7" w:name="_GoBack"/>
      <w:bookmarkEnd w:id="7"/>
      <w:r>
        <w:rPr>
          <w:rFonts w:hint="eastAsia" w:ascii="仿宋" w:hAnsi="仿宋" w:eastAsia="仿宋"/>
          <w:color w:val="auto"/>
          <w:sz w:val="24"/>
        </w:rPr>
        <w:t>北京时间）</w:t>
      </w:r>
    </w:p>
    <w:p w14:paraId="57240264">
      <w:pPr>
        <w:spacing w:line="360" w:lineRule="exact"/>
        <w:ind w:firstLine="480" w:firstLineChars="200"/>
        <w:rPr>
          <w:rFonts w:ascii="仿宋" w:hAnsi="仿宋" w:eastAsia="仿宋"/>
          <w:color w:val="auto"/>
          <w:sz w:val="24"/>
        </w:rPr>
      </w:pPr>
      <w:r>
        <w:rPr>
          <w:rFonts w:hint="eastAsia" w:ascii="仿宋" w:hAnsi="仿宋" w:eastAsia="仿宋"/>
          <w:color w:val="auto"/>
          <w:sz w:val="24"/>
        </w:rPr>
        <w:t>地点：新北区奔牛镇招标办公室（奔牛镇人民政府西302室）</w:t>
      </w:r>
    </w:p>
    <w:p w14:paraId="58AFC03C">
      <w:pPr>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六、公告期限</w:t>
      </w:r>
    </w:p>
    <w:p w14:paraId="65380605">
      <w:pPr>
        <w:spacing w:line="360" w:lineRule="exact"/>
        <w:ind w:firstLine="480" w:firstLineChars="200"/>
        <w:rPr>
          <w:rFonts w:ascii="仿宋" w:hAnsi="仿宋" w:eastAsia="仿宋"/>
          <w:color w:val="auto"/>
          <w:sz w:val="24"/>
        </w:rPr>
      </w:pPr>
      <w:r>
        <w:rPr>
          <w:rFonts w:ascii="仿宋" w:hAnsi="仿宋" w:eastAsia="仿宋"/>
          <w:color w:val="auto"/>
          <w:sz w:val="24"/>
        </w:rPr>
        <w:t>本公告发布时间为</w:t>
      </w:r>
      <w:r>
        <w:rPr>
          <w:rFonts w:ascii="仿宋" w:hAnsi="仿宋" w:eastAsia="仿宋"/>
          <w:color w:val="auto"/>
          <w:sz w:val="24"/>
        </w:rPr>
        <w:t>202</w:t>
      </w:r>
      <w:r>
        <w:rPr>
          <w:rFonts w:hint="eastAsia" w:ascii="仿宋" w:hAnsi="仿宋" w:eastAsia="仿宋"/>
          <w:color w:val="auto"/>
          <w:sz w:val="24"/>
        </w:rPr>
        <w:t>5</w:t>
      </w:r>
      <w:r>
        <w:rPr>
          <w:rFonts w:ascii="仿宋" w:hAnsi="仿宋" w:eastAsia="仿宋"/>
          <w:color w:val="auto"/>
          <w:sz w:val="24"/>
        </w:rPr>
        <w:t>年</w:t>
      </w:r>
      <w:r>
        <w:rPr>
          <w:rFonts w:hint="eastAsia" w:ascii="仿宋" w:hAnsi="仿宋" w:eastAsia="仿宋"/>
          <w:color w:val="auto"/>
          <w:sz w:val="24"/>
        </w:rPr>
        <w:t>3</w:t>
      </w:r>
      <w:r>
        <w:rPr>
          <w:rFonts w:ascii="仿宋" w:hAnsi="仿宋" w:eastAsia="仿宋"/>
          <w:color w:val="auto"/>
          <w:sz w:val="24"/>
        </w:rPr>
        <w:t>月</w:t>
      </w:r>
      <w:r>
        <w:rPr>
          <w:rFonts w:hint="eastAsia" w:ascii="仿宋" w:hAnsi="仿宋" w:eastAsia="仿宋"/>
          <w:color w:val="auto"/>
          <w:sz w:val="24"/>
        </w:rPr>
        <w:t>10</w:t>
      </w:r>
      <w:r>
        <w:rPr>
          <w:rFonts w:ascii="仿宋" w:hAnsi="仿宋" w:eastAsia="仿宋"/>
          <w:color w:val="auto"/>
          <w:sz w:val="24"/>
        </w:rPr>
        <w:t>日至202</w:t>
      </w:r>
      <w:r>
        <w:rPr>
          <w:rFonts w:hint="eastAsia" w:ascii="仿宋" w:hAnsi="仿宋" w:eastAsia="仿宋"/>
          <w:color w:val="auto"/>
          <w:sz w:val="24"/>
        </w:rPr>
        <w:t>5</w:t>
      </w:r>
      <w:r>
        <w:rPr>
          <w:rFonts w:ascii="仿宋" w:hAnsi="仿宋" w:eastAsia="仿宋"/>
          <w:color w:val="auto"/>
          <w:sz w:val="24"/>
        </w:rPr>
        <w:t>年</w:t>
      </w:r>
      <w:r>
        <w:rPr>
          <w:rFonts w:hint="eastAsia" w:ascii="仿宋" w:hAnsi="仿宋" w:eastAsia="仿宋"/>
          <w:color w:val="auto"/>
          <w:sz w:val="24"/>
        </w:rPr>
        <w:t>3</w:t>
      </w:r>
      <w:r>
        <w:rPr>
          <w:rFonts w:ascii="仿宋" w:hAnsi="仿宋" w:eastAsia="仿宋"/>
          <w:color w:val="auto"/>
          <w:sz w:val="24"/>
        </w:rPr>
        <w:t>月</w:t>
      </w:r>
      <w:r>
        <w:rPr>
          <w:rFonts w:hint="eastAsia" w:ascii="仿宋" w:hAnsi="仿宋" w:eastAsia="仿宋"/>
          <w:color w:val="auto"/>
          <w:sz w:val="24"/>
        </w:rPr>
        <w:t>12</w:t>
      </w:r>
      <w:r>
        <w:rPr>
          <w:rFonts w:ascii="仿宋" w:hAnsi="仿宋" w:eastAsia="仿宋"/>
          <w:color w:val="auto"/>
          <w:sz w:val="24"/>
        </w:rPr>
        <w:t>日</w:t>
      </w:r>
    </w:p>
    <w:p w14:paraId="352817B2">
      <w:pPr>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七、其他补充事宜</w:t>
      </w:r>
    </w:p>
    <w:p w14:paraId="7069035B">
      <w:pPr>
        <w:spacing w:line="360" w:lineRule="exact"/>
        <w:ind w:firstLine="480" w:firstLineChars="200"/>
        <w:rPr>
          <w:rFonts w:ascii="仿宋" w:hAnsi="仿宋" w:eastAsia="仿宋"/>
          <w:color w:val="auto"/>
          <w:sz w:val="24"/>
        </w:rPr>
      </w:pPr>
      <w:r>
        <w:rPr>
          <w:rFonts w:hint="eastAsia" w:ascii="仿宋" w:hAnsi="仿宋" w:eastAsia="仿宋"/>
          <w:color w:val="auto"/>
          <w:sz w:val="24"/>
        </w:rPr>
        <w:t>1.投标保证金缴纳：</w:t>
      </w:r>
      <w:bookmarkStart w:id="2" w:name="_Hlk44623569"/>
      <w:r>
        <w:rPr>
          <w:rFonts w:hint="eastAsia" w:ascii="仿宋" w:hAnsi="仿宋" w:eastAsia="仿宋"/>
          <w:color w:val="auto"/>
          <w:sz w:val="24"/>
        </w:rPr>
        <w:t>8000元（投标保证金缴纳账户户名、账号、开户银行、缴纳方式及缴纳截止时间等详见招标文件）</w:t>
      </w:r>
      <w:bookmarkEnd w:id="2"/>
    </w:p>
    <w:p w14:paraId="3A793AF9">
      <w:pPr>
        <w:spacing w:line="360" w:lineRule="exact"/>
        <w:ind w:firstLine="480" w:firstLineChars="200"/>
        <w:rPr>
          <w:rFonts w:ascii="仿宋" w:hAnsi="仿宋" w:eastAsia="仿宋"/>
          <w:color w:val="auto"/>
          <w:sz w:val="24"/>
        </w:rPr>
      </w:pPr>
      <w:r>
        <w:rPr>
          <w:rFonts w:hint="eastAsia" w:ascii="仿宋" w:hAnsi="仿宋" w:eastAsia="仿宋"/>
          <w:color w:val="auto"/>
          <w:sz w:val="24"/>
        </w:rPr>
        <w:t>2.勘查现场及标前答疑会</w:t>
      </w:r>
    </w:p>
    <w:p w14:paraId="599849B2">
      <w:pPr>
        <w:spacing w:line="360" w:lineRule="exact"/>
        <w:ind w:firstLine="480" w:firstLineChars="200"/>
        <w:rPr>
          <w:rFonts w:ascii="仿宋" w:hAnsi="仿宋" w:eastAsia="仿宋"/>
          <w:color w:val="auto"/>
          <w:sz w:val="24"/>
        </w:rPr>
      </w:pPr>
      <w:r>
        <w:rPr>
          <w:rFonts w:hint="eastAsia" w:ascii="仿宋" w:hAnsi="仿宋" w:eastAsia="仿宋"/>
          <w:color w:val="auto"/>
          <w:sz w:val="24"/>
        </w:rPr>
        <w:t>投标人自行现场勘查，现场勘查回执单须经招标人盖章。（投标人如未提供现场勘查回执单原件则视为资审不通过）</w:t>
      </w:r>
    </w:p>
    <w:p w14:paraId="58B23016">
      <w:pPr>
        <w:spacing w:line="360" w:lineRule="exact"/>
        <w:ind w:firstLine="480" w:firstLineChars="200"/>
        <w:rPr>
          <w:rFonts w:ascii="仿宋" w:hAnsi="仿宋" w:eastAsia="仿宋"/>
          <w:color w:val="auto"/>
          <w:sz w:val="24"/>
        </w:rPr>
      </w:pPr>
      <w:r>
        <w:rPr>
          <w:rFonts w:hint="eastAsia" w:ascii="仿宋" w:hAnsi="仿宋" w:eastAsia="仿宋"/>
          <w:color w:val="auto"/>
          <w:sz w:val="24"/>
        </w:rPr>
        <w:t>现场勘查时间：</w:t>
      </w:r>
      <w:r>
        <w:rPr>
          <w:rFonts w:hint="eastAsia" w:ascii="仿宋" w:hAnsi="仿宋" w:eastAsia="仿宋"/>
          <w:color w:val="auto"/>
          <w:sz w:val="24"/>
        </w:rPr>
        <w:t>2025年3月14日15:00-16:00。</w:t>
      </w:r>
    </w:p>
    <w:p w14:paraId="091EA8FE">
      <w:pPr>
        <w:spacing w:line="360" w:lineRule="exact"/>
        <w:ind w:firstLine="480" w:firstLineChars="200"/>
        <w:rPr>
          <w:rFonts w:ascii="仿宋" w:hAnsi="仿宋" w:eastAsia="仿宋"/>
          <w:color w:val="auto"/>
          <w:sz w:val="24"/>
        </w:rPr>
      </w:pPr>
      <w:r>
        <w:rPr>
          <w:rFonts w:hint="eastAsia" w:ascii="仿宋" w:hAnsi="仿宋" w:eastAsia="仿宋"/>
          <w:color w:val="auto"/>
          <w:sz w:val="24"/>
        </w:rPr>
        <w:t>联系人：黄科        电话19919912600</w:t>
      </w:r>
    </w:p>
    <w:p w14:paraId="0BB70728">
      <w:pPr>
        <w:spacing w:line="360" w:lineRule="exact"/>
        <w:ind w:firstLine="480" w:firstLineChars="200"/>
        <w:rPr>
          <w:rFonts w:ascii="仿宋" w:hAnsi="仿宋" w:eastAsia="仿宋"/>
          <w:color w:val="auto"/>
          <w:sz w:val="24"/>
        </w:rPr>
      </w:pPr>
      <w:r>
        <w:rPr>
          <w:rFonts w:hint="eastAsia" w:ascii="仿宋" w:hAnsi="仿宋" w:eastAsia="仿宋"/>
          <w:color w:val="auto"/>
          <w:sz w:val="24"/>
        </w:rPr>
        <w:t>本项目不召开标前答疑会，投标人对招标文件如有疑问，请将疑问于</w:t>
      </w:r>
      <w:r>
        <w:rPr>
          <w:rFonts w:hint="eastAsia" w:ascii="仿宋" w:hAnsi="仿宋" w:eastAsia="仿宋"/>
          <w:color w:val="auto"/>
          <w:sz w:val="24"/>
        </w:rPr>
        <w:t>2025</w:t>
      </w:r>
      <w:r>
        <w:rPr>
          <w:rFonts w:ascii="仿宋" w:hAnsi="仿宋" w:eastAsia="仿宋"/>
          <w:color w:val="auto"/>
          <w:sz w:val="24"/>
        </w:rPr>
        <w:t>年</w:t>
      </w:r>
      <w:r>
        <w:rPr>
          <w:rFonts w:hint="eastAsia" w:ascii="仿宋" w:hAnsi="仿宋" w:eastAsia="仿宋"/>
          <w:color w:val="auto"/>
          <w:sz w:val="24"/>
        </w:rPr>
        <w:t>3</w:t>
      </w:r>
      <w:r>
        <w:rPr>
          <w:rFonts w:ascii="仿宋" w:hAnsi="仿宋" w:eastAsia="仿宋"/>
          <w:color w:val="auto"/>
          <w:sz w:val="24"/>
        </w:rPr>
        <w:t>月</w:t>
      </w:r>
      <w:r>
        <w:rPr>
          <w:rFonts w:hint="eastAsia" w:ascii="仿宋" w:hAnsi="仿宋" w:eastAsia="仿宋"/>
          <w:color w:val="auto"/>
          <w:sz w:val="24"/>
        </w:rPr>
        <w:t>17</w:t>
      </w:r>
      <w:r>
        <w:rPr>
          <w:rFonts w:ascii="仿宋" w:hAnsi="仿宋" w:eastAsia="仿宋"/>
          <w:color w:val="auto"/>
          <w:sz w:val="24"/>
        </w:rPr>
        <w:t>日11:00</w:t>
      </w:r>
      <w:r>
        <w:rPr>
          <w:rFonts w:hint="eastAsia" w:ascii="仿宋" w:hAnsi="仿宋" w:eastAsia="仿宋"/>
          <w:color w:val="auto"/>
          <w:sz w:val="24"/>
        </w:rPr>
        <w:t>（北京时间）前以书面形式递交至江苏广信工程咨询有限公司。</w:t>
      </w:r>
    </w:p>
    <w:p w14:paraId="07B6AFF6">
      <w:pPr>
        <w:snapToGrid w:val="0"/>
        <w:spacing w:line="360" w:lineRule="exact"/>
        <w:ind w:firstLine="482" w:firstLineChars="200"/>
        <w:rPr>
          <w:rFonts w:ascii="仿宋" w:hAnsi="仿宋" w:eastAsia="仿宋"/>
          <w:b/>
          <w:bCs/>
          <w:color w:val="auto"/>
          <w:sz w:val="24"/>
        </w:rPr>
      </w:pPr>
      <w:r>
        <w:rPr>
          <w:rFonts w:hint="eastAsia" w:ascii="仿宋" w:hAnsi="仿宋" w:eastAsia="仿宋"/>
          <w:b/>
          <w:bCs/>
          <w:color w:val="auto"/>
          <w:sz w:val="24"/>
        </w:rPr>
        <w:t>八、联系方式</w:t>
      </w:r>
    </w:p>
    <w:p w14:paraId="7B909913">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1.招标人信息</w:t>
      </w:r>
    </w:p>
    <w:p w14:paraId="2ED8C4C8">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名  称：常州市新北区奔牛镇人民政府（建设管理办公室）</w:t>
      </w:r>
    </w:p>
    <w:p w14:paraId="31D33227">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地  址：新北区奔牛镇招标办公室</w:t>
      </w:r>
    </w:p>
    <w:p w14:paraId="070ABC00">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联系人：叶科0519-83217918、周科0519-83212819</w:t>
      </w:r>
    </w:p>
    <w:p w14:paraId="41C8DCE0">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2.招标代理机构信息</w:t>
      </w:r>
    </w:p>
    <w:p w14:paraId="0CD82EB7">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名  称：江苏广信工程咨询有限公司</w:t>
      </w:r>
    </w:p>
    <w:p w14:paraId="6DE0C0C5">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地  址：常州市新北区泰山路178号3楼</w:t>
      </w:r>
    </w:p>
    <w:p w14:paraId="0D23E4C8">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联系人：周工0519-86686070</w:t>
      </w:r>
    </w:p>
    <w:p w14:paraId="6A290634">
      <w:pPr>
        <w:snapToGrid w:val="0"/>
        <w:spacing w:line="360" w:lineRule="exact"/>
        <w:ind w:firstLine="480" w:firstLineChars="200"/>
        <w:rPr>
          <w:rFonts w:ascii="仿宋" w:hAnsi="仿宋" w:eastAsia="仿宋"/>
          <w:color w:val="auto"/>
          <w:sz w:val="24"/>
        </w:rPr>
      </w:pPr>
      <w:r>
        <w:rPr>
          <w:rFonts w:hint="eastAsia" w:ascii="仿宋" w:hAnsi="仿宋" w:eastAsia="仿宋"/>
          <w:color w:val="auto"/>
          <w:sz w:val="24"/>
        </w:rPr>
        <w:t>上述个人信息由于工作需要经机构或本人同意对外公布。</w:t>
      </w:r>
    </w:p>
    <w:p w14:paraId="6515AA03">
      <w:pPr>
        <w:snapToGrid w:val="0"/>
        <w:spacing w:line="500" w:lineRule="exact"/>
        <w:ind w:firstLine="480" w:firstLineChars="200"/>
        <w:rPr>
          <w:rFonts w:ascii="仿宋" w:hAnsi="仿宋" w:eastAsia="仿宋"/>
          <w:color w:val="auto"/>
          <w:sz w:val="24"/>
        </w:rPr>
      </w:pPr>
    </w:p>
    <w:p w14:paraId="4FAC6715">
      <w:pPr>
        <w:rPr>
          <w:rFonts w:ascii="仿宋" w:hAnsi="仿宋" w:eastAsia="仿宋"/>
          <w:color w:val="auto"/>
          <w:sz w:val="24"/>
        </w:rPr>
      </w:pPr>
      <w:r>
        <w:rPr>
          <w:rFonts w:hint="eastAsia" w:ascii="仿宋" w:hAnsi="仿宋" w:eastAsia="仿宋"/>
          <w:color w:val="auto"/>
          <w:sz w:val="24"/>
        </w:rPr>
        <w:br w:type="page"/>
      </w:r>
    </w:p>
    <w:p w14:paraId="17CD4857">
      <w:pPr>
        <w:adjustRightInd w:val="0"/>
        <w:snapToGrid w:val="0"/>
        <w:jc w:val="left"/>
        <w:rPr>
          <w:rFonts w:ascii="仿宋" w:hAnsi="仿宋" w:eastAsia="仿宋"/>
          <w:color w:val="auto"/>
          <w:sz w:val="24"/>
        </w:rPr>
      </w:pPr>
      <w:r>
        <w:rPr>
          <w:rFonts w:hint="eastAsia" w:ascii="仿宋" w:hAnsi="仿宋" w:eastAsia="仿宋"/>
          <w:color w:val="auto"/>
          <w:sz w:val="24"/>
        </w:rPr>
        <w:t>附件1：</w:t>
      </w:r>
    </w:p>
    <w:p w14:paraId="170EB2B3">
      <w:pPr>
        <w:snapToGrid w:val="0"/>
        <w:spacing w:line="360" w:lineRule="auto"/>
        <w:jc w:val="center"/>
        <w:rPr>
          <w:rFonts w:ascii="仿宋" w:hAnsi="仿宋" w:eastAsia="仿宋"/>
          <w:color w:val="auto"/>
          <w:sz w:val="28"/>
          <w:szCs w:val="28"/>
        </w:rPr>
      </w:pPr>
      <w:r>
        <w:rPr>
          <w:rFonts w:hint="eastAsia" w:ascii="仿宋" w:hAnsi="仿宋" w:eastAsia="仿宋" w:cs="宋体"/>
          <w:b/>
          <w:bCs/>
          <w:color w:val="auto"/>
          <w:kern w:val="0"/>
          <w:sz w:val="28"/>
          <w:szCs w:val="28"/>
        </w:rPr>
        <w:t>报名申请表</w:t>
      </w:r>
    </w:p>
    <w:p w14:paraId="49A6CDE9">
      <w:pPr>
        <w:widowControl/>
        <w:spacing w:before="100" w:beforeAutospacing="1" w:after="100" w:afterAutospacing="1" w:line="183" w:lineRule="atLeast"/>
        <w:jc w:val="left"/>
        <w:rPr>
          <w:rFonts w:ascii="仿宋" w:hAnsi="仿宋" w:eastAsia="仿宋" w:cs="宋体"/>
          <w:color w:val="auto"/>
          <w:kern w:val="0"/>
          <w:sz w:val="24"/>
        </w:rPr>
      </w:pPr>
      <w:r>
        <w:rPr>
          <w:rFonts w:hint="eastAsia" w:ascii="仿宋" w:hAnsi="仿宋" w:eastAsia="仿宋" w:cs="宋体"/>
          <w:bCs/>
          <w:color w:val="auto"/>
          <w:kern w:val="0"/>
          <w:sz w:val="24"/>
        </w:rPr>
        <w:t>项目编号：</w:t>
      </w:r>
      <w:r>
        <w:rPr>
          <w:rFonts w:hint="eastAsia" w:ascii="仿宋" w:hAnsi="仿宋" w:eastAsia="仿宋"/>
          <w:color w:val="auto"/>
          <w:sz w:val="24"/>
        </w:rPr>
        <w:t>奔（服采）2025003号</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336"/>
      </w:tblGrid>
      <w:tr w14:paraId="00F49E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2454D846">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Cs/>
                <w:color w:val="auto"/>
                <w:kern w:val="0"/>
                <w:sz w:val="24"/>
              </w:rPr>
              <w:t>投标人全称（公章）：</w:t>
            </w:r>
          </w:p>
        </w:tc>
      </w:tr>
      <w:tr w14:paraId="4B16EB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5000" w:type="pct"/>
            <w:tcBorders>
              <w:top w:val="outset" w:color="auto" w:sz="6" w:space="0"/>
              <w:left w:val="single" w:color="auto" w:sz="12" w:space="0"/>
              <w:bottom w:val="single" w:color="auto" w:sz="12" w:space="0"/>
              <w:right w:val="single" w:color="auto" w:sz="12" w:space="0"/>
            </w:tcBorders>
            <w:vAlign w:val="center"/>
          </w:tcPr>
          <w:p w14:paraId="322B7E44">
            <w:pPr>
              <w:widowControl/>
              <w:adjustRightInd w:val="0"/>
              <w:snapToGrid w:val="0"/>
              <w:spacing w:before="100" w:beforeAutospacing="1" w:after="100" w:afterAutospacing="1" w:line="360" w:lineRule="auto"/>
              <w:ind w:firstLine="397"/>
              <w:jc w:val="left"/>
              <w:rPr>
                <w:rFonts w:ascii="仿宋" w:hAnsi="仿宋" w:eastAsia="仿宋" w:cs="宋体"/>
                <w:color w:val="auto"/>
                <w:kern w:val="0"/>
                <w:sz w:val="24"/>
              </w:rPr>
            </w:pPr>
            <w:r>
              <w:rPr>
                <w:rFonts w:hint="eastAsia" w:ascii="仿宋" w:hAnsi="仿宋" w:eastAsia="仿宋" w:cs="宋体"/>
                <w:color w:val="auto"/>
                <w:kern w:val="0"/>
                <w:sz w:val="24"/>
              </w:rPr>
              <w:t>现委托</w:t>
            </w:r>
            <w:r>
              <w:rPr>
                <w:rFonts w:ascii="仿宋" w:hAnsi="仿宋" w:eastAsia="仿宋" w:cs="宋体"/>
                <w:color w:val="auto"/>
                <w:kern w:val="0"/>
                <w:sz w:val="24"/>
                <w:u w:val="single"/>
              </w:rPr>
              <w:t xml:space="preserve">           </w:t>
            </w:r>
            <w:r>
              <w:rPr>
                <w:rFonts w:hint="eastAsia" w:ascii="仿宋" w:hAnsi="仿宋" w:eastAsia="仿宋" w:cs="宋体"/>
                <w:color w:val="auto"/>
                <w:kern w:val="0"/>
                <w:sz w:val="24"/>
              </w:rPr>
              <w:t>（被授权人的姓名）参与</w:t>
            </w:r>
            <w:r>
              <w:rPr>
                <w:rFonts w:hint="eastAsia" w:ascii="仿宋" w:hAnsi="仿宋" w:eastAsia="仿宋"/>
                <w:color w:val="auto"/>
                <w:sz w:val="24"/>
                <w:u w:val="single"/>
              </w:rPr>
              <w:t>奔（服采）2025003号</w:t>
            </w:r>
            <w:r>
              <w:rPr>
                <w:rFonts w:hint="eastAsia" w:ascii="仿宋" w:hAnsi="仿宋" w:eastAsia="仿宋"/>
                <w:bCs/>
                <w:color w:val="auto"/>
                <w:sz w:val="24"/>
                <w:u w:val="single"/>
              </w:rPr>
              <w:t>全镇存量农村污水管网疏通养护</w:t>
            </w:r>
            <w:r>
              <w:rPr>
                <w:rFonts w:hint="eastAsia" w:ascii="仿宋" w:hAnsi="仿宋" w:eastAsia="仿宋" w:cs="宋体"/>
                <w:color w:val="auto"/>
                <w:kern w:val="0"/>
                <w:sz w:val="24"/>
              </w:rPr>
              <w:t>的投标报名工作。</w:t>
            </w:r>
            <w:r>
              <w:rPr>
                <w:rFonts w:hint="eastAsia" w:ascii="仿宋" w:hAnsi="仿宋" w:eastAsia="仿宋"/>
                <w:color w:val="auto"/>
                <w:sz w:val="24"/>
              </w:rPr>
              <w:t>项目招投标过程中答疑补充等相关文件都须投标单位自行获取，本单位会及时关注，以防遗漏，并承诺不以此为理由提出质疑。</w:t>
            </w:r>
          </w:p>
          <w:p w14:paraId="5483CECD">
            <w:pPr>
              <w:widowControl/>
              <w:adjustRightInd w:val="0"/>
              <w:snapToGrid w:val="0"/>
              <w:spacing w:before="100" w:beforeAutospacing="1" w:after="100" w:afterAutospacing="1" w:line="360" w:lineRule="auto"/>
              <w:ind w:firstLine="397"/>
              <w:jc w:val="center"/>
              <w:rPr>
                <w:rFonts w:ascii="仿宋" w:hAnsi="仿宋" w:eastAsia="仿宋" w:cs="宋体"/>
                <w:color w:val="auto"/>
                <w:kern w:val="0"/>
                <w:sz w:val="24"/>
              </w:rPr>
            </w:pPr>
            <w:r>
              <w:rPr>
                <w:rFonts w:hint="eastAsia" w:ascii="仿宋" w:hAnsi="仿宋" w:eastAsia="仿宋" w:cs="宋体"/>
                <w:color w:val="auto"/>
                <w:kern w:val="0"/>
                <w:sz w:val="24"/>
              </w:rPr>
              <w:t>法人代表人（签字或盖章）：</w:t>
            </w:r>
          </w:p>
        </w:tc>
      </w:tr>
      <w:tr w14:paraId="4C99A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340966E1">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Cs/>
                <w:color w:val="auto"/>
                <w:kern w:val="0"/>
                <w:sz w:val="24"/>
              </w:rPr>
              <w:t>项目负责人姓名：</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身份证号码：</w:t>
            </w:r>
          </w:p>
        </w:tc>
      </w:tr>
      <w:tr w14:paraId="19E2DA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3DDCC865">
            <w:pPr>
              <w:widowControl/>
              <w:spacing w:before="100" w:beforeAutospacing="1" w:after="100" w:afterAutospacing="1" w:line="360" w:lineRule="auto"/>
              <w:jc w:val="left"/>
              <w:rPr>
                <w:rFonts w:ascii="仿宋" w:hAnsi="仿宋" w:eastAsia="仿宋" w:cs="宋体"/>
                <w:bCs/>
                <w:color w:val="auto"/>
                <w:kern w:val="0"/>
                <w:sz w:val="24"/>
              </w:rPr>
            </w:pPr>
            <w:r>
              <w:rPr>
                <w:rFonts w:hint="eastAsia" w:ascii="仿宋" w:hAnsi="仿宋" w:eastAsia="仿宋" w:cs="宋体"/>
                <w:bCs/>
                <w:color w:val="auto"/>
                <w:kern w:val="0"/>
                <w:sz w:val="24"/>
              </w:rPr>
              <w:t>被授权人姓名：</w:t>
            </w:r>
            <w:r>
              <w:rPr>
                <w:rFonts w:ascii="仿宋" w:hAnsi="仿宋" w:eastAsia="仿宋" w:cs="宋体"/>
                <w:bCs/>
                <w:color w:val="auto"/>
                <w:kern w:val="0"/>
                <w:sz w:val="24"/>
              </w:rPr>
              <w:t xml:space="preserve">                   身份证号码：</w:t>
            </w:r>
          </w:p>
        </w:tc>
      </w:tr>
      <w:tr w14:paraId="00FF98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outset" w:color="auto" w:sz="6" w:space="0"/>
              <w:right w:val="single" w:color="auto" w:sz="12" w:space="0"/>
            </w:tcBorders>
            <w:vAlign w:val="center"/>
          </w:tcPr>
          <w:p w14:paraId="67087FF8">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Cs/>
                <w:color w:val="auto"/>
                <w:kern w:val="0"/>
                <w:sz w:val="24"/>
              </w:rPr>
              <w:t>移动电话：</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固定电话：</w:t>
            </w:r>
          </w:p>
        </w:tc>
      </w:tr>
      <w:tr w14:paraId="02A277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outset" w:color="auto" w:sz="6" w:space="0"/>
              <w:right w:val="single" w:color="auto" w:sz="12" w:space="0"/>
            </w:tcBorders>
            <w:vAlign w:val="center"/>
          </w:tcPr>
          <w:p w14:paraId="45B2682E">
            <w:pPr>
              <w:widowControl/>
              <w:spacing w:before="100" w:beforeAutospacing="1" w:after="100" w:afterAutospacing="1" w:line="360" w:lineRule="auto"/>
              <w:jc w:val="left"/>
              <w:rPr>
                <w:rFonts w:ascii="仿宋" w:hAnsi="仿宋" w:eastAsia="仿宋" w:cs="宋体"/>
                <w:bCs/>
                <w:color w:val="auto"/>
                <w:kern w:val="0"/>
                <w:sz w:val="24"/>
              </w:rPr>
            </w:pPr>
            <w:r>
              <w:rPr>
                <w:rFonts w:hint="eastAsia" w:ascii="仿宋" w:hAnsi="仿宋" w:eastAsia="仿宋" w:cs="宋体"/>
                <w:bCs/>
                <w:color w:val="auto"/>
                <w:kern w:val="0"/>
                <w:sz w:val="24"/>
              </w:rPr>
              <w:t>电子邮箱：</w:t>
            </w:r>
          </w:p>
        </w:tc>
      </w:tr>
      <w:tr w14:paraId="2C2383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1BD82989">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
                <w:bCs/>
                <w:color w:val="auto"/>
                <w:kern w:val="0"/>
                <w:sz w:val="24"/>
              </w:rPr>
              <w:t>注：本表以上内容填写均需打印，以下内容需在报名时现场填写。</w:t>
            </w:r>
          </w:p>
        </w:tc>
      </w:tr>
      <w:tr w14:paraId="1DC84A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single" w:color="auto" w:sz="12" w:space="0"/>
              <w:left w:val="single" w:color="auto" w:sz="12" w:space="0"/>
              <w:bottom w:val="single" w:color="auto" w:sz="12" w:space="0"/>
              <w:right w:val="single" w:color="auto" w:sz="12" w:space="0"/>
            </w:tcBorders>
            <w:vAlign w:val="center"/>
          </w:tcPr>
          <w:p w14:paraId="3A66C24A">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Cs/>
                <w:color w:val="auto"/>
                <w:kern w:val="0"/>
                <w:sz w:val="24"/>
              </w:rPr>
              <w:t>报名时间：</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年</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月</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日</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时</w:t>
            </w:r>
            <w:r>
              <w:rPr>
                <w:rFonts w:ascii="仿宋" w:hAnsi="仿宋" w:eastAsia="仿宋" w:cs="宋体"/>
                <w:bCs/>
                <w:color w:val="auto"/>
                <w:kern w:val="0"/>
                <w:sz w:val="24"/>
              </w:rPr>
              <w:t xml:space="preserve">    </w:t>
            </w:r>
            <w:r>
              <w:rPr>
                <w:rFonts w:hint="eastAsia" w:ascii="仿宋" w:hAnsi="仿宋" w:eastAsia="仿宋" w:cs="宋体"/>
                <w:bCs/>
                <w:color w:val="auto"/>
                <w:kern w:val="0"/>
                <w:sz w:val="24"/>
              </w:rPr>
              <w:t>分</w:t>
            </w:r>
          </w:p>
        </w:tc>
      </w:tr>
      <w:tr w14:paraId="389D15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5000" w:type="pct"/>
            <w:tcBorders>
              <w:top w:val="outset" w:color="auto" w:sz="6" w:space="0"/>
              <w:left w:val="single" w:color="auto" w:sz="12" w:space="0"/>
              <w:bottom w:val="single" w:color="auto" w:sz="12" w:space="0"/>
              <w:right w:val="single" w:color="auto" w:sz="12" w:space="0"/>
            </w:tcBorders>
            <w:vAlign w:val="center"/>
          </w:tcPr>
          <w:p w14:paraId="5B493BBD">
            <w:pPr>
              <w:widowControl/>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bCs/>
                <w:color w:val="auto"/>
                <w:kern w:val="0"/>
                <w:sz w:val="24"/>
              </w:rPr>
              <w:t>被授权委托人签字：</w:t>
            </w:r>
          </w:p>
        </w:tc>
      </w:tr>
    </w:tbl>
    <w:p w14:paraId="776446BF">
      <w:pPr>
        <w:widowControl/>
        <w:tabs>
          <w:tab w:val="left" w:pos="6045"/>
        </w:tabs>
        <w:spacing w:before="100" w:beforeAutospacing="1" w:after="100" w:afterAutospacing="1" w:line="360" w:lineRule="auto"/>
        <w:jc w:val="left"/>
        <w:rPr>
          <w:rFonts w:ascii="仿宋" w:hAnsi="仿宋" w:eastAsia="仿宋" w:cs="宋体"/>
          <w:color w:val="auto"/>
          <w:kern w:val="0"/>
          <w:sz w:val="24"/>
        </w:rPr>
      </w:pPr>
      <w:r>
        <w:rPr>
          <w:rFonts w:hint="eastAsia" w:ascii="仿宋" w:hAnsi="仿宋" w:eastAsia="仿宋" w:cs="宋体"/>
          <w:color w:val="auto"/>
          <w:kern w:val="0"/>
          <w:sz w:val="24"/>
        </w:rPr>
        <w:t>注：投标人应完整填写表格，并对内容的真实性和有效性负全部责任</w:t>
      </w:r>
    </w:p>
    <w:p w14:paraId="653EC471">
      <w:pPr>
        <w:rPr>
          <w:rFonts w:ascii="仿宋" w:hAnsi="仿宋" w:eastAsia="仿宋" w:cs="宋体"/>
          <w:color w:val="auto"/>
          <w:kern w:val="0"/>
          <w:sz w:val="28"/>
          <w:szCs w:val="28"/>
        </w:rPr>
      </w:pPr>
      <w:r>
        <w:rPr>
          <w:rFonts w:ascii="仿宋" w:hAnsi="仿宋" w:eastAsia="仿宋" w:cs="宋体"/>
          <w:color w:val="auto"/>
          <w:kern w:val="0"/>
          <w:sz w:val="28"/>
          <w:szCs w:val="28"/>
        </w:rPr>
        <w:br w:type="page"/>
      </w:r>
    </w:p>
    <w:p w14:paraId="0415B24C">
      <w:pPr>
        <w:widowControl/>
        <w:shd w:val="clear" w:color="auto" w:fill="FFFFFF"/>
        <w:spacing w:line="360" w:lineRule="exact"/>
        <w:jc w:val="center"/>
        <w:rPr>
          <w:rFonts w:ascii="仿宋" w:hAnsi="仿宋" w:eastAsia="仿宋" w:cs="仿宋"/>
          <w:color w:val="auto"/>
          <w:kern w:val="0"/>
          <w:szCs w:val="21"/>
        </w:rPr>
      </w:pPr>
      <w:r>
        <w:rPr>
          <w:rFonts w:hint="eastAsia" w:ascii="仿宋" w:hAnsi="仿宋" w:eastAsia="仿宋" w:cs="仿宋"/>
          <w:b/>
          <w:bCs/>
          <w:color w:val="auto"/>
          <w:kern w:val="0"/>
          <w:szCs w:val="21"/>
        </w:rPr>
        <w:t>授权委托书</w:t>
      </w:r>
    </w:p>
    <w:p w14:paraId="70769B6C">
      <w:pPr>
        <w:widowControl/>
        <w:shd w:val="clear" w:color="auto" w:fill="FFFFFF"/>
        <w:spacing w:line="360" w:lineRule="exact"/>
        <w:jc w:val="center"/>
        <w:rPr>
          <w:rFonts w:ascii="仿宋" w:hAnsi="仿宋" w:eastAsia="仿宋" w:cs="仿宋"/>
          <w:color w:val="auto"/>
          <w:kern w:val="0"/>
          <w:szCs w:val="21"/>
        </w:rPr>
      </w:pPr>
    </w:p>
    <w:p w14:paraId="1820BF78">
      <w:pPr>
        <w:widowControl/>
        <w:shd w:val="clear" w:color="auto" w:fill="FFFFFF"/>
        <w:spacing w:line="300" w:lineRule="exact"/>
        <w:jc w:val="left"/>
        <w:rPr>
          <w:rFonts w:ascii="仿宋" w:hAnsi="仿宋" w:eastAsia="仿宋" w:cs="仿宋"/>
          <w:color w:val="auto"/>
          <w:kern w:val="0"/>
          <w:szCs w:val="21"/>
        </w:rPr>
      </w:pPr>
      <w:r>
        <w:rPr>
          <w:rFonts w:hint="eastAsia" w:ascii="仿宋" w:hAnsi="仿宋" w:eastAsia="仿宋" w:cs="仿宋"/>
          <w:color w:val="auto"/>
          <w:kern w:val="0"/>
          <w:szCs w:val="21"/>
        </w:rPr>
        <w:t>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w:t>
      </w:r>
    </w:p>
    <w:p w14:paraId="349E801E">
      <w:pPr>
        <w:widowControl/>
        <w:shd w:val="clear" w:color="auto" w:fill="FFFFFF"/>
        <w:spacing w:line="300" w:lineRule="exact"/>
        <w:ind w:firstLine="672"/>
        <w:jc w:val="left"/>
        <w:rPr>
          <w:rFonts w:ascii="仿宋" w:hAnsi="仿宋" w:eastAsia="仿宋" w:cs="仿宋"/>
          <w:color w:val="auto"/>
          <w:kern w:val="0"/>
          <w:szCs w:val="21"/>
        </w:rPr>
      </w:pPr>
      <w:r>
        <w:rPr>
          <w:rFonts w:hint="eastAsia" w:ascii="仿宋" w:hAnsi="仿宋" w:eastAsia="仿宋" w:cs="仿宋"/>
          <w:color w:val="auto"/>
          <w:kern w:val="0"/>
          <w:szCs w:val="21"/>
        </w:rPr>
        <w:t>本授权委托书宣告：</w:t>
      </w:r>
    </w:p>
    <w:p w14:paraId="6AAC0C80">
      <w:pPr>
        <w:widowControl/>
        <w:shd w:val="clear" w:color="auto" w:fill="FFFFFF"/>
        <w:spacing w:line="300" w:lineRule="exact"/>
        <w:ind w:firstLine="672"/>
        <w:jc w:val="left"/>
        <w:rPr>
          <w:rFonts w:ascii="仿宋" w:hAnsi="仿宋" w:eastAsia="仿宋" w:cs="仿宋"/>
          <w:color w:val="auto"/>
          <w:kern w:val="0"/>
          <w:szCs w:val="21"/>
        </w:rPr>
      </w:pPr>
      <w:r>
        <w:rPr>
          <w:rFonts w:hint="eastAsia" w:ascii="仿宋" w:hAnsi="仿宋" w:eastAsia="仿宋" w:cs="仿宋"/>
          <w:color w:val="auto"/>
          <w:kern w:val="0"/>
          <w:szCs w:val="21"/>
        </w:rPr>
        <w:t>本人</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系</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（单位）的法定代表人，现授权委托</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（职务、姓名）为我单位代理人，该代理人有权在</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项目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73FBCA5D">
      <w:pPr>
        <w:widowControl/>
        <w:shd w:val="clear" w:color="auto" w:fill="FFFFFF"/>
        <w:spacing w:line="300" w:lineRule="exact"/>
        <w:ind w:firstLine="561"/>
        <w:jc w:val="left"/>
        <w:rPr>
          <w:rFonts w:ascii="仿宋" w:hAnsi="仿宋" w:eastAsia="仿宋" w:cs="仿宋"/>
          <w:color w:val="auto"/>
          <w:kern w:val="0"/>
          <w:szCs w:val="21"/>
        </w:rPr>
      </w:pPr>
      <w:r>
        <w:rPr>
          <w:rFonts w:hint="eastAsia" w:ascii="仿宋" w:hAnsi="仿宋" w:eastAsia="仿宋" w:cs="仿宋"/>
          <w:color w:val="auto"/>
          <w:kern w:val="0"/>
          <w:szCs w:val="21"/>
        </w:rPr>
        <w:t>委托期限：</w:t>
      </w:r>
      <w:r>
        <w:rPr>
          <w:rFonts w:hint="eastAsia" w:ascii="仿宋" w:hAnsi="仿宋" w:eastAsia="仿宋" w:cs="仿宋"/>
          <w:color w:val="auto"/>
          <w:kern w:val="0"/>
          <w:szCs w:val="21"/>
          <w:u w:val="single"/>
        </w:rPr>
        <w:t xml:space="preserve">                     </w:t>
      </w:r>
    </w:p>
    <w:p w14:paraId="61D0528D">
      <w:pPr>
        <w:widowControl/>
        <w:shd w:val="clear" w:color="auto" w:fill="FFFFFF"/>
        <w:spacing w:line="300" w:lineRule="exact"/>
        <w:ind w:firstLine="561"/>
        <w:jc w:val="left"/>
        <w:rPr>
          <w:rFonts w:ascii="仿宋" w:hAnsi="仿宋" w:eastAsia="仿宋" w:cs="仿宋"/>
          <w:color w:val="auto"/>
          <w:kern w:val="0"/>
          <w:szCs w:val="21"/>
        </w:rPr>
      </w:pPr>
      <w:r>
        <w:rPr>
          <w:rFonts w:hint="eastAsia" w:ascii="仿宋" w:hAnsi="仿宋" w:eastAsia="仿宋" w:cs="仿宋"/>
          <w:color w:val="auto"/>
          <w:kern w:val="0"/>
          <w:szCs w:val="21"/>
        </w:rPr>
        <w:t>代理人无转委托权。</w:t>
      </w:r>
    </w:p>
    <w:p w14:paraId="4857549D">
      <w:pPr>
        <w:widowControl/>
        <w:shd w:val="clear" w:color="auto" w:fill="FFFFFF"/>
        <w:spacing w:line="300" w:lineRule="exact"/>
        <w:ind w:firstLine="3150" w:firstLineChars="1500"/>
        <w:jc w:val="left"/>
        <w:rPr>
          <w:rFonts w:ascii="仿宋" w:hAnsi="仿宋" w:eastAsia="仿宋" w:cs="仿宋"/>
          <w:color w:val="auto"/>
          <w:kern w:val="0"/>
          <w:szCs w:val="21"/>
        </w:rPr>
      </w:pPr>
      <w:r>
        <w:rPr>
          <w:rFonts w:hint="eastAsia" w:ascii="仿宋" w:hAnsi="仿宋" w:eastAsia="仿宋" w:cs="仿宋"/>
          <w:color w:val="auto"/>
          <w:kern w:val="0"/>
          <w:szCs w:val="21"/>
        </w:rPr>
        <w:t>投标人：</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（盖章）</w:t>
      </w:r>
    </w:p>
    <w:p w14:paraId="1ACE7BBA">
      <w:pPr>
        <w:widowControl/>
        <w:shd w:val="clear" w:color="auto" w:fill="FFFFFF"/>
        <w:spacing w:line="300" w:lineRule="exact"/>
        <w:ind w:firstLine="2520"/>
        <w:jc w:val="left"/>
        <w:rPr>
          <w:rFonts w:ascii="仿宋" w:hAnsi="仿宋" w:eastAsia="仿宋" w:cs="仿宋"/>
          <w:color w:val="auto"/>
          <w:kern w:val="0"/>
          <w:szCs w:val="21"/>
        </w:rPr>
      </w:pPr>
      <w:r>
        <w:rPr>
          <w:rFonts w:hint="eastAsia" w:ascii="仿宋" w:hAnsi="仿宋" w:eastAsia="仿宋" w:cs="仿宋"/>
          <w:color w:val="auto"/>
          <w:kern w:val="0"/>
          <w:szCs w:val="21"/>
        </w:rPr>
        <w:t xml:space="preserve">        </w:t>
      </w:r>
    </w:p>
    <w:p w14:paraId="1F2192DC">
      <w:pPr>
        <w:widowControl/>
        <w:shd w:val="clear" w:color="auto" w:fill="FFFFFF"/>
        <w:spacing w:line="300" w:lineRule="exact"/>
        <w:ind w:firstLine="3150" w:firstLineChars="1500"/>
        <w:jc w:val="left"/>
        <w:rPr>
          <w:rFonts w:ascii="仿宋" w:hAnsi="仿宋" w:eastAsia="仿宋" w:cs="仿宋"/>
          <w:color w:val="auto"/>
          <w:kern w:val="0"/>
          <w:szCs w:val="21"/>
        </w:rPr>
      </w:pPr>
      <w:r>
        <w:rPr>
          <w:rFonts w:hint="eastAsia" w:ascii="仿宋" w:hAnsi="仿宋" w:eastAsia="仿宋" w:cs="仿宋"/>
          <w:color w:val="auto"/>
          <w:kern w:val="0"/>
          <w:szCs w:val="21"/>
        </w:rPr>
        <w:t>法定代表人：</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（签字）</w:t>
      </w:r>
    </w:p>
    <w:p w14:paraId="51DA4386">
      <w:pPr>
        <w:widowControl/>
        <w:shd w:val="clear" w:color="auto" w:fill="FFFFFF"/>
        <w:spacing w:line="300" w:lineRule="exact"/>
        <w:ind w:right="980" w:firstLine="3150" w:firstLineChars="1500"/>
        <w:jc w:val="left"/>
        <w:rPr>
          <w:rFonts w:ascii="仿宋" w:hAnsi="仿宋" w:eastAsia="仿宋" w:cs="仿宋"/>
          <w:color w:val="auto"/>
          <w:kern w:val="0"/>
          <w:szCs w:val="21"/>
        </w:rPr>
      </w:pPr>
      <w:r>
        <w:rPr>
          <w:rFonts w:hint="eastAsia" w:ascii="仿宋" w:hAnsi="仿宋" w:eastAsia="仿宋" w:cs="仿宋"/>
          <w:color w:val="auto"/>
          <w:kern w:val="0"/>
          <w:szCs w:val="21"/>
        </w:rPr>
        <w:t>日期：</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年</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月</w:t>
      </w:r>
      <w:r>
        <w:rPr>
          <w:rFonts w:hint="eastAsia" w:ascii="仿宋" w:hAnsi="仿宋" w:eastAsia="仿宋" w:cs="仿宋"/>
          <w:color w:val="auto"/>
          <w:kern w:val="0"/>
          <w:szCs w:val="21"/>
          <w:u w:val="single"/>
        </w:rPr>
        <w:t xml:space="preserve">     </w:t>
      </w:r>
      <w:r>
        <w:rPr>
          <w:rFonts w:hint="eastAsia" w:ascii="仿宋" w:hAnsi="仿宋" w:eastAsia="仿宋" w:cs="仿宋"/>
          <w:color w:val="auto"/>
          <w:kern w:val="0"/>
          <w:szCs w:val="21"/>
        </w:rPr>
        <w:t>日</w:t>
      </w:r>
    </w:p>
    <w:p w14:paraId="5E23384C">
      <w:pPr>
        <w:widowControl/>
        <w:shd w:val="clear" w:color="auto" w:fill="FFFFFF"/>
        <w:spacing w:line="300" w:lineRule="exact"/>
        <w:jc w:val="left"/>
        <w:rPr>
          <w:rFonts w:ascii="仿宋" w:hAnsi="仿宋" w:eastAsia="仿宋" w:cs="仿宋"/>
          <w:color w:val="auto"/>
          <w:kern w:val="0"/>
          <w:szCs w:val="21"/>
        </w:rPr>
      </w:pPr>
      <w:r>
        <w:rPr>
          <w:rFonts w:hint="eastAsia" w:ascii="仿宋" w:hAnsi="仿宋" w:eastAsia="仿宋" w:cs="仿宋"/>
          <w:b/>
          <w:bCs/>
          <w:color w:val="auto"/>
          <w:kern w:val="0"/>
          <w:szCs w:val="21"/>
        </w:rPr>
        <w:t>注：</w:t>
      </w:r>
      <w:r>
        <w:rPr>
          <w:rFonts w:hint="eastAsia" w:ascii="仿宋" w:hAnsi="仿宋" w:eastAsia="仿宋" w:cs="仿宋"/>
          <w:b/>
          <w:bCs/>
          <w:color w:val="auto"/>
          <w:kern w:val="0"/>
          <w:szCs w:val="21"/>
          <w:u w:val="single"/>
        </w:rPr>
        <w:t>1、法定代表人必须亲自在授权委托书上亲笔签名，不得使用印章、签名章或其他电子制版签名代替；</w:t>
      </w:r>
    </w:p>
    <w:p w14:paraId="7F00A27A">
      <w:pPr>
        <w:widowControl/>
        <w:shd w:val="clear" w:color="auto" w:fill="FFFFFF"/>
        <w:spacing w:line="300" w:lineRule="exact"/>
        <w:ind w:firstLine="422" w:firstLineChars="200"/>
        <w:jc w:val="left"/>
        <w:rPr>
          <w:rFonts w:ascii="仿宋" w:hAnsi="仿宋" w:eastAsia="仿宋" w:cs="仿宋"/>
          <w:b/>
          <w:bCs/>
          <w:color w:val="auto"/>
          <w:kern w:val="0"/>
          <w:szCs w:val="21"/>
          <w:u w:val="single"/>
        </w:rPr>
      </w:pPr>
      <w:r>
        <w:rPr>
          <w:rFonts w:hint="eastAsia" w:ascii="仿宋" w:hAnsi="仿宋" w:eastAsia="仿宋" w:cs="仿宋"/>
          <w:b/>
          <w:bCs/>
          <w:color w:val="auto"/>
          <w:kern w:val="0"/>
          <w:szCs w:val="21"/>
          <w:u w:val="single"/>
        </w:rPr>
        <w:t>2、本授权委托书只能授权给一名委托代理人。</w:t>
      </w:r>
    </w:p>
    <w:p w14:paraId="1F1CF2A6">
      <w:pPr>
        <w:widowControl/>
        <w:shd w:val="clear" w:color="auto" w:fill="FFFFFF"/>
        <w:spacing w:line="480" w:lineRule="exact"/>
        <w:ind w:firstLine="590"/>
        <w:jc w:val="left"/>
        <w:rPr>
          <w:rFonts w:ascii="仿宋" w:hAnsi="仿宋" w:eastAsia="仿宋" w:cs="仿宋"/>
          <w:color w:val="auto"/>
          <w:kern w:val="0"/>
          <w:szCs w:val="21"/>
        </w:rPr>
      </w:pPr>
    </w:p>
    <w:p w14:paraId="34C54D1F">
      <w:pPr>
        <w:spacing w:line="360" w:lineRule="auto"/>
        <w:jc w:val="center"/>
        <w:rPr>
          <w:rFonts w:ascii="仿宋" w:hAnsi="仿宋" w:eastAsia="仿宋" w:cs="仿宋"/>
          <w:b/>
          <w:color w:val="auto"/>
          <w:szCs w:val="21"/>
          <w:u w:val="single"/>
        </w:rPr>
      </w:pPr>
    </w:p>
    <w:p w14:paraId="0F278455">
      <w:pPr>
        <w:spacing w:line="440" w:lineRule="exact"/>
        <w:rPr>
          <w:rFonts w:ascii="仿宋" w:hAnsi="仿宋" w:eastAsia="仿宋" w:cs="仿宋"/>
          <w:b/>
          <w:color w:val="auto"/>
          <w:szCs w:val="21"/>
        </w:rPr>
      </w:pPr>
    </w:p>
    <w:p w14:paraId="6320C7AB">
      <w:pPr>
        <w:jc w:val="center"/>
        <w:rPr>
          <w:rFonts w:ascii="仿宋" w:hAnsi="仿宋" w:eastAsia="仿宋" w:cs="仿宋"/>
          <w:b/>
          <w:color w:val="auto"/>
          <w:kern w:val="0"/>
          <w:szCs w:val="21"/>
        </w:rPr>
      </w:pPr>
      <w:r>
        <w:rPr>
          <w:rFonts w:hint="eastAsia" w:ascii="仿宋" w:hAnsi="仿宋" w:eastAsia="仿宋" w:cs="仿宋"/>
          <w:b/>
          <w:color w:val="auto"/>
          <w:kern w:val="0"/>
          <w:szCs w:val="21"/>
        </w:rPr>
        <w:t>法定代表人身份证明</w:t>
      </w:r>
    </w:p>
    <w:p w14:paraId="3A413CD0">
      <w:pPr>
        <w:autoSpaceDE w:val="0"/>
        <w:autoSpaceDN w:val="0"/>
        <w:adjustRightInd w:val="0"/>
        <w:jc w:val="left"/>
        <w:rPr>
          <w:rFonts w:ascii="仿宋" w:hAnsi="仿宋" w:eastAsia="仿宋" w:cs="仿宋"/>
          <w:color w:val="auto"/>
          <w:kern w:val="0"/>
          <w:szCs w:val="21"/>
        </w:rPr>
      </w:pPr>
    </w:p>
    <w:p w14:paraId="134D52E9">
      <w:pPr>
        <w:autoSpaceDE w:val="0"/>
        <w:autoSpaceDN w:val="0"/>
        <w:adjustRightInd w:val="0"/>
        <w:spacing w:line="360" w:lineRule="auto"/>
        <w:ind w:firstLine="420" w:firstLineChars="200"/>
        <w:jc w:val="left"/>
        <w:rPr>
          <w:rFonts w:ascii="仿宋" w:hAnsi="仿宋" w:eastAsia="仿宋" w:cs="仿宋"/>
          <w:color w:val="auto"/>
          <w:kern w:val="0"/>
          <w:szCs w:val="21"/>
        </w:rPr>
      </w:pPr>
    </w:p>
    <w:p w14:paraId="1452F23C">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投标人：</w:t>
      </w:r>
    </w:p>
    <w:p w14:paraId="11780DD3">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单位性质：</w:t>
      </w:r>
    </w:p>
    <w:p w14:paraId="4CB640CE">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地址：</w:t>
      </w:r>
    </w:p>
    <w:p w14:paraId="2B496E3E">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成立时间：   年   月  日</w:t>
      </w:r>
    </w:p>
    <w:p w14:paraId="0A6C8998">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经营范围：</w:t>
      </w:r>
    </w:p>
    <w:p w14:paraId="0A9E3490">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经营期限：</w:t>
      </w:r>
    </w:p>
    <w:p w14:paraId="07387DF2">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姓名：        性别：</w:t>
      </w:r>
    </w:p>
    <w:p w14:paraId="73294DEF">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年龄：        职务：</w:t>
      </w:r>
    </w:p>
    <w:p w14:paraId="0AC6375B">
      <w:pPr>
        <w:autoSpaceDE w:val="0"/>
        <w:autoSpaceDN w:val="0"/>
        <w:adjustRightInd w:val="0"/>
        <w:spacing w:line="300" w:lineRule="exact"/>
        <w:ind w:firstLine="420" w:firstLineChars="200"/>
        <w:jc w:val="left"/>
        <w:rPr>
          <w:rFonts w:ascii="仿宋" w:hAnsi="仿宋" w:eastAsia="仿宋" w:cs="仿宋"/>
          <w:color w:val="auto"/>
          <w:kern w:val="0"/>
          <w:szCs w:val="21"/>
        </w:rPr>
      </w:pPr>
      <w:r>
        <w:rPr>
          <w:rFonts w:hint="eastAsia" w:ascii="仿宋" w:hAnsi="仿宋" w:eastAsia="仿宋" w:cs="仿宋"/>
          <w:color w:val="auto"/>
          <w:kern w:val="0"/>
          <w:szCs w:val="21"/>
        </w:rPr>
        <w:t>系（投标人名称）的法定代表人。</w:t>
      </w:r>
    </w:p>
    <w:p w14:paraId="74D59FE4">
      <w:pPr>
        <w:autoSpaceDE w:val="0"/>
        <w:autoSpaceDN w:val="0"/>
        <w:adjustRightInd w:val="0"/>
        <w:spacing w:line="300" w:lineRule="exact"/>
        <w:ind w:firstLine="840" w:firstLineChars="400"/>
        <w:jc w:val="left"/>
        <w:rPr>
          <w:rFonts w:ascii="仿宋" w:hAnsi="仿宋" w:eastAsia="仿宋" w:cs="仿宋"/>
          <w:color w:val="auto"/>
          <w:kern w:val="0"/>
          <w:szCs w:val="21"/>
        </w:rPr>
      </w:pPr>
      <w:r>
        <w:rPr>
          <w:rFonts w:hint="eastAsia" w:ascii="仿宋" w:hAnsi="仿宋" w:eastAsia="仿宋" w:cs="仿宋"/>
          <w:color w:val="auto"/>
          <w:kern w:val="0"/>
          <w:szCs w:val="21"/>
        </w:rPr>
        <w:t>特此证明。</w:t>
      </w:r>
    </w:p>
    <w:p w14:paraId="7FD8D91A">
      <w:pPr>
        <w:autoSpaceDE w:val="0"/>
        <w:autoSpaceDN w:val="0"/>
        <w:adjustRightInd w:val="0"/>
        <w:spacing w:line="360" w:lineRule="exact"/>
        <w:ind w:firstLine="3360" w:firstLineChars="1600"/>
        <w:jc w:val="left"/>
        <w:rPr>
          <w:rFonts w:ascii="仿宋" w:hAnsi="仿宋" w:eastAsia="仿宋" w:cs="仿宋"/>
          <w:color w:val="auto"/>
          <w:kern w:val="0"/>
          <w:szCs w:val="21"/>
        </w:rPr>
      </w:pPr>
      <w:r>
        <w:rPr>
          <w:rFonts w:hint="eastAsia" w:ascii="仿宋" w:hAnsi="仿宋" w:eastAsia="仿宋" w:cs="仿宋"/>
          <w:color w:val="auto"/>
          <w:kern w:val="0"/>
          <w:szCs w:val="21"/>
        </w:rPr>
        <w:t>投标人：（盖单位章）</w:t>
      </w:r>
    </w:p>
    <w:p w14:paraId="76EB2F58">
      <w:pPr>
        <w:autoSpaceDE w:val="0"/>
        <w:autoSpaceDN w:val="0"/>
        <w:adjustRightInd w:val="0"/>
        <w:spacing w:line="360" w:lineRule="exact"/>
        <w:ind w:firstLine="1995" w:firstLineChars="950"/>
        <w:jc w:val="left"/>
        <w:rPr>
          <w:rFonts w:ascii="仿宋" w:hAnsi="仿宋" w:eastAsia="仿宋" w:cs="仿宋"/>
          <w:color w:val="auto"/>
          <w:kern w:val="0"/>
          <w:szCs w:val="21"/>
        </w:rPr>
      </w:pPr>
    </w:p>
    <w:p w14:paraId="399D5475">
      <w:pPr>
        <w:autoSpaceDE w:val="0"/>
        <w:autoSpaceDN w:val="0"/>
        <w:adjustRightInd w:val="0"/>
        <w:spacing w:line="360" w:lineRule="exact"/>
        <w:ind w:firstLine="3990" w:firstLineChars="1900"/>
        <w:jc w:val="left"/>
        <w:rPr>
          <w:rFonts w:ascii="仿宋" w:hAnsi="仿宋" w:eastAsia="仿宋" w:cs="仿宋"/>
          <w:color w:val="auto"/>
          <w:kern w:val="0"/>
          <w:szCs w:val="21"/>
        </w:rPr>
      </w:pPr>
      <w:r>
        <w:rPr>
          <w:rFonts w:hint="eastAsia" w:ascii="仿宋" w:hAnsi="仿宋" w:eastAsia="仿宋" w:cs="仿宋"/>
          <w:color w:val="auto"/>
          <w:kern w:val="0"/>
          <w:szCs w:val="21"/>
        </w:rPr>
        <w:t>年   月   日</w:t>
      </w:r>
    </w:p>
    <w:p w14:paraId="7DBE24F0">
      <w:pPr>
        <w:spacing w:line="440" w:lineRule="exact"/>
        <w:rPr>
          <w:rFonts w:ascii="仿宋" w:hAnsi="仿宋" w:eastAsia="仿宋" w:cs="仿宋"/>
          <w:color w:val="auto"/>
          <w:szCs w:val="21"/>
          <w:u w:val="single"/>
        </w:rPr>
      </w:pPr>
    </w:p>
    <w:p w14:paraId="4494E8EF">
      <w:pPr>
        <w:widowControl/>
        <w:spacing w:line="420" w:lineRule="atLeast"/>
        <w:ind w:left="360"/>
        <w:rPr>
          <w:rFonts w:ascii="仿宋" w:hAnsi="仿宋" w:eastAsia="仿宋" w:cs="仿宋"/>
          <w:color w:val="auto"/>
          <w:szCs w:val="21"/>
          <w:u w:val="single"/>
        </w:rPr>
      </w:pPr>
    </w:p>
    <w:p w14:paraId="42887698">
      <w:pPr>
        <w:widowControl/>
        <w:shd w:val="clear" w:color="auto" w:fill="FFFFFF"/>
        <w:spacing w:line="480" w:lineRule="exact"/>
        <w:jc w:val="left"/>
        <w:rPr>
          <w:rFonts w:ascii="仿宋" w:hAnsi="仿宋" w:eastAsia="仿宋" w:cs="仿宋"/>
          <w:b/>
          <w:color w:val="auto"/>
          <w:kern w:val="0"/>
          <w:szCs w:val="21"/>
        </w:rPr>
      </w:pPr>
    </w:p>
    <w:p w14:paraId="35C69420">
      <w:pPr>
        <w:widowControl/>
        <w:shd w:val="clear" w:color="auto" w:fill="FFFFFF"/>
        <w:spacing w:line="480" w:lineRule="exact"/>
        <w:jc w:val="left"/>
        <w:rPr>
          <w:rFonts w:ascii="仿宋" w:hAnsi="仿宋" w:eastAsia="仿宋" w:cs="仿宋"/>
          <w:b/>
          <w:color w:val="auto"/>
          <w:kern w:val="0"/>
          <w:szCs w:val="21"/>
        </w:rPr>
      </w:pPr>
      <w:r>
        <w:rPr>
          <w:rFonts w:hint="eastAsia" w:ascii="仿宋" w:hAnsi="仿宋" w:eastAsia="仿宋" w:cs="仿宋"/>
          <w:b/>
          <w:color w:val="auto"/>
          <w:kern w:val="0"/>
          <w:szCs w:val="21"/>
        </w:rPr>
        <w:t>附：法定代表人及委托代理人身份证复印件</w:t>
      </w:r>
    </w:p>
    <w:p w14:paraId="569E004E">
      <w:pPr>
        <w:rPr>
          <w:rFonts w:ascii="仿宋" w:hAnsi="仿宋" w:eastAsia="仿宋" w:cs="仿宋"/>
          <w:b/>
          <w:color w:val="auto"/>
          <w:kern w:val="0"/>
          <w:szCs w:val="21"/>
        </w:rPr>
      </w:pPr>
      <w:r>
        <w:rPr>
          <w:rFonts w:hint="eastAsia" w:ascii="仿宋" w:hAnsi="仿宋" w:eastAsia="仿宋" w:cs="仿宋"/>
          <w:b/>
          <w:color w:val="auto"/>
          <w:kern w:val="0"/>
          <w:szCs w:val="21"/>
        </w:rPr>
        <w:br w:type="page"/>
      </w:r>
    </w:p>
    <w:p w14:paraId="4779655B">
      <w:pPr>
        <w:widowControl/>
        <w:tabs>
          <w:tab w:val="left" w:pos="6045"/>
        </w:tabs>
        <w:spacing w:before="100" w:beforeAutospacing="1" w:after="100" w:afterAutospacing="1" w:line="360" w:lineRule="auto"/>
        <w:jc w:val="left"/>
        <w:rPr>
          <w:rFonts w:ascii="仿宋" w:hAnsi="仿宋" w:eastAsia="仿宋" w:cs="宋体"/>
          <w:color w:val="auto"/>
          <w:kern w:val="0"/>
          <w:sz w:val="28"/>
          <w:szCs w:val="28"/>
        </w:rPr>
      </w:pPr>
    </w:p>
    <w:tbl>
      <w:tblPr>
        <w:tblStyle w:val="5"/>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14:paraId="208A9B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5329CFC1">
            <w:pPr>
              <w:widowControl/>
              <w:tabs>
                <w:tab w:val="left" w:pos="6045"/>
              </w:tabs>
              <w:spacing w:before="100" w:beforeAutospacing="1" w:after="100" w:afterAutospacing="1" w:line="360" w:lineRule="auto"/>
              <w:jc w:val="center"/>
              <w:rPr>
                <w:rFonts w:ascii="仿宋" w:hAnsi="仿宋" w:eastAsia="仿宋" w:cs="仿宋"/>
                <w:color w:val="auto"/>
                <w:kern w:val="0"/>
                <w:sz w:val="28"/>
                <w:szCs w:val="28"/>
              </w:rPr>
            </w:pPr>
            <w:r>
              <w:rPr>
                <w:rFonts w:hint="eastAsia" w:ascii="仿宋" w:hAnsi="仿宋" w:eastAsia="仿宋" w:cs="仿宋"/>
                <w:b/>
                <w:color w:val="auto"/>
                <w:kern w:val="0"/>
                <w:sz w:val="28"/>
                <w:szCs w:val="28"/>
              </w:rPr>
              <w:t>现场勘查回执单</w:t>
            </w:r>
          </w:p>
        </w:tc>
      </w:tr>
      <w:tr w14:paraId="7FC460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2F3C5F87">
            <w:pPr>
              <w:widowControl/>
              <w:tabs>
                <w:tab w:val="left" w:pos="6045"/>
              </w:tabs>
              <w:spacing w:before="100" w:beforeAutospacing="1" w:after="100" w:afterAutospacing="1" w:line="480" w:lineRule="auto"/>
              <w:ind w:firstLine="1120" w:firstLineChars="400"/>
              <w:jc w:val="left"/>
              <w:rPr>
                <w:rFonts w:ascii="仿宋" w:hAnsi="仿宋" w:eastAsia="仿宋" w:cs="仿宋"/>
                <w:color w:val="auto"/>
                <w:kern w:val="0"/>
                <w:sz w:val="28"/>
                <w:szCs w:val="28"/>
              </w:rPr>
            </w:pPr>
            <w:r>
              <w:rPr>
                <w:rFonts w:hint="eastAsia" w:ascii="仿宋" w:hAnsi="仿宋" w:eastAsia="仿宋" w:cs="仿宋"/>
                <w:color w:val="auto"/>
                <w:kern w:val="0"/>
                <w:sz w:val="28"/>
                <w:szCs w:val="28"/>
                <w:u w:val="single"/>
              </w:rPr>
              <w:t>（</w:t>
            </w:r>
            <w:r>
              <w:rPr>
                <w:rFonts w:ascii="仿宋" w:hAnsi="仿宋" w:eastAsia="仿宋" w:cs="仿宋"/>
                <w:color w:val="auto"/>
                <w:kern w:val="0"/>
                <w:sz w:val="28"/>
                <w:szCs w:val="28"/>
                <w:u w:val="single"/>
              </w:rPr>
              <w:t xml:space="preserve"> 投标人名称[打印]  ） </w:t>
            </w:r>
            <w:r>
              <w:rPr>
                <w:rFonts w:hint="eastAsia" w:ascii="仿宋" w:hAnsi="仿宋" w:eastAsia="仿宋" w:cs="仿宋"/>
                <w:color w:val="auto"/>
                <w:kern w:val="0"/>
                <w:sz w:val="28"/>
                <w:szCs w:val="28"/>
              </w:rPr>
              <w:t>已参与</w:t>
            </w:r>
            <w:r>
              <w:rPr>
                <w:rFonts w:hint="eastAsia" w:ascii="仿宋" w:hAnsi="仿宋" w:eastAsia="仿宋"/>
                <w:color w:val="auto"/>
                <w:sz w:val="28"/>
                <w:szCs w:val="28"/>
                <w:u w:val="single"/>
              </w:rPr>
              <w:t>奔（服采）2025003号全镇存量农村污水管网疏通养护</w:t>
            </w:r>
            <w:r>
              <w:rPr>
                <w:rFonts w:hint="eastAsia" w:ascii="仿宋" w:hAnsi="仿宋" w:eastAsia="仿宋" w:cs="仿宋"/>
                <w:color w:val="auto"/>
                <w:kern w:val="0"/>
                <w:sz w:val="28"/>
                <w:szCs w:val="28"/>
              </w:rPr>
              <w:t>项目的现场勘查。</w:t>
            </w:r>
          </w:p>
          <w:p w14:paraId="568444A7">
            <w:pPr>
              <w:widowControl/>
              <w:tabs>
                <w:tab w:val="left" w:pos="6045"/>
              </w:tabs>
              <w:spacing w:before="100" w:beforeAutospacing="1" w:after="100" w:afterAutospacing="1" w:line="360" w:lineRule="auto"/>
              <w:ind w:firstLine="562"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　</w:t>
            </w:r>
            <w:r>
              <w:rPr>
                <w:rFonts w:ascii="仿宋" w:hAnsi="仿宋" w:eastAsia="仿宋" w:cs="仿宋"/>
                <w:color w:val="auto"/>
                <w:kern w:val="0"/>
                <w:sz w:val="28"/>
                <w:szCs w:val="28"/>
              </w:rPr>
              <w:t xml:space="preserve">                        现场勘查人（签字）：</w:t>
            </w:r>
          </w:p>
          <w:p w14:paraId="026DB60C">
            <w:pPr>
              <w:widowControl/>
              <w:tabs>
                <w:tab w:val="left" w:pos="6045"/>
              </w:tabs>
              <w:spacing w:before="100" w:beforeAutospacing="1" w:after="100" w:afterAutospacing="1" w:line="360" w:lineRule="auto"/>
              <w:ind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招标人（盖章）：　　　　　</w:t>
            </w:r>
          </w:p>
          <w:p w14:paraId="70B9CB3D">
            <w:pPr>
              <w:widowControl/>
              <w:tabs>
                <w:tab w:val="left" w:pos="6045"/>
              </w:tabs>
              <w:spacing w:before="100" w:beforeAutospacing="1" w:after="100" w:afterAutospacing="1" w:line="360" w:lineRule="auto"/>
              <w:ind w:right="480"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日期：</w:t>
            </w:r>
          </w:p>
          <w:p w14:paraId="3E00948E">
            <w:pPr>
              <w:widowControl/>
              <w:tabs>
                <w:tab w:val="left" w:pos="6045"/>
              </w:tabs>
              <w:spacing w:before="100" w:beforeAutospacing="1" w:after="100" w:afterAutospacing="1" w:line="360" w:lineRule="auto"/>
              <w:ind w:right="480"/>
              <w:jc w:val="left"/>
              <w:rPr>
                <w:rFonts w:ascii="仿宋" w:hAnsi="仿宋" w:eastAsia="仿宋" w:cs="仿宋"/>
                <w:color w:val="auto"/>
                <w:kern w:val="0"/>
                <w:szCs w:val="21"/>
              </w:rPr>
            </w:pPr>
            <w:r>
              <w:rPr>
                <w:rFonts w:hint="eastAsia" w:ascii="仿宋" w:hAnsi="仿宋" w:eastAsia="仿宋" w:cs="仿宋"/>
                <w:color w:val="auto"/>
                <w:kern w:val="0"/>
                <w:szCs w:val="21"/>
              </w:rPr>
              <w:t>注：现场勘查人须为投标人本单位授权委托人员</w:t>
            </w:r>
          </w:p>
        </w:tc>
      </w:tr>
    </w:tbl>
    <w:p w14:paraId="30F95241">
      <w:pPr>
        <w:snapToGrid w:val="0"/>
        <w:spacing w:line="500" w:lineRule="exact"/>
        <w:jc w:val="left"/>
        <w:rPr>
          <w:rFonts w:ascii="仿宋" w:hAnsi="仿宋" w:eastAsia="仿宋"/>
          <w:color w:val="auto"/>
          <w:sz w:val="28"/>
          <w:szCs w:val="28"/>
        </w:rPr>
      </w:pPr>
      <w:bookmarkStart w:id="3" w:name="文字34"/>
      <w:bookmarkEnd w:id="3"/>
    </w:p>
    <w:p w14:paraId="5A6A7381">
      <w:pPr>
        <w:rPr>
          <w:rFonts w:ascii="仿宋" w:hAnsi="仿宋" w:eastAsia="仿宋" w:cs="仿宋"/>
          <w:b/>
          <w:color w:val="auto"/>
          <w:sz w:val="36"/>
          <w:szCs w:val="36"/>
        </w:rPr>
      </w:pPr>
      <w:r>
        <w:rPr>
          <w:rFonts w:ascii="仿宋" w:hAnsi="仿宋" w:eastAsia="仿宋" w:cs="仿宋"/>
          <w:b/>
          <w:color w:val="auto"/>
          <w:sz w:val="36"/>
          <w:szCs w:val="36"/>
        </w:rPr>
        <w:br w:type="page"/>
      </w:r>
    </w:p>
    <w:p w14:paraId="68C643F6">
      <w:pPr>
        <w:spacing w:before="100" w:after="240" w:line="500" w:lineRule="exact"/>
        <w:jc w:val="left"/>
        <w:outlineLvl w:val="0"/>
        <w:rPr>
          <w:rFonts w:ascii="仿宋" w:hAnsi="仿宋" w:eastAsia="仿宋" w:cs="仿宋"/>
          <w:b/>
          <w:color w:val="auto"/>
          <w:sz w:val="24"/>
        </w:rPr>
      </w:pPr>
      <w:bookmarkStart w:id="4" w:name="_Toc11657"/>
      <w:bookmarkStart w:id="5" w:name="_Toc25008"/>
      <w:bookmarkStart w:id="6" w:name="_Toc28707"/>
      <w:r>
        <w:rPr>
          <w:rFonts w:hint="eastAsia" w:ascii="仿宋" w:hAnsi="仿宋" w:eastAsia="仿宋"/>
          <w:color w:val="auto"/>
          <w:sz w:val="24"/>
        </w:rPr>
        <w:t>附件2：</w:t>
      </w:r>
      <w:bookmarkEnd w:id="4"/>
      <w:bookmarkEnd w:id="5"/>
      <w:bookmarkEnd w:id="6"/>
    </w:p>
    <w:p w14:paraId="4ED8FD2D">
      <w:pPr>
        <w:spacing w:before="100" w:after="240" w:line="500" w:lineRule="exact"/>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评标方法</w:t>
      </w:r>
    </w:p>
    <w:p w14:paraId="50D58C64">
      <w:pPr>
        <w:adjustRightInd w:val="0"/>
        <w:snapToGrid w:val="0"/>
        <w:spacing w:line="360" w:lineRule="exact"/>
        <w:ind w:firstLine="480" w:firstLineChars="200"/>
        <w:rPr>
          <w:rFonts w:ascii="仿宋" w:hAnsi="仿宋" w:eastAsia="仿宋" w:cs="仿宋"/>
          <w:color w:val="auto"/>
          <w:sz w:val="24"/>
        </w:rPr>
      </w:pPr>
      <w:r>
        <w:rPr>
          <w:rFonts w:hint="eastAsia" w:ascii="仿宋" w:hAnsi="仿宋" w:eastAsia="仿宋" w:cs="仿宋"/>
          <w:color w:val="auto"/>
          <w:sz w:val="24"/>
        </w:rPr>
        <w:t>一、评审办法：</w:t>
      </w:r>
    </w:p>
    <w:p w14:paraId="53C0DAF0">
      <w:pPr>
        <w:pStyle w:val="7"/>
        <w:adjustRightInd w:val="0"/>
        <w:snapToGrid w:val="0"/>
        <w:spacing w:before="0" w:after="0" w:line="360" w:lineRule="exact"/>
        <w:ind w:firstLine="488" w:firstLineChars="200"/>
        <w:jc w:val="left"/>
        <w:rPr>
          <w:rFonts w:ascii="仿宋" w:hAnsi="仿宋" w:eastAsia="仿宋" w:cs="仿宋"/>
          <w:color w:val="auto"/>
          <w:spacing w:val="2"/>
          <w:sz w:val="24"/>
          <w:lang w:eastAsia="zh-CN"/>
        </w:rPr>
      </w:pPr>
      <w:r>
        <w:rPr>
          <w:rFonts w:hint="eastAsia" w:ascii="仿宋" w:hAnsi="仿宋" w:eastAsia="仿宋" w:cs="仿宋"/>
          <w:color w:val="auto"/>
          <w:spacing w:val="2"/>
          <w:sz w:val="24"/>
          <w:lang w:eastAsia="zh-CN"/>
        </w:rPr>
        <w:t>本项目采用综合评分法，由评标小组对所有有效投标文件进行详细的评分，采用百分制计分方法。评标时，评标小组各成员遵循公平、公正、择优原则，独立对每个有效投标人的投标文件进行评价、打分，各个投标人的最终得分为汇总计算所有评标小组成员所评定分值的平均值（保留2位小数）。评标小组按评审后最终综合得分由高到低顺序排列名次，并推荐出排名第一的中标候选人。得分相同的，按投标报价由低到高顺序排列。得分且投标报价相同的，按技术指标优劣顺序排列。</w:t>
      </w:r>
    </w:p>
    <w:p w14:paraId="68756BC6">
      <w:pPr>
        <w:pStyle w:val="7"/>
        <w:adjustRightInd w:val="0"/>
        <w:snapToGrid w:val="0"/>
        <w:spacing w:before="0" w:after="0" w:line="360" w:lineRule="exact"/>
        <w:ind w:firstLine="488" w:firstLineChars="200"/>
        <w:jc w:val="left"/>
        <w:rPr>
          <w:rFonts w:ascii="仿宋" w:hAnsi="仿宋" w:eastAsia="仿宋" w:cs="仿宋"/>
          <w:color w:val="auto"/>
          <w:spacing w:val="2"/>
          <w:sz w:val="24"/>
          <w:lang w:eastAsia="zh-CN"/>
        </w:rPr>
      </w:pPr>
      <w:r>
        <w:rPr>
          <w:rFonts w:hint="eastAsia" w:ascii="仿宋" w:hAnsi="仿宋" w:eastAsia="仿宋" w:cs="仿宋"/>
          <w:color w:val="auto"/>
          <w:spacing w:val="2"/>
          <w:sz w:val="24"/>
          <w:lang w:eastAsia="zh-CN"/>
        </w:rPr>
        <w:t>二、评分标准：</w:t>
      </w:r>
    </w:p>
    <w:tbl>
      <w:tblPr>
        <w:tblStyle w:val="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82"/>
        <w:gridCol w:w="801"/>
        <w:gridCol w:w="4394"/>
        <w:gridCol w:w="1755"/>
      </w:tblGrid>
      <w:tr w14:paraId="1C36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9" w:type="dxa"/>
            <w:vAlign w:val="center"/>
          </w:tcPr>
          <w:p w14:paraId="395C0D9D">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序号</w:t>
            </w:r>
          </w:p>
        </w:tc>
        <w:tc>
          <w:tcPr>
            <w:tcW w:w="1282" w:type="dxa"/>
            <w:vAlign w:val="center"/>
          </w:tcPr>
          <w:p w14:paraId="00E578D4">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评审因素</w:t>
            </w:r>
          </w:p>
        </w:tc>
        <w:tc>
          <w:tcPr>
            <w:tcW w:w="801" w:type="dxa"/>
            <w:vAlign w:val="center"/>
          </w:tcPr>
          <w:p w14:paraId="5C735B94">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分值</w:t>
            </w:r>
          </w:p>
        </w:tc>
        <w:tc>
          <w:tcPr>
            <w:tcW w:w="4394" w:type="dxa"/>
            <w:vAlign w:val="center"/>
          </w:tcPr>
          <w:p w14:paraId="0EF9EC2F">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评分标准</w:t>
            </w:r>
          </w:p>
        </w:tc>
        <w:tc>
          <w:tcPr>
            <w:tcW w:w="1755" w:type="dxa"/>
            <w:vAlign w:val="center"/>
          </w:tcPr>
          <w:p w14:paraId="2C5A417F">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备注</w:t>
            </w:r>
          </w:p>
        </w:tc>
      </w:tr>
      <w:tr w14:paraId="0F0EF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951" w:type="dxa"/>
            <w:gridSpan w:val="5"/>
            <w:vAlign w:val="center"/>
          </w:tcPr>
          <w:p w14:paraId="557F5916">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（一）价格部分</w:t>
            </w:r>
            <w:r>
              <w:rPr>
                <w:rFonts w:hint="eastAsia" w:ascii="仿宋" w:hAnsi="仿宋" w:eastAsia="仿宋" w:cs="仿宋"/>
                <w:color w:val="auto"/>
                <w:spacing w:val="2"/>
                <w:kern w:val="0"/>
                <w:sz w:val="24"/>
                <w:szCs w:val="22"/>
              </w:rPr>
              <w:t>（15分）</w:t>
            </w:r>
          </w:p>
        </w:tc>
      </w:tr>
      <w:tr w14:paraId="6BAF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719" w:type="dxa"/>
            <w:vAlign w:val="center"/>
          </w:tcPr>
          <w:p w14:paraId="64AB7556">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w:t>
            </w:r>
          </w:p>
        </w:tc>
        <w:tc>
          <w:tcPr>
            <w:tcW w:w="1282" w:type="dxa"/>
            <w:vAlign w:val="center"/>
          </w:tcPr>
          <w:p w14:paraId="5514324D">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报价</w:t>
            </w:r>
          </w:p>
        </w:tc>
        <w:tc>
          <w:tcPr>
            <w:tcW w:w="801" w:type="dxa"/>
            <w:vAlign w:val="center"/>
          </w:tcPr>
          <w:p w14:paraId="64F51501">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15</w:t>
            </w:r>
          </w:p>
        </w:tc>
        <w:tc>
          <w:tcPr>
            <w:tcW w:w="4394" w:type="dxa"/>
            <w:vAlign w:val="center"/>
          </w:tcPr>
          <w:p w14:paraId="1FBCA678">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满足招标文件要求且最低的投标价为评标基准价，其价格分为15分，其他投标人的价格分统一按照下列公式计算：投标报价得分=（评标基准价/投标报价）*15%*100。</w:t>
            </w:r>
          </w:p>
        </w:tc>
        <w:tc>
          <w:tcPr>
            <w:tcW w:w="1755" w:type="dxa"/>
            <w:vAlign w:val="center"/>
          </w:tcPr>
          <w:p w14:paraId="58400D88">
            <w:pPr>
              <w:widowControl/>
              <w:tabs>
                <w:tab w:val="left" w:pos="1200"/>
              </w:tabs>
              <w:spacing w:line="260" w:lineRule="exact"/>
              <w:jc w:val="center"/>
              <w:rPr>
                <w:rFonts w:ascii="仿宋" w:hAnsi="仿宋" w:eastAsia="仿宋" w:cs="仿宋"/>
                <w:color w:val="auto"/>
                <w:spacing w:val="2"/>
                <w:kern w:val="0"/>
                <w:sz w:val="24"/>
                <w:szCs w:val="22"/>
              </w:rPr>
            </w:pPr>
          </w:p>
        </w:tc>
      </w:tr>
      <w:tr w14:paraId="24E2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51" w:type="dxa"/>
            <w:gridSpan w:val="5"/>
            <w:vAlign w:val="center"/>
          </w:tcPr>
          <w:p w14:paraId="1EEF8F3A">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（二）综合实力（42分）</w:t>
            </w:r>
          </w:p>
        </w:tc>
      </w:tr>
      <w:tr w14:paraId="6A30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19" w:type="dxa"/>
            <w:vAlign w:val="center"/>
          </w:tcPr>
          <w:p w14:paraId="424D9FC0">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w:t>
            </w:r>
          </w:p>
        </w:tc>
        <w:tc>
          <w:tcPr>
            <w:tcW w:w="1282" w:type="dxa"/>
            <w:vAlign w:val="center"/>
          </w:tcPr>
          <w:p w14:paraId="4C5E63EE">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企业业绩</w:t>
            </w:r>
          </w:p>
        </w:tc>
        <w:tc>
          <w:tcPr>
            <w:tcW w:w="801" w:type="dxa"/>
            <w:vAlign w:val="center"/>
          </w:tcPr>
          <w:p w14:paraId="236DC2B8">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12</w:t>
            </w:r>
          </w:p>
        </w:tc>
        <w:tc>
          <w:tcPr>
            <w:tcW w:w="4394" w:type="dxa"/>
            <w:vAlign w:val="center"/>
          </w:tcPr>
          <w:p w14:paraId="435D3865">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近五年</w:t>
            </w:r>
            <w:r>
              <w:rPr>
                <w:rFonts w:hint="eastAsia" w:ascii="仿宋" w:hAnsi="仿宋" w:eastAsia="仿宋" w:cs="仿宋"/>
                <w:color w:val="auto"/>
                <w:spacing w:val="2"/>
                <w:kern w:val="0"/>
                <w:sz w:val="24"/>
                <w:szCs w:val="22"/>
              </w:rPr>
              <w:t>（2020年4月至今）</w:t>
            </w:r>
            <w:r>
              <w:rPr>
                <w:rFonts w:hint="eastAsia" w:ascii="仿宋" w:hAnsi="仿宋" w:eastAsia="仿宋" w:cs="仿宋"/>
                <w:color w:val="auto"/>
                <w:spacing w:val="2"/>
                <w:kern w:val="0"/>
                <w:sz w:val="24"/>
                <w:szCs w:val="22"/>
              </w:rPr>
              <w:t>承担过类似的管网维护项目且单份合同管护期在1年及以上的业绩（类似业绩须为市政管网类项目）或承担过单份合同15公里及以上的管网施工业绩，有一份得6分，本项最高得12分。</w:t>
            </w:r>
          </w:p>
        </w:tc>
        <w:tc>
          <w:tcPr>
            <w:tcW w:w="1755" w:type="dxa"/>
            <w:vAlign w:val="center"/>
          </w:tcPr>
          <w:p w14:paraId="7B102014">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投标文件中须提供合同复印件并加盖投标人公章，原件核查，若未提供则该项不得分。</w:t>
            </w:r>
          </w:p>
        </w:tc>
      </w:tr>
      <w:tr w14:paraId="407A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19" w:type="dxa"/>
            <w:vMerge w:val="restart"/>
            <w:vAlign w:val="center"/>
          </w:tcPr>
          <w:p w14:paraId="5B5553B8">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w:t>
            </w:r>
          </w:p>
        </w:tc>
        <w:tc>
          <w:tcPr>
            <w:tcW w:w="1282" w:type="dxa"/>
            <w:vAlign w:val="center"/>
          </w:tcPr>
          <w:p w14:paraId="574DA94E">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项目组人员配备</w:t>
            </w:r>
          </w:p>
        </w:tc>
        <w:tc>
          <w:tcPr>
            <w:tcW w:w="801" w:type="dxa"/>
            <w:vAlign w:val="center"/>
          </w:tcPr>
          <w:p w14:paraId="02B159B6">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10</w:t>
            </w:r>
          </w:p>
        </w:tc>
        <w:tc>
          <w:tcPr>
            <w:tcW w:w="4394" w:type="dxa"/>
            <w:vAlign w:val="center"/>
          </w:tcPr>
          <w:p w14:paraId="6B1FE3F7">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拟投入本项目的人员配备要求：</w:t>
            </w:r>
          </w:p>
          <w:p w14:paraId="1B8CD898">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（1）项目组成员中通过排水管道检测与评估培训或CCTV检测培训,并取得行业主管部门或行业协会颁发的资格证书，除基本要求须提供1人，每增加1人得1分，最高得2分；</w:t>
            </w:r>
          </w:p>
          <w:p w14:paraId="10BA0F9E">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（2）项目组成员中具有潜水特种作业资格证书的，除基本要求须提供1人，每增加1人得1分，最高得3分；</w:t>
            </w:r>
          </w:p>
          <w:p w14:paraId="3E761B8C">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（3）项目组成员中具有有毒有害有限空间作业或有限空间作业资格证书的，除基本要求须提供1人，每增加1人得1分，最高得3分；</w:t>
            </w:r>
          </w:p>
          <w:p w14:paraId="26F47A8C">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（4）项目组成员中具备安全员C证，除基本要求须提供1人，每增加1人得1分，最高得2分。</w:t>
            </w:r>
          </w:p>
        </w:tc>
        <w:tc>
          <w:tcPr>
            <w:tcW w:w="1755" w:type="dxa"/>
            <w:vAlign w:val="center"/>
          </w:tcPr>
          <w:p w14:paraId="2FC0395F">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投标文件中须提供以上人员相关资质证书及</w:t>
            </w:r>
            <w:r>
              <w:rPr>
                <w:rFonts w:hint="eastAsia" w:ascii="仿宋" w:hAnsi="仿宋" w:eastAsia="仿宋" w:cs="仿宋"/>
                <w:color w:val="auto"/>
                <w:spacing w:val="2"/>
                <w:kern w:val="0"/>
                <w:sz w:val="24"/>
                <w:szCs w:val="22"/>
                <w:shd w:val="clear"/>
              </w:rPr>
              <w:t>2</w:t>
            </w:r>
            <w:r>
              <w:rPr>
                <w:rFonts w:ascii="仿宋" w:hAnsi="仿宋" w:eastAsia="仿宋" w:cs="仿宋"/>
                <w:color w:val="auto"/>
                <w:spacing w:val="2"/>
                <w:kern w:val="0"/>
                <w:sz w:val="24"/>
                <w:szCs w:val="22"/>
                <w:shd w:val="clear"/>
              </w:rPr>
              <w:t>02</w:t>
            </w:r>
            <w:r>
              <w:rPr>
                <w:rFonts w:hint="eastAsia" w:ascii="仿宋" w:hAnsi="仿宋" w:eastAsia="仿宋" w:cs="仿宋"/>
                <w:color w:val="auto"/>
                <w:spacing w:val="2"/>
                <w:kern w:val="0"/>
                <w:sz w:val="24"/>
                <w:szCs w:val="22"/>
                <w:shd w:val="clear"/>
              </w:rPr>
              <w:t>4年11月至2</w:t>
            </w:r>
            <w:r>
              <w:rPr>
                <w:rFonts w:ascii="仿宋" w:hAnsi="仿宋" w:eastAsia="仿宋" w:cs="仿宋"/>
                <w:color w:val="auto"/>
                <w:spacing w:val="2"/>
                <w:kern w:val="0"/>
                <w:sz w:val="24"/>
                <w:szCs w:val="22"/>
                <w:shd w:val="clear"/>
              </w:rPr>
              <w:t>02</w:t>
            </w:r>
            <w:r>
              <w:rPr>
                <w:rFonts w:hint="eastAsia" w:ascii="仿宋" w:hAnsi="仿宋" w:eastAsia="仿宋" w:cs="仿宋"/>
                <w:color w:val="auto"/>
                <w:spacing w:val="2"/>
                <w:kern w:val="0"/>
                <w:sz w:val="24"/>
                <w:szCs w:val="22"/>
                <w:shd w:val="clear"/>
              </w:rPr>
              <w:t>5年1月的</w:t>
            </w:r>
            <w:r>
              <w:rPr>
                <w:rFonts w:hint="eastAsia" w:ascii="仿宋" w:hAnsi="仿宋" w:eastAsia="仿宋" w:cs="仿宋"/>
                <w:color w:val="auto"/>
                <w:spacing w:val="2"/>
                <w:kern w:val="0"/>
                <w:sz w:val="24"/>
                <w:szCs w:val="22"/>
              </w:rPr>
              <w:t>社保缴费证明材料复印件并加盖投标人公章，原件核查，若未提供则该项不得分。</w:t>
            </w:r>
          </w:p>
        </w:tc>
      </w:tr>
      <w:tr w14:paraId="231F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9" w:type="dxa"/>
            <w:vMerge w:val="continue"/>
            <w:vAlign w:val="center"/>
          </w:tcPr>
          <w:p w14:paraId="7480CC20">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Align w:val="center"/>
          </w:tcPr>
          <w:p w14:paraId="233E5EBE">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机械、设备投入</w:t>
            </w:r>
          </w:p>
        </w:tc>
        <w:tc>
          <w:tcPr>
            <w:tcW w:w="801" w:type="dxa"/>
            <w:vAlign w:val="center"/>
          </w:tcPr>
          <w:p w14:paraId="332F7B5E">
            <w:pPr>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20</w:t>
            </w:r>
          </w:p>
        </w:tc>
        <w:tc>
          <w:tcPr>
            <w:tcW w:w="4394" w:type="dxa"/>
            <w:vAlign w:val="center"/>
          </w:tcPr>
          <w:p w14:paraId="4DBA3C4E">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（1）100KVA以上发电机：设备为投标单位自有的有1台得2分，设备为投标单位租赁的有1台得1分；本项限评1台，满分2分。</w:t>
            </w:r>
          </w:p>
          <w:p w14:paraId="323AD8BF">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（2）疏通车：设备为投标单位自有的有1台得2分，设备为投标单位租赁的有1台得1分；本项限评2台，满分4分。</w:t>
            </w:r>
          </w:p>
          <w:p w14:paraId="0F755830">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（3）抓斗清淤车：设备为投标单位自有的有1台得2分，设备为投标单位租赁的有1台得1分；本项限评1台，满分2</w:t>
            </w:r>
            <w:r>
              <w:rPr>
                <w:rFonts w:hint="eastAsia" w:ascii="仿宋" w:hAnsi="仿宋" w:eastAsia="仿宋" w:cs="仿宋"/>
                <w:color w:val="auto"/>
                <w:spacing w:val="2"/>
                <w:kern w:val="0"/>
                <w:sz w:val="24"/>
                <w:szCs w:val="22"/>
              </w:rPr>
              <w:t>分。</w:t>
            </w:r>
          </w:p>
          <w:p w14:paraId="781EFCAC">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（4）吸污车：设备为投标单位自有的有1台得2分，设备为投标单位租赁的有1台得1分；本项限评2台，满分4分。</w:t>
            </w:r>
          </w:p>
          <w:p w14:paraId="3A211950">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（5）潜望镜及CCTV检测设备（需同时具有）：设备为投标单位同时自有的得2分，设备为投标单位租赁的得1分；本项潜望镜及CCTV检测设备均限评1台，满分2分。</w:t>
            </w:r>
          </w:p>
          <w:p w14:paraId="55BDA9D2">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（6）全地形机器人：设备为投标单位自有的有1台得2分，设备为投标单位租赁的有1台得1分；本项限评1台，满分2分。</w:t>
            </w:r>
          </w:p>
          <w:p w14:paraId="71AAB541">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（7）污泥干化装置：设备为投标单位自有的有1台得2分，设备为投标单位租赁的有1台得1分；本项限评1台，满分2分。</w:t>
            </w:r>
          </w:p>
          <w:p w14:paraId="339DE76C">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（8）污泥自卸车：设备为投标单位自有的有1台得2分，设备</w:t>
            </w:r>
            <w:r>
              <w:rPr>
                <w:rFonts w:hint="eastAsia" w:ascii="仿宋" w:hAnsi="仿宋" w:eastAsia="仿宋" w:cs="仿宋"/>
                <w:color w:val="auto"/>
                <w:spacing w:val="2"/>
                <w:kern w:val="0"/>
                <w:sz w:val="24"/>
                <w:szCs w:val="22"/>
              </w:rPr>
              <w:t>为投标单位租赁的有1台得1分；本项限评1台，满分2分。</w:t>
            </w:r>
          </w:p>
        </w:tc>
        <w:tc>
          <w:tcPr>
            <w:tcW w:w="1755" w:type="dxa"/>
            <w:vAlign w:val="center"/>
          </w:tcPr>
          <w:p w14:paraId="4411F32C">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1.公司自有设备必须提供发票原件。</w:t>
            </w:r>
          </w:p>
          <w:p w14:paraId="39A609E3">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2.租赁设备提供租赁协议原件。</w:t>
            </w:r>
          </w:p>
          <w:p w14:paraId="3FBF5760">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3.提供设备彩色照片。</w:t>
            </w:r>
          </w:p>
          <w:p w14:paraId="27782DB2">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4.车辆须提供对应车辆的行驶证件原件及体现车辆牌照的彩色照片；证、照相符。</w:t>
            </w:r>
          </w:p>
          <w:p w14:paraId="394B4AB3">
            <w:pPr>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5.若不满足以上要求的，则该项不得分。</w:t>
            </w:r>
          </w:p>
        </w:tc>
      </w:tr>
      <w:tr w14:paraId="21EA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951" w:type="dxa"/>
            <w:gridSpan w:val="5"/>
            <w:vAlign w:val="center"/>
          </w:tcPr>
          <w:p w14:paraId="40DBF154">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（三）技术方案（3</w:t>
            </w:r>
            <w:r>
              <w:rPr>
                <w:rFonts w:ascii="仿宋" w:hAnsi="仿宋" w:eastAsia="仿宋" w:cs="仿宋"/>
                <w:color w:val="auto"/>
                <w:spacing w:val="2"/>
                <w:kern w:val="0"/>
                <w:sz w:val="24"/>
                <w:szCs w:val="22"/>
              </w:rPr>
              <w:t>5</w:t>
            </w:r>
            <w:r>
              <w:rPr>
                <w:rFonts w:hint="eastAsia" w:ascii="仿宋" w:hAnsi="仿宋" w:eastAsia="仿宋" w:cs="仿宋"/>
                <w:color w:val="auto"/>
                <w:spacing w:val="2"/>
                <w:kern w:val="0"/>
                <w:sz w:val="24"/>
                <w:szCs w:val="22"/>
              </w:rPr>
              <w:t>分）</w:t>
            </w:r>
          </w:p>
        </w:tc>
      </w:tr>
      <w:tr w14:paraId="5E6B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19" w:type="dxa"/>
            <w:vMerge w:val="restart"/>
            <w:vAlign w:val="center"/>
          </w:tcPr>
          <w:p w14:paraId="12FDA75D">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w:t>
            </w:r>
          </w:p>
        </w:tc>
        <w:tc>
          <w:tcPr>
            <w:tcW w:w="1282" w:type="dxa"/>
            <w:vMerge w:val="restart"/>
            <w:vAlign w:val="center"/>
          </w:tcPr>
          <w:p w14:paraId="09963461">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技术方案</w:t>
            </w:r>
          </w:p>
        </w:tc>
        <w:tc>
          <w:tcPr>
            <w:tcW w:w="801" w:type="dxa"/>
            <w:vAlign w:val="center"/>
          </w:tcPr>
          <w:p w14:paraId="0831D705">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w:t>
            </w:r>
          </w:p>
        </w:tc>
        <w:tc>
          <w:tcPr>
            <w:tcW w:w="4394" w:type="dxa"/>
            <w:vAlign w:val="center"/>
          </w:tcPr>
          <w:p w14:paraId="72B082A1">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现场勘查，深化方案，针对养护范围结合现场环境，对本次养护范围内的管网，编制合理化的项目实施方案。实施方案专业、详细、可行性强得5-6分；实施方案较专业、较详细、可行性较强得3-4分；实施方案一般、详细度一般、可行性一般得1-2分；未提供不得分。</w:t>
            </w:r>
          </w:p>
        </w:tc>
        <w:tc>
          <w:tcPr>
            <w:tcW w:w="1755" w:type="dxa"/>
            <w:vAlign w:val="center"/>
          </w:tcPr>
          <w:p w14:paraId="4C4F43B8">
            <w:pPr>
              <w:widowControl/>
              <w:tabs>
                <w:tab w:val="left" w:pos="1200"/>
              </w:tabs>
              <w:spacing w:line="260" w:lineRule="exact"/>
              <w:jc w:val="center"/>
              <w:rPr>
                <w:rFonts w:ascii="仿宋" w:hAnsi="仿宋" w:eastAsia="仿宋" w:cs="仿宋"/>
                <w:color w:val="auto"/>
                <w:spacing w:val="2"/>
                <w:kern w:val="0"/>
                <w:sz w:val="24"/>
                <w:szCs w:val="22"/>
              </w:rPr>
            </w:pPr>
          </w:p>
        </w:tc>
      </w:tr>
      <w:tr w14:paraId="1BCC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19" w:type="dxa"/>
            <w:vMerge w:val="continue"/>
            <w:vAlign w:val="center"/>
          </w:tcPr>
          <w:p w14:paraId="05B70804">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Merge w:val="continue"/>
            <w:vAlign w:val="center"/>
          </w:tcPr>
          <w:p w14:paraId="58DEFFAE">
            <w:pPr>
              <w:widowControl/>
              <w:tabs>
                <w:tab w:val="left" w:pos="1200"/>
              </w:tabs>
              <w:spacing w:line="260" w:lineRule="exact"/>
              <w:jc w:val="center"/>
              <w:rPr>
                <w:rFonts w:ascii="仿宋" w:hAnsi="仿宋" w:eastAsia="仿宋" w:cs="仿宋"/>
                <w:color w:val="auto"/>
                <w:spacing w:val="2"/>
                <w:kern w:val="0"/>
                <w:sz w:val="24"/>
                <w:szCs w:val="22"/>
              </w:rPr>
            </w:pPr>
          </w:p>
        </w:tc>
        <w:tc>
          <w:tcPr>
            <w:tcW w:w="801" w:type="dxa"/>
            <w:vAlign w:val="center"/>
          </w:tcPr>
          <w:p w14:paraId="52437173">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w:t>
            </w:r>
          </w:p>
        </w:tc>
        <w:tc>
          <w:tcPr>
            <w:tcW w:w="4394" w:type="dxa"/>
            <w:vAlign w:val="center"/>
          </w:tcPr>
          <w:p w14:paraId="2B642E3A">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应对养护作业设置合理的管理人员安排及职责等。人员安排合理、职责明确得5-6分；人员安排较合理、职责较明确得3-4分；人员安排合理性一般、职责分工不明确得1-2分；未提供不得分。</w:t>
            </w:r>
          </w:p>
        </w:tc>
        <w:tc>
          <w:tcPr>
            <w:tcW w:w="1755" w:type="dxa"/>
            <w:vAlign w:val="center"/>
          </w:tcPr>
          <w:p w14:paraId="7491462A">
            <w:pPr>
              <w:widowControl/>
              <w:tabs>
                <w:tab w:val="left" w:pos="1200"/>
              </w:tabs>
              <w:spacing w:line="260" w:lineRule="exact"/>
              <w:jc w:val="center"/>
              <w:rPr>
                <w:rFonts w:ascii="仿宋" w:hAnsi="仿宋" w:eastAsia="仿宋" w:cs="仿宋"/>
                <w:color w:val="auto"/>
                <w:spacing w:val="2"/>
                <w:kern w:val="0"/>
                <w:sz w:val="24"/>
                <w:szCs w:val="22"/>
              </w:rPr>
            </w:pPr>
          </w:p>
        </w:tc>
      </w:tr>
      <w:tr w14:paraId="0390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19" w:type="dxa"/>
            <w:vMerge w:val="continue"/>
            <w:vAlign w:val="center"/>
          </w:tcPr>
          <w:p w14:paraId="7B61B2C6">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Merge w:val="continue"/>
            <w:vAlign w:val="center"/>
          </w:tcPr>
          <w:p w14:paraId="16E65323">
            <w:pPr>
              <w:widowControl/>
              <w:tabs>
                <w:tab w:val="left" w:pos="1200"/>
              </w:tabs>
              <w:spacing w:line="260" w:lineRule="exact"/>
              <w:jc w:val="center"/>
              <w:rPr>
                <w:rFonts w:ascii="仿宋" w:hAnsi="仿宋" w:eastAsia="仿宋" w:cs="仿宋"/>
                <w:color w:val="auto"/>
                <w:spacing w:val="2"/>
                <w:kern w:val="0"/>
                <w:sz w:val="24"/>
                <w:szCs w:val="22"/>
              </w:rPr>
            </w:pPr>
          </w:p>
        </w:tc>
        <w:tc>
          <w:tcPr>
            <w:tcW w:w="801" w:type="dxa"/>
            <w:vAlign w:val="center"/>
          </w:tcPr>
          <w:p w14:paraId="4713F84E">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w:t>
            </w:r>
          </w:p>
        </w:tc>
        <w:tc>
          <w:tcPr>
            <w:tcW w:w="4394" w:type="dxa"/>
            <w:vAlign w:val="center"/>
          </w:tcPr>
          <w:p w14:paraId="20402D3E">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针对本项目内容以及保证养护质量要求，提供主要维护和维修的质量保证措施等方案。措施方案专业、详细、可行性强得5-6分；措施方案较专业、较详细、可行性较强得3-4分；措施方案一般、详细度一般、可行性一般得1-2分；未提供不得分。</w:t>
            </w:r>
          </w:p>
        </w:tc>
        <w:tc>
          <w:tcPr>
            <w:tcW w:w="1755" w:type="dxa"/>
            <w:vAlign w:val="center"/>
          </w:tcPr>
          <w:p w14:paraId="3C8A5D8A">
            <w:pPr>
              <w:widowControl/>
              <w:tabs>
                <w:tab w:val="left" w:pos="1200"/>
              </w:tabs>
              <w:spacing w:line="260" w:lineRule="exact"/>
              <w:jc w:val="center"/>
              <w:rPr>
                <w:rFonts w:ascii="仿宋" w:hAnsi="仿宋" w:eastAsia="仿宋" w:cs="仿宋"/>
                <w:color w:val="auto"/>
                <w:spacing w:val="2"/>
                <w:kern w:val="0"/>
                <w:sz w:val="24"/>
                <w:szCs w:val="22"/>
              </w:rPr>
            </w:pPr>
          </w:p>
        </w:tc>
      </w:tr>
      <w:tr w14:paraId="6A4D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19" w:type="dxa"/>
            <w:vMerge w:val="continue"/>
            <w:vAlign w:val="center"/>
          </w:tcPr>
          <w:p w14:paraId="4899C5E5">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Merge w:val="continue"/>
            <w:vAlign w:val="center"/>
          </w:tcPr>
          <w:p w14:paraId="65A55C96">
            <w:pPr>
              <w:widowControl/>
              <w:tabs>
                <w:tab w:val="left" w:pos="1200"/>
              </w:tabs>
              <w:spacing w:line="260" w:lineRule="exact"/>
              <w:jc w:val="center"/>
              <w:rPr>
                <w:rFonts w:ascii="仿宋" w:hAnsi="仿宋" w:eastAsia="仿宋" w:cs="仿宋"/>
                <w:color w:val="auto"/>
                <w:spacing w:val="2"/>
                <w:kern w:val="0"/>
                <w:sz w:val="24"/>
                <w:szCs w:val="22"/>
              </w:rPr>
            </w:pPr>
          </w:p>
        </w:tc>
        <w:tc>
          <w:tcPr>
            <w:tcW w:w="801" w:type="dxa"/>
            <w:vAlign w:val="center"/>
          </w:tcPr>
          <w:p w14:paraId="59631F81">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w:t>
            </w:r>
          </w:p>
        </w:tc>
        <w:tc>
          <w:tcPr>
            <w:tcW w:w="4394" w:type="dxa"/>
            <w:vAlign w:val="center"/>
          </w:tcPr>
          <w:p w14:paraId="273D95FA">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根据行业经验及结合本项目工作内容的特殊情况，提出的工作重点、难点及其解决措施。重点、难点及其解决措施完整、详细、可行性强得5-6分；重点、难点及其解决措施较完整、较详细、较可行得3-4分；重点、难点及其解决措施一般、可行性一般得1-2分；未提供不得分。</w:t>
            </w:r>
          </w:p>
        </w:tc>
        <w:tc>
          <w:tcPr>
            <w:tcW w:w="1755" w:type="dxa"/>
            <w:vAlign w:val="center"/>
          </w:tcPr>
          <w:p w14:paraId="4BD1EFAC">
            <w:pPr>
              <w:widowControl/>
              <w:tabs>
                <w:tab w:val="left" w:pos="1200"/>
              </w:tabs>
              <w:spacing w:line="260" w:lineRule="exact"/>
              <w:jc w:val="center"/>
              <w:rPr>
                <w:rFonts w:ascii="仿宋" w:hAnsi="仿宋" w:eastAsia="仿宋" w:cs="仿宋"/>
                <w:color w:val="auto"/>
                <w:spacing w:val="2"/>
                <w:kern w:val="0"/>
                <w:sz w:val="24"/>
                <w:szCs w:val="22"/>
              </w:rPr>
            </w:pPr>
          </w:p>
        </w:tc>
      </w:tr>
      <w:tr w14:paraId="1070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Merge w:val="continue"/>
            <w:vAlign w:val="center"/>
          </w:tcPr>
          <w:p w14:paraId="6B30F52F">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Merge w:val="continue"/>
            <w:vAlign w:val="center"/>
          </w:tcPr>
          <w:p w14:paraId="287C9797">
            <w:pPr>
              <w:widowControl/>
              <w:tabs>
                <w:tab w:val="left" w:pos="1200"/>
              </w:tabs>
              <w:spacing w:line="260" w:lineRule="exact"/>
              <w:jc w:val="center"/>
              <w:rPr>
                <w:rFonts w:ascii="仿宋" w:hAnsi="仿宋" w:eastAsia="仿宋" w:cs="仿宋"/>
                <w:color w:val="auto"/>
                <w:spacing w:val="2"/>
                <w:kern w:val="0"/>
                <w:sz w:val="24"/>
                <w:szCs w:val="22"/>
              </w:rPr>
            </w:pPr>
          </w:p>
        </w:tc>
        <w:tc>
          <w:tcPr>
            <w:tcW w:w="801" w:type="dxa"/>
            <w:vAlign w:val="center"/>
          </w:tcPr>
          <w:p w14:paraId="62827B86">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6</w:t>
            </w:r>
          </w:p>
        </w:tc>
        <w:tc>
          <w:tcPr>
            <w:tcW w:w="4394" w:type="dxa"/>
            <w:vAlign w:val="center"/>
          </w:tcPr>
          <w:p w14:paraId="6062FFE2">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针对项目安全目标、安全措施、现场文明施工和环境保护要求，提出合理的安全文明养护措施，措施完整、可行、操作性强得5-6分；措施较完整、较可行、操作性较强得3-4分；措施一般、可行性一般、可操作性一般得1-2分；未提供不得分。</w:t>
            </w:r>
          </w:p>
        </w:tc>
        <w:tc>
          <w:tcPr>
            <w:tcW w:w="1755" w:type="dxa"/>
            <w:vAlign w:val="center"/>
          </w:tcPr>
          <w:p w14:paraId="401AFB3D">
            <w:pPr>
              <w:widowControl/>
              <w:tabs>
                <w:tab w:val="left" w:pos="1200"/>
              </w:tabs>
              <w:spacing w:line="260" w:lineRule="exact"/>
              <w:jc w:val="center"/>
              <w:rPr>
                <w:rFonts w:ascii="仿宋" w:hAnsi="仿宋" w:eastAsia="仿宋" w:cs="仿宋"/>
                <w:color w:val="auto"/>
                <w:spacing w:val="2"/>
                <w:kern w:val="0"/>
                <w:sz w:val="24"/>
                <w:szCs w:val="22"/>
              </w:rPr>
            </w:pPr>
          </w:p>
        </w:tc>
      </w:tr>
      <w:tr w14:paraId="18A3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719" w:type="dxa"/>
            <w:vMerge w:val="continue"/>
            <w:vAlign w:val="center"/>
          </w:tcPr>
          <w:p w14:paraId="1EF9B301">
            <w:pPr>
              <w:widowControl/>
              <w:tabs>
                <w:tab w:val="left" w:pos="1200"/>
              </w:tabs>
              <w:spacing w:line="260" w:lineRule="exact"/>
              <w:jc w:val="center"/>
              <w:rPr>
                <w:rFonts w:ascii="仿宋" w:hAnsi="仿宋" w:eastAsia="仿宋" w:cs="仿宋"/>
                <w:color w:val="auto"/>
                <w:spacing w:val="2"/>
                <w:kern w:val="0"/>
                <w:sz w:val="24"/>
                <w:szCs w:val="22"/>
              </w:rPr>
            </w:pPr>
          </w:p>
        </w:tc>
        <w:tc>
          <w:tcPr>
            <w:tcW w:w="1282" w:type="dxa"/>
            <w:vMerge w:val="continue"/>
            <w:vAlign w:val="center"/>
          </w:tcPr>
          <w:p w14:paraId="26F6A7CE">
            <w:pPr>
              <w:widowControl/>
              <w:tabs>
                <w:tab w:val="left" w:pos="1200"/>
              </w:tabs>
              <w:spacing w:line="260" w:lineRule="exact"/>
              <w:jc w:val="center"/>
              <w:rPr>
                <w:rFonts w:ascii="仿宋" w:hAnsi="仿宋" w:eastAsia="仿宋" w:cs="仿宋"/>
                <w:color w:val="auto"/>
                <w:spacing w:val="2"/>
                <w:kern w:val="0"/>
                <w:sz w:val="24"/>
                <w:szCs w:val="22"/>
              </w:rPr>
            </w:pPr>
          </w:p>
        </w:tc>
        <w:tc>
          <w:tcPr>
            <w:tcW w:w="801" w:type="dxa"/>
            <w:vAlign w:val="center"/>
          </w:tcPr>
          <w:p w14:paraId="346AD304">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5</w:t>
            </w:r>
          </w:p>
        </w:tc>
        <w:tc>
          <w:tcPr>
            <w:tcW w:w="4394" w:type="dxa"/>
            <w:vAlign w:val="center"/>
          </w:tcPr>
          <w:p w14:paraId="364D5A9A">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针对养护作业过程提出合理化建议并承诺履行，建议完整、可行、操作性强得5分；建议较完整、较可行、操作性较强得3-4分；建议一般、可行性一般、可操作性一般得1-2分；未提供不得分。</w:t>
            </w:r>
          </w:p>
        </w:tc>
        <w:tc>
          <w:tcPr>
            <w:tcW w:w="1755" w:type="dxa"/>
            <w:vAlign w:val="center"/>
          </w:tcPr>
          <w:p w14:paraId="671DB0DF">
            <w:pPr>
              <w:widowControl/>
              <w:tabs>
                <w:tab w:val="left" w:pos="1200"/>
              </w:tabs>
              <w:spacing w:line="260" w:lineRule="exact"/>
              <w:jc w:val="center"/>
              <w:rPr>
                <w:rFonts w:ascii="仿宋" w:hAnsi="仿宋" w:eastAsia="仿宋" w:cs="仿宋"/>
                <w:color w:val="auto"/>
                <w:spacing w:val="2"/>
                <w:kern w:val="0"/>
                <w:sz w:val="24"/>
                <w:szCs w:val="22"/>
              </w:rPr>
            </w:pPr>
          </w:p>
        </w:tc>
      </w:tr>
      <w:tr w14:paraId="64AA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51" w:type="dxa"/>
            <w:gridSpan w:val="5"/>
            <w:vAlign w:val="center"/>
          </w:tcPr>
          <w:p w14:paraId="1AC4E99D">
            <w:pPr>
              <w:tabs>
                <w:tab w:val="left" w:pos="1200"/>
              </w:tabs>
              <w:spacing w:line="260" w:lineRule="exac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（四）售后服务（</w:t>
            </w:r>
            <w:r>
              <w:rPr>
                <w:rFonts w:ascii="仿宋" w:hAnsi="仿宋" w:eastAsia="仿宋" w:cs="仿宋"/>
                <w:color w:val="auto"/>
                <w:spacing w:val="2"/>
                <w:kern w:val="0"/>
                <w:sz w:val="24"/>
                <w:szCs w:val="22"/>
              </w:rPr>
              <w:t>3</w:t>
            </w:r>
            <w:r>
              <w:rPr>
                <w:rFonts w:hint="eastAsia" w:ascii="仿宋" w:hAnsi="仿宋" w:eastAsia="仿宋" w:cs="仿宋"/>
                <w:color w:val="auto"/>
                <w:spacing w:val="2"/>
                <w:kern w:val="0"/>
                <w:sz w:val="24"/>
                <w:szCs w:val="22"/>
              </w:rPr>
              <w:t>分）</w:t>
            </w:r>
          </w:p>
        </w:tc>
      </w:tr>
      <w:tr w14:paraId="6298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19" w:type="dxa"/>
            <w:vAlign w:val="center"/>
          </w:tcPr>
          <w:p w14:paraId="0D375CC6">
            <w:pPr>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w:t>
            </w:r>
          </w:p>
        </w:tc>
        <w:tc>
          <w:tcPr>
            <w:tcW w:w="1282" w:type="dxa"/>
            <w:vAlign w:val="center"/>
          </w:tcPr>
          <w:p w14:paraId="7FCBD5E4">
            <w:pPr>
              <w:tabs>
                <w:tab w:val="left" w:pos="1200"/>
              </w:tabs>
              <w:spacing w:line="260" w:lineRule="exac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售后服务</w:t>
            </w:r>
          </w:p>
        </w:tc>
        <w:tc>
          <w:tcPr>
            <w:tcW w:w="801" w:type="dxa"/>
            <w:vAlign w:val="center"/>
          </w:tcPr>
          <w:p w14:paraId="0B2D5C78">
            <w:pPr>
              <w:tabs>
                <w:tab w:val="left" w:pos="1200"/>
              </w:tabs>
              <w:spacing w:line="260" w:lineRule="exact"/>
              <w:jc w:val="center"/>
              <w:rPr>
                <w:rFonts w:ascii="仿宋" w:hAnsi="仿宋" w:eastAsia="仿宋" w:cs="仿宋"/>
                <w:color w:val="auto"/>
                <w:spacing w:val="2"/>
                <w:kern w:val="0"/>
                <w:sz w:val="24"/>
                <w:szCs w:val="22"/>
              </w:rPr>
            </w:pPr>
            <w:r>
              <w:rPr>
                <w:rFonts w:ascii="仿宋" w:hAnsi="仿宋" w:eastAsia="仿宋" w:cs="仿宋"/>
                <w:color w:val="auto"/>
                <w:spacing w:val="2"/>
                <w:kern w:val="0"/>
                <w:sz w:val="24"/>
                <w:szCs w:val="22"/>
              </w:rPr>
              <w:t>3</w:t>
            </w:r>
          </w:p>
        </w:tc>
        <w:tc>
          <w:tcPr>
            <w:tcW w:w="4394" w:type="dxa"/>
            <w:vAlign w:val="center"/>
          </w:tcPr>
          <w:p w14:paraId="77EE8DE2">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售后服务响应时间：投标单位承诺维修响应时间，白天1小时内维修人员到达现场，夜间2小时内维修人员到达现场的得3分，其余不得分。（以承诺书为准）</w:t>
            </w:r>
          </w:p>
        </w:tc>
        <w:tc>
          <w:tcPr>
            <w:tcW w:w="1755" w:type="dxa"/>
            <w:vAlign w:val="center"/>
          </w:tcPr>
          <w:p w14:paraId="477891B8">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投标文件中须提供承诺书并加盖投标人公章，格式自拟。（若未提供则该项不得分）</w:t>
            </w:r>
          </w:p>
        </w:tc>
      </w:tr>
      <w:tr w14:paraId="407E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51" w:type="dxa"/>
            <w:gridSpan w:val="5"/>
            <w:vAlign w:val="center"/>
          </w:tcPr>
          <w:p w14:paraId="097114A7">
            <w:pPr>
              <w:tabs>
                <w:tab w:val="left" w:pos="1200"/>
              </w:tabs>
              <w:spacing w:line="260" w:lineRule="exac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（五）现场答辩（5分）</w:t>
            </w:r>
          </w:p>
        </w:tc>
      </w:tr>
      <w:tr w14:paraId="018F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19" w:type="dxa"/>
            <w:vAlign w:val="center"/>
          </w:tcPr>
          <w:p w14:paraId="6147E186">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w:t>
            </w:r>
          </w:p>
        </w:tc>
        <w:tc>
          <w:tcPr>
            <w:tcW w:w="1282" w:type="dxa"/>
            <w:vAlign w:val="center"/>
          </w:tcPr>
          <w:p w14:paraId="49C626F5">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现场答辩</w:t>
            </w:r>
          </w:p>
        </w:tc>
        <w:tc>
          <w:tcPr>
            <w:tcW w:w="801" w:type="dxa"/>
            <w:vAlign w:val="center"/>
          </w:tcPr>
          <w:p w14:paraId="02002B7B">
            <w:pPr>
              <w:widowControl/>
              <w:tabs>
                <w:tab w:val="left" w:pos="1200"/>
              </w:tabs>
              <w:spacing w:line="260" w:lineRule="exact"/>
              <w:jc w:val="center"/>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5</w:t>
            </w:r>
          </w:p>
        </w:tc>
        <w:tc>
          <w:tcPr>
            <w:tcW w:w="4394" w:type="dxa"/>
            <w:vAlign w:val="center"/>
          </w:tcPr>
          <w:p w14:paraId="0C3ED8C5">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1、评标委员会在资格审查完成后针对项目实际情况，现场拟定3道题目，由招标人代表现场随机抽取1道作为答辩题目（评标委员会拟定答辩题目时，应同时明确答题要点）。</w:t>
            </w:r>
          </w:p>
          <w:p w14:paraId="26F9CDEB">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2、通过资格审查的所有投标人的项目负责人集中在同一地点在10分钟内以书面形式进行解答。</w:t>
            </w:r>
          </w:p>
          <w:p w14:paraId="7BAF40F9">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3、项目负责人缺席答辩的，按零分计。</w:t>
            </w:r>
          </w:p>
          <w:p w14:paraId="6A0BA649">
            <w:pPr>
              <w:pStyle w:val="8"/>
              <w:rPr>
                <w:rFonts w:ascii="仿宋" w:hAnsi="仿宋" w:eastAsia="仿宋" w:cs="仿宋"/>
                <w:color w:val="auto"/>
                <w:spacing w:val="2"/>
                <w:kern w:val="0"/>
                <w:sz w:val="24"/>
                <w:szCs w:val="22"/>
              </w:rPr>
            </w:pPr>
            <w:r>
              <w:rPr>
                <w:rFonts w:hint="eastAsia" w:ascii="仿宋" w:hAnsi="仿宋" w:eastAsia="仿宋" w:cs="仿宋"/>
                <w:b/>
                <w:bCs/>
                <w:color w:val="auto"/>
                <w:spacing w:val="2"/>
                <w:kern w:val="0"/>
                <w:sz w:val="24"/>
                <w:szCs w:val="22"/>
              </w:rPr>
              <w:t>注：答辩前，招标人核验项目负责人身份（答辩人员需携带第二代居民身份证以便核实），并将手机等通讯工具交由代理机构集中保存。</w:t>
            </w:r>
          </w:p>
        </w:tc>
        <w:tc>
          <w:tcPr>
            <w:tcW w:w="1755" w:type="dxa"/>
            <w:vAlign w:val="center"/>
          </w:tcPr>
          <w:p w14:paraId="75C9F6EE">
            <w:pPr>
              <w:widowControl/>
              <w:tabs>
                <w:tab w:val="left" w:pos="1200"/>
              </w:tabs>
              <w:spacing w:line="260" w:lineRule="exact"/>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评标委员会根据答辩内容的针对性、正确性、完整性进行打分。按优、良、中、差四个等级评分，分别计5分、3分、1分、0分，答辩得分为所有评委评分的算术平均值（计算结果四舍五入，保留两位小数）。</w:t>
            </w:r>
          </w:p>
        </w:tc>
      </w:tr>
    </w:tbl>
    <w:p w14:paraId="1544393D">
      <w:pPr>
        <w:widowControl/>
        <w:ind w:firstLine="366" w:firstLineChars="150"/>
        <w:jc w:val="left"/>
        <w:rPr>
          <w:rFonts w:ascii="仿宋" w:hAnsi="仿宋" w:eastAsia="仿宋" w:cs="仿宋"/>
          <w:color w:val="auto"/>
          <w:spacing w:val="2"/>
          <w:kern w:val="0"/>
          <w:sz w:val="24"/>
          <w:szCs w:val="22"/>
        </w:rPr>
      </w:pPr>
    </w:p>
    <w:p w14:paraId="2AFA04F8">
      <w:pPr>
        <w:widowControl/>
        <w:adjustRightInd w:val="0"/>
        <w:snapToGrid w:val="0"/>
        <w:spacing w:line="360" w:lineRule="exact"/>
        <w:ind w:firstLine="488" w:firstLineChars="200"/>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注：1．评分办法中要求提供的相关各种资格、资质、证书、业绩合同等材料须在投标文件中提供复印件并加盖投标人公章，相对应的原件或公证件必须按照招标文件要求携带至开标现场，随投标文件一并提交，以供评标委员会评标核实，否则该项不得分。</w:t>
      </w:r>
    </w:p>
    <w:p w14:paraId="6E8FA65C">
      <w:pPr>
        <w:widowControl/>
        <w:adjustRightInd w:val="0"/>
        <w:snapToGrid w:val="0"/>
        <w:spacing w:line="360" w:lineRule="exact"/>
        <w:ind w:firstLine="488" w:firstLineChars="200"/>
        <w:jc w:val="left"/>
        <w:rPr>
          <w:rFonts w:ascii="仿宋" w:hAnsi="仿宋" w:eastAsia="仿宋" w:cs="仿宋"/>
          <w:color w:val="auto"/>
          <w:spacing w:val="2"/>
          <w:kern w:val="0"/>
          <w:sz w:val="24"/>
          <w:szCs w:val="22"/>
        </w:rPr>
      </w:pPr>
      <w:r>
        <w:rPr>
          <w:rFonts w:hint="eastAsia" w:ascii="仿宋" w:hAnsi="仿宋" w:eastAsia="仿宋" w:cs="仿宋"/>
          <w:color w:val="auto"/>
          <w:spacing w:val="2"/>
          <w:kern w:val="0"/>
          <w:sz w:val="24"/>
          <w:szCs w:val="22"/>
        </w:rPr>
        <w:t>2．社保机构出具的缴纳社会基本养老保险的缴纳凭证包括以下之一均可：①社保手册原件；②该投标单位经区级以上（含区级）社保出具的缴费清单原件；③投标单位采用社保电子缴费清单的，需从社保机构平台下载具有二维码或者条形码的缴费清单，打印并加盖投标人公章。</w:t>
      </w:r>
    </w:p>
    <w:p w14:paraId="5E64CFF9">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MDE2ZGE4YzA0MjY4ZWUzOTlkNjQ0NGFhM2FhNmIifQ=="/>
  </w:docVars>
  <w:rsids>
    <w:rsidRoot w:val="00AA1828"/>
    <w:rsid w:val="00087DC5"/>
    <w:rsid w:val="001D07AD"/>
    <w:rsid w:val="001E29A2"/>
    <w:rsid w:val="00326498"/>
    <w:rsid w:val="00582A99"/>
    <w:rsid w:val="007463DB"/>
    <w:rsid w:val="008A6ED6"/>
    <w:rsid w:val="008E07ED"/>
    <w:rsid w:val="008F643E"/>
    <w:rsid w:val="009449A8"/>
    <w:rsid w:val="00973A6E"/>
    <w:rsid w:val="009C41BF"/>
    <w:rsid w:val="00AA1828"/>
    <w:rsid w:val="00B27283"/>
    <w:rsid w:val="00B940EA"/>
    <w:rsid w:val="00C87DD6"/>
    <w:rsid w:val="00E02772"/>
    <w:rsid w:val="046E51A7"/>
    <w:rsid w:val="13380815"/>
    <w:rsid w:val="15F65250"/>
    <w:rsid w:val="1A0639B8"/>
    <w:rsid w:val="1D686BDA"/>
    <w:rsid w:val="42581301"/>
    <w:rsid w:val="430E4AF2"/>
    <w:rsid w:val="4BB41B6D"/>
    <w:rsid w:val="51612CAC"/>
    <w:rsid w:val="57BE2B27"/>
    <w:rsid w:val="5E234E02"/>
    <w:rsid w:val="743D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0"/>
    <w:pPr>
      <w:adjustRightInd w:val="0"/>
      <w:spacing w:before="240" w:after="60" w:line="420" w:lineRule="atLeast"/>
      <w:jc w:val="center"/>
      <w:textAlignment w:val="baseline"/>
      <w:outlineLvl w:val="0"/>
    </w:pPr>
    <w:rPr>
      <w:rFonts w:ascii="Arial" w:hAnsi="Arial" w:eastAsiaTheme="minorEastAsia" w:cstheme="minorBidi"/>
      <w:b/>
      <w:sz w:val="32"/>
      <w:szCs w:val="22"/>
    </w:rPr>
  </w:style>
  <w:style w:type="paragraph" w:customStyle="1" w:styleId="7">
    <w:name w:val="Normal_30"/>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8">
    <w:name w:val="BodyText"/>
    <w:basedOn w:val="1"/>
    <w:next w:val="1"/>
    <w:autoRedefine/>
    <w:qFormat/>
    <w:uiPriority w:val="0"/>
    <w:pPr>
      <w:widowControl/>
      <w:spacing w:after="120"/>
      <w:textAlignment w:val="baseline"/>
    </w:pPr>
    <w:rPr>
      <w:szCs w:val="20"/>
    </w:rPr>
  </w:style>
  <w:style w:type="character" w:customStyle="1" w:styleId="9">
    <w:name w:val="页眉 Char"/>
    <w:basedOn w:val="6"/>
    <w:link w:val="3"/>
    <w:qFormat/>
    <w:uiPriority w:val="0"/>
    <w:rPr>
      <w:rFonts w:ascii="Times New Roman" w:hAnsi="Times New Roman" w:eastAsia="宋体" w:cs="Times New Roman"/>
      <w:kern w:val="2"/>
      <w:sz w:val="18"/>
      <w:szCs w:val="18"/>
    </w:rPr>
  </w:style>
  <w:style w:type="character" w:customStyle="1" w:styleId="10">
    <w:name w:val="页脚 Char"/>
    <w:basedOn w:val="6"/>
    <w:link w:val="2"/>
    <w:qFormat/>
    <w:uiPriority w:val="0"/>
    <w:rPr>
      <w:rFonts w:ascii="Times New Roman" w:hAnsi="Times New Roman" w:eastAsia="宋体" w:cs="Times New Roman"/>
      <w:kern w:val="2"/>
      <w:sz w:val="18"/>
      <w:szCs w:val="18"/>
    </w:rPr>
  </w:style>
  <w:style w:type="character" w:customStyle="1" w:styleId="11">
    <w:name w:val="标题 Char"/>
    <w:basedOn w:val="6"/>
    <w:link w:val="4"/>
    <w:qFormat/>
    <w:uiPriority w:val="0"/>
    <w:rPr>
      <w:rFonts w:ascii="Arial" w:hAnsi="Arial"/>
      <w:b/>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10</Pages>
  <Words>5290</Words>
  <Characters>5572</Characters>
  <Lines>43</Lines>
  <Paragraphs>12</Paragraphs>
  <TotalTime>59</TotalTime>
  <ScaleCrop>false</ScaleCrop>
  <LinksUpToDate>false</LinksUpToDate>
  <CharactersWithSpaces>5882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2023-05-22T08:23:00Z</dcterms:created>
  <dc:creator>Administrator</dc:creator>
  <cp:lastModifiedBy>WPS_266029146</cp:lastModifiedBy>
  <dcterms:modified xsi:type="dcterms:W3CDTF">2025-03-06T02:52:59Z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221D2419AB7E477DA23EDD3F07BEEEE1_13</vt:lpwstr>
  </property>
  <property fmtid="{D5CDD505-2E9C-101B-9397-08002B2CF9AE}" pid="4" name="KSOTemplateDocerSaveRecord">
    <vt:lpwstr>eyJoZGlkIjoiNmZhM2Y5YmI3NTRmMGNmZWUyY2ZkYjc2NWY0NDcwYjEiLCJ1c2VySWQiOiIyNjYwMjkxNDYifQ==</vt:lpwstr>
  </property>
</Properties>
</file>