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02E70">
      <w:pPr>
        <w:pStyle w:val="18"/>
        <w:rPr>
          <w:rFonts w:hint="eastAsia" w:ascii="方正小标宋简体" w:hAnsi="方正小标宋简体" w:eastAsia="方正小标宋简体" w:cs="方正小标宋简体"/>
          <w:b/>
          <w:bCs/>
          <w:sz w:val="44"/>
          <w:szCs w:val="44"/>
        </w:rPr>
      </w:pPr>
      <w:bookmarkStart w:id="0" w:name="_Hlk77718959"/>
      <w:bookmarkStart w:id="1" w:name="_Hlk192247740"/>
      <w:r>
        <w:rPr>
          <w:rFonts w:hint="eastAsia" w:ascii="方正小标宋简体" w:hAnsi="Times New Roman" w:eastAsia="方正小标宋简体" w:cs="方正小标宋简体"/>
          <w:bCs/>
          <w:color w:val="auto"/>
          <w:kern w:val="44"/>
          <w:sz w:val="44"/>
          <w:szCs w:val="44"/>
          <w:highlight w:val="none"/>
          <w:lang w:bidi="ar"/>
        </w:rPr>
        <w:t>常州市建设工程招标公告</w:t>
      </w:r>
    </w:p>
    <w:p w14:paraId="78A227AC">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bookmarkStart w:id="2" w:name="_Hlk47568671"/>
      <w:r>
        <w:rPr>
          <w:rFonts w:hint="eastAsia" w:ascii="黑体" w:hAnsi="黑体" w:eastAsia="黑体" w:cs="黑体"/>
          <w:bCs/>
          <w:sz w:val="32"/>
          <w:szCs w:val="32"/>
          <w:lang w:bidi="ar"/>
        </w:rPr>
        <w:t>一、招标条件</w:t>
      </w:r>
      <w:r>
        <w:rPr>
          <w:rFonts w:hint="eastAsia" w:ascii="黑体" w:hAnsi="黑体" w:eastAsia="黑体" w:cs="黑体"/>
          <w:bCs/>
          <w:sz w:val="32"/>
          <w:szCs w:val="32"/>
          <w:lang w:bidi="ar"/>
        </w:rPr>
        <w:tab/>
      </w:r>
    </w:p>
    <w:p w14:paraId="17AFF012">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u w:val="single"/>
        </w:rPr>
        <w:t>玉龙物流园经营性改造项目市政工程施工总承包</w:t>
      </w:r>
      <w:r>
        <w:rPr>
          <w:rFonts w:hint="eastAsia" w:ascii="仿宋_GB2312" w:hAnsi="仿宋_GB2312" w:eastAsia="仿宋_GB2312" w:cs="仿宋_GB2312"/>
          <w:kern w:val="0"/>
          <w:sz w:val="32"/>
          <w:szCs w:val="32"/>
        </w:rPr>
        <w:t>已批准建设，招标人为</w:t>
      </w:r>
      <w:r>
        <w:rPr>
          <w:rFonts w:hint="eastAsia" w:ascii="仿宋_GB2312" w:hAnsi="仿宋_GB2312" w:eastAsia="仿宋_GB2312" w:cs="仿宋_GB2312"/>
          <w:sz w:val="32"/>
          <w:szCs w:val="32"/>
          <w:u w:val="single"/>
        </w:rPr>
        <w:t>常州上崇科技服务有限公司</w:t>
      </w:r>
      <w:r>
        <w:rPr>
          <w:rFonts w:hint="eastAsia" w:ascii="仿宋_GB2312" w:hAnsi="仿宋_GB2312" w:eastAsia="仿宋_GB2312" w:cs="仿宋_GB2312"/>
          <w:kern w:val="0"/>
          <w:sz w:val="32"/>
          <w:szCs w:val="32"/>
        </w:rPr>
        <w:t>，建设资金来自</w:t>
      </w:r>
      <w:r>
        <w:rPr>
          <w:rFonts w:hint="eastAsia" w:ascii="仿宋_GB2312" w:hAnsi="仿宋_GB2312" w:eastAsia="仿宋_GB2312" w:cs="仿宋_GB2312"/>
          <w:kern w:val="0"/>
          <w:sz w:val="32"/>
          <w:szCs w:val="32"/>
          <w:u w:val="single"/>
        </w:rPr>
        <w:t>自筹</w:t>
      </w:r>
      <w:r>
        <w:rPr>
          <w:rFonts w:hint="eastAsia" w:ascii="仿宋_GB2312" w:hAnsi="仿宋_GB2312" w:eastAsia="仿宋_GB2312" w:cs="仿宋_GB2312"/>
          <w:kern w:val="0"/>
          <w:sz w:val="32"/>
          <w:szCs w:val="32"/>
        </w:rPr>
        <w:t>，项目出资比例为</w:t>
      </w:r>
      <w:r>
        <w:rPr>
          <w:rFonts w:hint="eastAsia" w:ascii="仿宋_GB2312" w:hAnsi="仿宋_GB2312" w:eastAsia="仿宋_GB2312" w:cs="仿宋_GB2312"/>
          <w:kern w:val="0"/>
          <w:sz w:val="32"/>
          <w:szCs w:val="32"/>
          <w:u w:val="single"/>
        </w:rPr>
        <w:t>国有</w:t>
      </w:r>
      <w:r>
        <w:rPr>
          <w:rFonts w:hint="eastAsia" w:ascii="仿宋_GB2312" w:hAnsi="仿宋_GB2312" w:eastAsia="仿宋_GB2312" w:cs="仿宋_GB2312"/>
          <w:sz w:val="32"/>
          <w:szCs w:val="32"/>
          <w:u w:val="single"/>
        </w:rPr>
        <w:t>资金</w:t>
      </w:r>
      <w:r>
        <w:rPr>
          <w:rFonts w:hint="eastAsia" w:ascii="仿宋_GB2312" w:hAnsi="仿宋_GB2312" w:eastAsia="仿宋_GB2312" w:cs="仿宋_GB2312"/>
          <w:kern w:val="0"/>
          <w:sz w:val="32"/>
          <w:szCs w:val="32"/>
          <w:u w:val="single"/>
        </w:rPr>
        <w:t>：100.00 %</w:t>
      </w:r>
      <w:r>
        <w:rPr>
          <w:rFonts w:hint="eastAsia" w:ascii="仿宋_GB2312" w:hAnsi="仿宋_GB2312" w:eastAsia="仿宋_GB2312" w:cs="仿宋_GB2312"/>
          <w:kern w:val="0"/>
          <w:sz w:val="32"/>
          <w:szCs w:val="32"/>
        </w:rPr>
        <w:t>。项目已具备招标条件，现对该项目</w:t>
      </w:r>
      <w:r>
        <w:rPr>
          <w:rFonts w:hint="eastAsia" w:ascii="仿宋_GB2312" w:hAnsi="仿宋_GB2312" w:eastAsia="仿宋_GB2312" w:cs="仿宋_GB2312"/>
          <w:kern w:val="0"/>
          <w:sz w:val="32"/>
          <w:szCs w:val="32"/>
          <w:u w:val="single"/>
        </w:rPr>
        <w:t xml:space="preserve">玉龙物流园经营性改造项目市政工程施工总承包 </w:t>
      </w:r>
      <w:r>
        <w:rPr>
          <w:rFonts w:hint="eastAsia" w:ascii="仿宋_GB2312" w:hAnsi="仿宋_GB2312" w:eastAsia="仿宋_GB2312" w:cs="仿宋_GB2312"/>
          <w:kern w:val="0"/>
          <w:sz w:val="32"/>
          <w:szCs w:val="32"/>
        </w:rPr>
        <w:t>施工进行</w:t>
      </w:r>
      <w:r>
        <w:rPr>
          <w:rFonts w:hint="eastAsia" w:ascii="仿宋_GB2312" w:hAnsi="仿宋_GB2312" w:eastAsia="仿宋_GB2312" w:cs="仿宋_GB2312"/>
          <w:kern w:val="0"/>
          <w:sz w:val="32"/>
          <w:szCs w:val="32"/>
          <w:u w:val="single"/>
        </w:rPr>
        <w:t>公开</w:t>
      </w:r>
      <w:r>
        <w:rPr>
          <w:rFonts w:hint="eastAsia" w:ascii="仿宋_GB2312" w:hAnsi="仿宋_GB2312" w:eastAsia="仿宋_GB2312" w:cs="仿宋_GB2312"/>
          <w:kern w:val="0"/>
          <w:sz w:val="32"/>
          <w:szCs w:val="32"/>
        </w:rPr>
        <w:t xml:space="preserve">招标，特邀请有兴趣的潜在投标人参加投标。 </w:t>
      </w:r>
    </w:p>
    <w:p w14:paraId="3D0B094F">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二、项目概况与招标范围</w:t>
      </w:r>
    </w:p>
    <w:p w14:paraId="3A3A1078">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2.1项目概况</w:t>
      </w:r>
    </w:p>
    <w:p w14:paraId="7B9AD5C5">
      <w:pPr>
        <w:spacing w:line="560" w:lineRule="exact"/>
        <w:ind w:firstLine="640" w:firstLineChars="200"/>
        <w:rPr>
          <w:rFonts w:hint="eastAsia" w:ascii="仿宋_GB2312" w:hAnsi="仿宋_GB2312" w:eastAsia="仿宋_GB2312" w:cs="仿宋_GB2312"/>
          <w:sz w:val="32"/>
          <w:szCs w:val="32"/>
          <w:u w:val="single"/>
        </w:rPr>
      </w:pPr>
      <w:r>
        <w:rPr>
          <w:rFonts w:hint="eastAsia" w:ascii="仿宋_GB2312" w:hAnsi="仿宋_GB2312" w:eastAsia="仿宋_GB2312" w:cs="仿宋_GB2312"/>
          <w:bCs/>
          <w:sz w:val="32"/>
          <w:szCs w:val="32"/>
        </w:rPr>
        <w:t>2.1.1建设地点：</w:t>
      </w:r>
      <w:r>
        <w:rPr>
          <w:rFonts w:hint="eastAsia" w:ascii="仿宋_GB2312" w:hAnsi="仿宋_GB2312" w:eastAsia="仿宋_GB2312" w:cs="仿宋_GB2312"/>
          <w:kern w:val="0"/>
          <w:sz w:val="32"/>
          <w:szCs w:val="32"/>
        </w:rPr>
        <w:t>常州市新北区。</w:t>
      </w:r>
    </w:p>
    <w:p w14:paraId="2C5229E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2.1.2建设规模：玉龙物流园经营性改造项目市政工程施工总承包。实施内容包括大型土石方、道路、雨水等。具体详见图纸。</w:t>
      </w:r>
      <w:r>
        <w:rPr>
          <w:rFonts w:hint="eastAsia" w:ascii="仿宋_GB2312" w:hAnsi="仿宋_GB2312" w:eastAsia="仿宋_GB2312" w:cs="仿宋_GB2312"/>
          <w:sz w:val="32"/>
          <w:szCs w:val="32"/>
        </w:rPr>
        <w:t xml:space="preserve"> </w:t>
      </w:r>
    </w:p>
    <w:p w14:paraId="35C4F6D0">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2.1.3本标段合同估算价：2889993.49元</w:t>
      </w:r>
    </w:p>
    <w:p w14:paraId="716B2670">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2.1.4工期要求：85日历天，计划开工日期：2025年4月15日</w:t>
      </w:r>
    </w:p>
    <w:p w14:paraId="7521702F">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2.1.5其他：/</w:t>
      </w:r>
    </w:p>
    <w:p w14:paraId="28A792C6">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2.2招标范围：图纸及</w:t>
      </w:r>
      <w:r>
        <w:rPr>
          <w:rFonts w:hint="eastAsia" w:ascii="仿宋_GB2312" w:hAnsi="仿宋_GB2312" w:eastAsia="仿宋_GB2312" w:cs="仿宋_GB2312"/>
          <w:sz w:val="32"/>
          <w:szCs w:val="32"/>
        </w:rPr>
        <w:t>工程量清单（含编制说明）范围内全部工程</w:t>
      </w:r>
      <w:r>
        <w:rPr>
          <w:rFonts w:hint="eastAsia" w:ascii="仿宋_GB2312" w:hAnsi="仿宋_GB2312" w:eastAsia="仿宋_GB2312" w:cs="仿宋_GB2312"/>
          <w:bCs/>
          <w:sz w:val="32"/>
          <w:szCs w:val="32"/>
        </w:rPr>
        <w:t>。</w:t>
      </w:r>
    </w:p>
    <w:p w14:paraId="3839248A">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三、投标人资格条件</w:t>
      </w:r>
    </w:p>
    <w:p w14:paraId="4BA0BB3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3.1投标人须具备</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b/>
          <w:bCs/>
          <w:kern w:val="0"/>
          <w:sz w:val="32"/>
          <w:szCs w:val="32"/>
          <w:u w:val="single"/>
        </w:rPr>
        <w:t>市政公用工程施工总承包三级及以上</w:t>
      </w:r>
      <w:r>
        <w:rPr>
          <w:rFonts w:hint="eastAsia" w:ascii="仿宋_GB2312" w:hAnsi="仿宋_GB2312" w:eastAsia="仿宋_GB2312" w:cs="仿宋_GB2312"/>
          <w:kern w:val="0"/>
          <w:sz w:val="32"/>
          <w:szCs w:val="32"/>
          <w:u w:val="single"/>
        </w:rPr>
        <w:t>（资质），</w:t>
      </w:r>
      <w:r>
        <w:rPr>
          <w:rFonts w:hint="eastAsia" w:ascii="仿宋_GB2312" w:hAnsi="仿宋_GB2312" w:eastAsia="仿宋_GB2312" w:cs="仿宋_GB2312"/>
          <w:kern w:val="0"/>
          <w:sz w:val="32"/>
          <w:szCs w:val="32"/>
        </w:rPr>
        <w:t>并在人员、设备、资金等方面具有相应的施工能力。</w:t>
      </w:r>
    </w:p>
    <w:p w14:paraId="30690E4E">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3.2投标人拟派项目负责人须具备</w:t>
      </w:r>
      <w:r>
        <w:rPr>
          <w:rFonts w:hint="eastAsia" w:ascii="仿宋_GB2312" w:hAnsi="仿宋_GB2312" w:eastAsia="仿宋_GB2312" w:cs="仿宋_GB2312"/>
          <w:b/>
          <w:bCs/>
          <w:kern w:val="0"/>
          <w:sz w:val="32"/>
          <w:szCs w:val="32"/>
          <w:u w:val="single"/>
        </w:rPr>
        <w:t>市政公用工程专业二级及以上注册建造师资格</w:t>
      </w:r>
      <w:r>
        <w:rPr>
          <w:rFonts w:hint="eastAsia" w:ascii="仿宋_GB2312" w:hAnsi="仿宋_GB2312" w:eastAsia="仿宋_GB2312" w:cs="仿宋_GB2312"/>
          <w:kern w:val="0"/>
          <w:sz w:val="32"/>
          <w:szCs w:val="32"/>
          <w:u w:val="single"/>
        </w:rPr>
        <w:t>（资格）</w:t>
      </w:r>
      <w:r>
        <w:rPr>
          <w:rFonts w:hint="eastAsia" w:ascii="仿宋_GB2312" w:hAnsi="仿宋_GB2312" w:eastAsia="仿宋_GB2312" w:cs="仿宋_GB2312"/>
          <w:kern w:val="0"/>
          <w:sz w:val="32"/>
          <w:szCs w:val="32"/>
        </w:rPr>
        <w:t>。</w:t>
      </w:r>
    </w:p>
    <w:p w14:paraId="6194F2B4">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3.3本次招标</w:t>
      </w:r>
      <w:r>
        <w:rPr>
          <w:rFonts w:hint="eastAsia" w:ascii="仿宋_GB2312" w:hAnsi="仿宋_GB2312" w:eastAsia="仿宋_GB2312" w:cs="仿宋_GB2312"/>
          <w:kern w:val="0"/>
          <w:sz w:val="32"/>
          <w:szCs w:val="32"/>
          <w:u w:val="single"/>
        </w:rPr>
        <w:t>不接受</w:t>
      </w:r>
      <w:r>
        <w:rPr>
          <w:rFonts w:hint="eastAsia" w:ascii="仿宋_GB2312" w:hAnsi="仿宋_GB2312" w:eastAsia="仿宋_GB2312" w:cs="仿宋_GB2312"/>
          <w:kern w:val="0"/>
          <w:sz w:val="32"/>
          <w:szCs w:val="32"/>
        </w:rPr>
        <w:t>（接受/不接受）联合体投标。</w:t>
      </w:r>
    </w:p>
    <w:p w14:paraId="3338570A">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四、招标文件的获取</w:t>
      </w:r>
    </w:p>
    <w:p w14:paraId="51BC73EA">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4.1招标文件获取时间为：2025年3月18日至2025年3月24日17：00；</w:t>
      </w:r>
    </w:p>
    <w:p w14:paraId="5FDC5277">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4.2招标文件获取方式：</w:t>
      </w:r>
    </w:p>
    <w:p w14:paraId="4122C8E3">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（1）投标人首先应注册成为E交易平台网站会员，详见会员操作指南。</w:t>
      </w:r>
    </w:p>
    <w:p w14:paraId="42572904">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（2）投标人按系统提示交纳相关费用后在规定的报名时间内下载招标文件。</w:t>
      </w:r>
    </w:p>
    <w:p w14:paraId="631F82C4">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4.3相关费用：</w:t>
      </w:r>
    </w:p>
    <w:p w14:paraId="21A27CA8">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（1）招标文件资料费：人民币300元整。</w:t>
      </w:r>
    </w:p>
    <w:p w14:paraId="1BF2F82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招标文件资料费发票由代理机构开具。 </w:t>
      </w:r>
    </w:p>
    <w:p w14:paraId="1DB2529C">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（2）平台服务费：由中标人按E交易系统提示操作。平台服务费收款单位：江苏易交易信息科技有限公司，发票由江苏易交易信息科技有限公司开具。</w:t>
      </w:r>
    </w:p>
    <w:p w14:paraId="65620895">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注：</w:t>
      </w:r>
    </w:p>
    <w:p w14:paraId="162CD1AA">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1）下载者首次登</w:t>
      </w:r>
      <w:r>
        <w:rPr>
          <w:rFonts w:hint="eastAsia" w:ascii="仿宋_GB2312" w:hAnsi="仿宋_GB2312" w:eastAsia="仿宋_GB2312" w:cs="仿宋_GB2312"/>
          <w:kern w:val="0"/>
          <w:sz w:val="32"/>
          <w:szCs w:val="32"/>
          <w:lang w:val="en-US" w:eastAsia="zh-CN"/>
        </w:rPr>
        <w:t>录</w:t>
      </w:r>
      <w:r>
        <w:rPr>
          <w:rFonts w:hint="eastAsia" w:ascii="仿宋_GB2312" w:hAnsi="仿宋_GB2312" w:eastAsia="仿宋_GB2312" w:cs="仿宋_GB2312"/>
          <w:kern w:val="0"/>
          <w:sz w:val="32"/>
          <w:szCs w:val="32"/>
        </w:rPr>
        <w:t>平台前，须前往平台免费注册，注册成功且完善相关信息后，可以及时参与平台上所有发布的项目；</w:t>
      </w:r>
    </w:p>
    <w:p w14:paraId="1BD6F9D3">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2）平台网站首页“帮助中心”提供操作手册，下载者可以下载并根据操作手册提示进行注册、登录等操作。平台咨询电话为：400-828-9082。平台会通过短信提醒下载者进行注册、支付、下载等操作；</w:t>
      </w:r>
    </w:p>
    <w:p w14:paraId="6B3B4C79">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3）非因代理机构或平台原因，发票一经开具不予退换。</w:t>
      </w:r>
    </w:p>
    <w:p w14:paraId="51D5B62D">
      <w:pPr>
        <w:spacing w:line="56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4.4、投标保证金有关事项</w:t>
      </w:r>
    </w:p>
    <w:p w14:paraId="35C0E6D5">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（1）投标保证金数额：人民币</w:t>
      </w:r>
      <w:r>
        <w:rPr>
          <w:rFonts w:hint="eastAsia" w:ascii="仿宋_GB2312" w:hAnsi="仿宋_GB2312" w:eastAsia="仿宋_GB2312" w:cs="仿宋_GB2312"/>
          <w:b/>
          <w:bCs/>
          <w:kern w:val="0"/>
          <w:sz w:val="32"/>
          <w:szCs w:val="32"/>
          <w:u w:val="single"/>
        </w:rPr>
        <w:t> 5.5万元</w:t>
      </w:r>
      <w:r>
        <w:rPr>
          <w:rFonts w:hint="eastAsia" w:ascii="仿宋_GB2312" w:hAnsi="仿宋_GB2312" w:eastAsia="仿宋_GB2312" w:cs="仿宋_GB2312"/>
          <w:b/>
          <w:bCs/>
          <w:kern w:val="0"/>
          <w:sz w:val="32"/>
          <w:szCs w:val="32"/>
        </w:rPr>
        <w:t>整。</w:t>
      </w:r>
    </w:p>
    <w:p w14:paraId="615A4A92">
      <w:pPr>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（2）投标保证金缴纳方式：直接缴纳至E交易平台，按E交易系统提示信息操作。网址：E交易-产权交易与招标采购的非标资产电子商务平台 (ejy365.com)。</w:t>
      </w:r>
    </w:p>
    <w:p w14:paraId="158E0EA7">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五、投标截止时间</w:t>
      </w:r>
    </w:p>
    <w:p w14:paraId="01C897FE">
      <w:pPr>
        <w:widowControl/>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5.1投标截止时间为：</w:t>
      </w:r>
      <w:r>
        <w:rPr>
          <w:rFonts w:hint="eastAsia" w:ascii="仿宋_GB2312" w:hAnsi="仿宋_GB2312" w:eastAsia="仿宋_GB2312" w:cs="仿宋_GB2312"/>
          <w:bCs/>
          <w:kern w:val="0"/>
          <w:sz w:val="32"/>
          <w:szCs w:val="32"/>
          <w:u w:val="single"/>
        </w:rPr>
        <w:t>2025年3月31日9时00分（北京时间）</w:t>
      </w:r>
      <w:r>
        <w:rPr>
          <w:rFonts w:hint="eastAsia" w:ascii="仿宋_GB2312" w:hAnsi="仿宋_GB2312" w:eastAsia="仿宋_GB2312" w:cs="仿宋_GB2312"/>
          <w:bCs/>
          <w:kern w:val="0"/>
          <w:sz w:val="32"/>
          <w:szCs w:val="32"/>
        </w:rPr>
        <w:t>。</w:t>
      </w:r>
    </w:p>
    <w:p w14:paraId="43051C84">
      <w:pPr>
        <w:widowControl/>
        <w:spacing w:line="560" w:lineRule="exact"/>
        <w:ind w:firstLine="640" w:firstLineChars="200"/>
        <w:jc w:val="left"/>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 xml:space="preserve">5.2地点：江苏尚田工程项目管理有限公司开标室（常州市新北区通江中路396号中创大厦17楼）。 </w:t>
      </w:r>
    </w:p>
    <w:p w14:paraId="68BF1EB4">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 xml:space="preserve">六、资格审查 </w:t>
      </w:r>
    </w:p>
    <w:p w14:paraId="0709D4BB">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本次招标采用资格后审（见面开标）方式进行资格审查，资格评审标准详见本招标公告附件1资格审查办法。</w:t>
      </w:r>
    </w:p>
    <w:p w14:paraId="1F32CEA5">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七、评标办法</w:t>
      </w:r>
    </w:p>
    <w:p w14:paraId="7B2E5911">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本次招标采用  □综合评估法    □合理低价法  ☑经评审的最低投标价法 ，评标标准和方法详见本招标公告附件2。 </w:t>
      </w:r>
    </w:p>
    <w:p w14:paraId="3C1BEC2B">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left"/>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八、发布公告的媒介</w:t>
      </w:r>
    </w:p>
    <w:p w14:paraId="1640055D">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本次招标公告同时在常州高新区管委会（新北区人民政府）网站、E交易平台网站、江苏尚田工程项目管理有限公司网上发布。</w:t>
      </w:r>
    </w:p>
    <w:p w14:paraId="311A8F29">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宋体" w:hAnsi="宋体" w:cs="宋体"/>
          <w:kern w:val="0"/>
          <w:sz w:val="28"/>
          <w:szCs w:val="28"/>
        </w:rPr>
      </w:pPr>
      <w:r>
        <w:rPr>
          <w:rFonts w:hint="eastAsia" w:ascii="黑体" w:hAnsi="黑体" w:eastAsia="黑体" w:cs="黑体"/>
          <w:bCs/>
          <w:sz w:val="32"/>
          <w:szCs w:val="32"/>
          <w:lang w:bidi="ar"/>
        </w:rPr>
        <w:t xml:space="preserve">九、联系方式    </w:t>
      </w:r>
      <w:r>
        <w:rPr>
          <w:rFonts w:hint="eastAsia" w:ascii="宋体" w:hAnsi="宋体" w:cs="宋体"/>
          <w:kern w:val="0"/>
          <w:sz w:val="28"/>
          <w:szCs w:val="28"/>
        </w:rPr>
        <w:t xml:space="preserve">                   </w:t>
      </w:r>
    </w:p>
    <w:tbl>
      <w:tblPr>
        <w:tblStyle w:val="19"/>
        <w:tblW w:w="9199" w:type="dxa"/>
        <w:tblInd w:w="0" w:type="dxa"/>
        <w:tblLayout w:type="autofit"/>
        <w:tblCellMar>
          <w:top w:w="0" w:type="dxa"/>
          <w:left w:w="108" w:type="dxa"/>
          <w:bottom w:w="0" w:type="dxa"/>
          <w:right w:w="108" w:type="dxa"/>
        </w:tblCellMar>
      </w:tblPr>
      <w:tblGrid>
        <w:gridCol w:w="4180"/>
        <w:gridCol w:w="5019"/>
      </w:tblGrid>
      <w:tr w14:paraId="0DC351B5">
        <w:tblPrEx>
          <w:tblCellMar>
            <w:top w:w="0" w:type="dxa"/>
            <w:left w:w="108" w:type="dxa"/>
            <w:bottom w:w="0" w:type="dxa"/>
            <w:right w:w="108" w:type="dxa"/>
          </w:tblCellMar>
        </w:tblPrEx>
        <w:trPr>
          <w:trHeight w:val="454" w:hRule="atLeast"/>
        </w:trPr>
        <w:tc>
          <w:tcPr>
            <w:tcW w:w="4180" w:type="dxa"/>
          </w:tcPr>
          <w:p w14:paraId="62F2F195">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招标人</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常州上崇科技服务有限公司</w:t>
            </w:r>
          </w:p>
        </w:tc>
        <w:tc>
          <w:tcPr>
            <w:tcW w:w="5019" w:type="dxa"/>
          </w:tcPr>
          <w:p w14:paraId="1D2ACB3B">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招标代理机构</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江苏尚田工程项目管理有限公司</w:t>
            </w:r>
          </w:p>
        </w:tc>
      </w:tr>
      <w:tr w14:paraId="5AC74A3D">
        <w:tblPrEx>
          <w:tblCellMar>
            <w:top w:w="0" w:type="dxa"/>
            <w:left w:w="108" w:type="dxa"/>
            <w:bottom w:w="0" w:type="dxa"/>
            <w:right w:w="108" w:type="dxa"/>
          </w:tblCellMar>
        </w:tblPrEx>
        <w:trPr>
          <w:trHeight w:val="454" w:hRule="atLeast"/>
        </w:trPr>
        <w:tc>
          <w:tcPr>
            <w:tcW w:w="4180" w:type="dxa"/>
          </w:tcPr>
          <w:p w14:paraId="192233DF">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地址</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江苏省常州市新北区春江街道东海路202号24幢</w:t>
            </w:r>
          </w:p>
        </w:tc>
        <w:tc>
          <w:tcPr>
            <w:tcW w:w="5019" w:type="dxa"/>
          </w:tcPr>
          <w:p w14:paraId="502C9E72">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地址</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常州市新北区通江中路396号中创大厦17楼</w:t>
            </w:r>
          </w:p>
        </w:tc>
      </w:tr>
      <w:tr w14:paraId="426DA010">
        <w:tblPrEx>
          <w:tblCellMar>
            <w:top w:w="0" w:type="dxa"/>
            <w:left w:w="108" w:type="dxa"/>
            <w:bottom w:w="0" w:type="dxa"/>
            <w:right w:w="108" w:type="dxa"/>
          </w:tblCellMar>
        </w:tblPrEx>
        <w:trPr>
          <w:trHeight w:val="467" w:hRule="atLeast"/>
        </w:trPr>
        <w:tc>
          <w:tcPr>
            <w:tcW w:w="4180" w:type="dxa"/>
          </w:tcPr>
          <w:p w14:paraId="2A77E34C">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联系人</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祁女士</w:t>
            </w:r>
          </w:p>
        </w:tc>
        <w:tc>
          <w:tcPr>
            <w:tcW w:w="5019" w:type="dxa"/>
          </w:tcPr>
          <w:p w14:paraId="5457ABFB">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联系人</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张先生</w:t>
            </w:r>
          </w:p>
        </w:tc>
      </w:tr>
      <w:tr w14:paraId="6869D4E3">
        <w:tblPrEx>
          <w:tblCellMar>
            <w:top w:w="0" w:type="dxa"/>
            <w:left w:w="108" w:type="dxa"/>
            <w:bottom w:w="0" w:type="dxa"/>
            <w:right w:w="108" w:type="dxa"/>
          </w:tblCellMar>
        </w:tblPrEx>
        <w:trPr>
          <w:trHeight w:val="454" w:hRule="atLeast"/>
        </w:trPr>
        <w:tc>
          <w:tcPr>
            <w:tcW w:w="4180" w:type="dxa"/>
          </w:tcPr>
          <w:p w14:paraId="02A26487">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电话</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0519-85582503</w:t>
            </w:r>
          </w:p>
        </w:tc>
        <w:tc>
          <w:tcPr>
            <w:tcW w:w="5019" w:type="dxa"/>
          </w:tcPr>
          <w:p w14:paraId="2AF732EF">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电话</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0519-86639697</w:t>
            </w:r>
          </w:p>
        </w:tc>
      </w:tr>
    </w:tbl>
    <w:p w14:paraId="3F19060C">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lang w:eastAsia="zh-CN"/>
        </w:rPr>
      </w:pPr>
      <w:bookmarkStart w:id="3" w:name="_Toc389065130"/>
      <w:bookmarkStart w:id="4" w:name="_Toc522797139"/>
      <w:bookmarkStart w:id="5" w:name="_Toc32718"/>
      <w:r>
        <w:rPr>
          <w:rFonts w:hint="eastAsia" w:ascii="仿宋_GB2312" w:hAnsi="仿宋_GB2312" w:eastAsia="仿宋_GB2312" w:cs="仿宋_GB2312"/>
          <w:kern w:val="0"/>
          <w:sz w:val="32"/>
          <w:szCs w:val="32"/>
          <w:u w:val="none"/>
        </w:rPr>
        <w:t>友情提醒</w:t>
      </w:r>
      <w:r>
        <w:rPr>
          <w:rFonts w:hint="eastAsia" w:ascii="仿宋_GB2312" w:hAnsi="仿宋_GB2312" w:eastAsia="仿宋_GB2312" w:cs="仿宋_GB2312"/>
          <w:kern w:val="0"/>
          <w:sz w:val="32"/>
          <w:szCs w:val="32"/>
          <w:u w:val="none"/>
          <w:lang w:eastAsia="zh-CN"/>
        </w:rPr>
        <w:t>：</w:t>
      </w:r>
    </w:p>
    <w:bookmarkEnd w:id="3"/>
    <w:bookmarkEnd w:id="4"/>
    <w:bookmarkEnd w:id="5"/>
    <w:p w14:paraId="3E09BE52">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信息公布</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常州国家高新区管委会（新北区人民政府）网、江苏尚田工程项目管理有限公司网、E交易网。</w:t>
      </w:r>
    </w:p>
    <w:p w14:paraId="16D71FF7">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２</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投标人可在本公告发布网页的后续公告栏内查阅本次招投标的“公告发布、招标文件答疑澄清”等全部相关消息，因未能及时了解相关最新信息所引起的投标失误责任自负。</w:t>
      </w:r>
      <w:bookmarkStart w:id="6" w:name="_GoBack"/>
      <w:bookmarkEnd w:id="6"/>
    </w:p>
    <w:p w14:paraId="4123BD64">
      <w:pPr>
        <w:keepNext w:val="0"/>
        <w:keepLines w:val="0"/>
        <w:pageBreakBefore w:val="0"/>
        <w:widowControl w:val="0"/>
        <w:kinsoku/>
        <w:wordWrap/>
        <w:overflowPunct/>
        <w:topLinePunct w:val="0"/>
        <w:autoSpaceDN/>
        <w:bidi w:val="0"/>
        <w:spacing w:line="560" w:lineRule="exact"/>
        <w:ind w:firstLine="640" w:firstLineChars="200"/>
        <w:textAlignment w:val="auto"/>
        <w:rPr>
          <w:rFonts w:hint="eastAsia" w:ascii="宋体" w:hAnsi="宋体" w:cs="黑体"/>
          <w:bCs/>
          <w:sz w:val="32"/>
          <w:szCs w:val="32"/>
          <w:lang w:bidi="ar"/>
        </w:rPr>
      </w:pPr>
      <w:r>
        <w:rPr>
          <w:rFonts w:hint="eastAsia" w:ascii="仿宋_GB2312" w:hAnsi="仿宋_GB2312" w:eastAsia="仿宋_GB2312" w:cs="仿宋_GB2312"/>
          <w:kern w:val="0"/>
          <w:sz w:val="32"/>
          <w:szCs w:val="32"/>
          <w:u w:val="none"/>
        </w:rPr>
        <w:t>３</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投标人对招标公告及文件如有异议请联系招标人或招标代理机构。</w:t>
      </w:r>
      <w:r>
        <w:rPr>
          <w:rFonts w:hint="eastAsia" w:ascii="仿宋_GB2312" w:hAnsi="仿宋_GB2312" w:eastAsia="仿宋_GB2312" w:cs="仿宋_GB2312"/>
          <w:kern w:val="0"/>
          <w:sz w:val="32"/>
          <w:szCs w:val="32"/>
          <w:u w:val="none"/>
        </w:rPr>
        <w:br w:type="page"/>
      </w:r>
      <w:r>
        <w:rPr>
          <w:rFonts w:hint="eastAsia" w:ascii="黑体" w:hAnsi="黑体" w:eastAsia="黑体" w:cs="黑体"/>
          <w:bCs/>
          <w:sz w:val="32"/>
          <w:szCs w:val="32"/>
          <w:lang w:val="en-US" w:bidi="ar"/>
        </w:rPr>
        <w:t>附件1</w:t>
      </w:r>
    </w:p>
    <w:p w14:paraId="13256997">
      <w:pPr>
        <w:pStyle w:val="18"/>
        <w:keepNext w:val="0"/>
        <w:keepLines w:val="0"/>
        <w:pageBreakBefore w:val="0"/>
        <w:widowControl w:val="0"/>
        <w:kinsoku/>
        <w:wordWrap/>
        <w:overflowPunct/>
        <w:topLinePunct w:val="0"/>
        <w:autoSpaceDE/>
        <w:autoSpaceDN/>
        <w:bidi w:val="0"/>
        <w:adjustRightInd/>
        <w:snapToGrid/>
        <w:spacing w:line="560" w:lineRule="exact"/>
        <w:ind w:firstLine="84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资格审查办法（资格后审）</w:t>
      </w:r>
    </w:p>
    <w:p w14:paraId="1D508B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 xml:space="preserve">一、本工程由招标人委托的评标委员会采用 资格后审 对投标人进行资格审查。 </w:t>
      </w:r>
    </w:p>
    <w:p w14:paraId="360604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二、本工程资审合格条件</w:t>
      </w:r>
      <w:r>
        <w:rPr>
          <w:rFonts w:hint="eastAsia" w:ascii="黑体" w:hAnsi="黑体" w:eastAsia="黑体" w:cs="黑体"/>
          <w:bCs/>
          <w:sz w:val="32"/>
          <w:szCs w:val="32"/>
          <w:lang w:eastAsia="zh-CN" w:bidi="ar"/>
        </w:rPr>
        <w:t>：</w:t>
      </w:r>
      <w:r>
        <w:rPr>
          <w:rFonts w:hint="eastAsia" w:ascii="黑体" w:hAnsi="黑体" w:eastAsia="黑体" w:cs="黑体"/>
          <w:bCs/>
          <w:sz w:val="32"/>
          <w:szCs w:val="32"/>
          <w:lang w:bidi="ar"/>
        </w:rPr>
        <w:t xml:space="preserve"> </w:t>
      </w:r>
    </w:p>
    <w:p w14:paraId="1FD9150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具有独立签订合同的能力； </w:t>
      </w:r>
    </w:p>
    <w:p w14:paraId="660923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未处于被责令停业、投标资格被取消状态； </w:t>
      </w:r>
    </w:p>
    <w:p w14:paraId="07A4FE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企业没有因骗取中标或者严重违约以及发生重大工程质量、安全生产事故等违法违规问题，被有关部门暂停投标资格并在暂停期内的；</w:t>
      </w:r>
    </w:p>
    <w:p w14:paraId="5FCE36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4</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投标文件中的资格审查资料没有失真或者弄虚作假；</w:t>
      </w:r>
    </w:p>
    <w:p w14:paraId="051F57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5</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企业的资质类别、等级和项目负责人注册专业、资格等级符合国家有关规定；</w:t>
      </w:r>
    </w:p>
    <w:p w14:paraId="1E5C80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6</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企业具备安全生产条件，并取得安全生产许可证（相关规定不作要求的除外）；</w:t>
      </w:r>
    </w:p>
    <w:p w14:paraId="5DC1EB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7</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投标人在投标文件递交截止时间当日，对于本次招标文件中要求的企业资质，投标人的建筑业企业资质动态监管结果均不得处于不合格状态； </w:t>
      </w:r>
    </w:p>
    <w:p w14:paraId="737E22B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8</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项目负责人必须满足下列条件</w:t>
      </w:r>
      <w:r>
        <w:rPr>
          <w:rFonts w:hint="eastAsia" w:ascii="仿宋_GB2312" w:hAnsi="仿宋_GB2312" w:eastAsia="仿宋_GB2312" w:cs="仿宋_GB2312"/>
          <w:kern w:val="0"/>
          <w:sz w:val="32"/>
          <w:szCs w:val="32"/>
          <w:u w:val="none"/>
          <w:lang w:eastAsia="zh-CN"/>
        </w:rPr>
        <w:t>：</w:t>
      </w:r>
    </w:p>
    <w:p w14:paraId="49063A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（1）投标人拟派项目负责人须具备市政公用工程专业二级及以上注册建造师资格。</w:t>
      </w:r>
    </w:p>
    <w:p w14:paraId="0EF34B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（2）项目负责人不得同时在两个或者两个以上单位受聘或者执业,且无在建工程。</w:t>
      </w:r>
    </w:p>
    <w:p w14:paraId="26AD2E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项目负责人是非变更后无在建工程，或项目负责人是变更后无在建工程（必须原合同工期已满且变更备案之日已满6个月），或因非承包方原因致使工程项目停工或因故不能按期开工、且已办理了项目负责人解锁手续，或项目负责人有在建工程，但该在建工程与本次招标工程属于同一工程项目、同一项目批文、同一施工地点分段发包或分期施工的情况且总的工程规模在项目负责人执业范围之内。</w:t>
      </w:r>
    </w:p>
    <w:p w14:paraId="5CD568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9</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类似工程业绩要求</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w:t>
      </w:r>
    </w:p>
    <w:p w14:paraId="022383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10</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投标人及项目负责人其他要求</w:t>
      </w:r>
      <w:r>
        <w:rPr>
          <w:rFonts w:hint="eastAsia" w:ascii="仿宋_GB2312" w:hAnsi="仿宋_GB2312" w:eastAsia="仿宋_GB2312" w:cs="仿宋_GB2312"/>
          <w:kern w:val="0"/>
          <w:sz w:val="32"/>
          <w:szCs w:val="32"/>
          <w:u w:val="none"/>
          <w:lang w:eastAsia="zh-CN"/>
        </w:rPr>
        <w:t>：</w:t>
      </w:r>
    </w:p>
    <w:p w14:paraId="27805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（1）企业和拟派项目负责人近三个月（从投标截止时间往前推算）内均没有因串通投标、弄虚作假、以他人名义投标、骗取中标、转包、违法分包等违法行为受到建设等有关部门行政处罚的；</w:t>
      </w:r>
    </w:p>
    <w:p w14:paraId="02DA3D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（2）企业近1年内（从投标截止日期往前推算）没有无正当理由放弃中标资格（不含项目负责人多投多中后放弃）、不与招标人订立合同、拒不提供履约担保情形的；</w:t>
      </w:r>
    </w:p>
    <w:p w14:paraId="097F0A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（3）企业近3个月（从投标截止时间往前推算）内没有因拖欠工人工资被招标项目所在地省、市、县（市、区）建设行政主管部门行政处罚的。（本条内容与招标文件中所载不一致的，以本招标公告为准）；</w:t>
      </w:r>
    </w:p>
    <w:p w14:paraId="69D3C1D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11</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本次招标不接受（接受/不接受）联合体投标；</w:t>
      </w:r>
    </w:p>
    <w:p w14:paraId="7BC0B4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12</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投标人不得存在下列情形之一</w:t>
      </w:r>
      <w:r>
        <w:rPr>
          <w:rFonts w:hint="eastAsia" w:ascii="仿宋_GB2312" w:hAnsi="仿宋_GB2312" w:eastAsia="仿宋_GB2312" w:cs="仿宋_GB2312"/>
          <w:kern w:val="0"/>
          <w:sz w:val="32"/>
          <w:szCs w:val="32"/>
          <w:u w:val="none"/>
          <w:lang w:eastAsia="zh-CN"/>
        </w:rPr>
        <w:t>：</w:t>
      </w:r>
    </w:p>
    <w:p w14:paraId="2ACC49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（1）为招标人不具有独立法人资格的附属机构（单位）； </w:t>
      </w:r>
    </w:p>
    <w:p w14:paraId="7A31A3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（2）为本招标项目的监理人、代建人、项目管理人，以及为本招标项目提供招标代理、设计服务的； </w:t>
      </w:r>
    </w:p>
    <w:p w14:paraId="5D524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（3）与本招标项目的监理人、代建人、招标代理机构同为一个法定代表人的，或者相互控股、参股的； </w:t>
      </w:r>
    </w:p>
    <w:p w14:paraId="39651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（4）与招标人存在利害关系可能影响招标公正性的； </w:t>
      </w:r>
    </w:p>
    <w:p w14:paraId="75F679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（5）单位负责人为同一人或者存在控股、管理关系的不同单位； </w:t>
      </w:r>
    </w:p>
    <w:p w14:paraId="0B98B3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（6）处于被责令停业、财产被接管、冻结和破产状态，以及投标资格被取消或者被暂停且在暂停期内； </w:t>
      </w:r>
    </w:p>
    <w:p w14:paraId="7C1E99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（7）因拖欠工人工资或者因发生质量安全事故被有关部门限制在招标项目所在地承接工程的； </w:t>
      </w:r>
    </w:p>
    <w:p w14:paraId="3CED903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（8）投标人近3年（自投标截止日期往前推算）内有行贿犯罪行为且被记录，或者法定代表人、项目负责人有行贿犯罪记录且自记录之日起未超过5年（自投标截止日期往前推算）的。</w:t>
      </w:r>
    </w:p>
    <w:p w14:paraId="00C1B6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13</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符合法律、法规规定的其他条件。</w:t>
      </w:r>
    </w:p>
    <w:p w14:paraId="227367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三、由招标人委托的评标委员会实施对投标人的资格审查。</w:t>
      </w:r>
    </w:p>
    <w:p w14:paraId="405EF6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四、资格审查提交资料：</w:t>
      </w:r>
    </w:p>
    <w:p w14:paraId="3C700EB0">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4.1投标注册建造师第二代居民身份证；</w:t>
      </w:r>
    </w:p>
    <w:p w14:paraId="043587A8">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4.2投标注册建造师注册证；</w:t>
      </w:r>
      <w:r>
        <w:rPr>
          <w:rFonts w:hint="eastAsia" w:ascii="仿宋_GB2312" w:hAnsi="仿宋_GB2312" w:eastAsia="仿宋_GB2312" w:cs="仿宋_GB2312"/>
          <w:bCs/>
          <w:sz w:val="32"/>
          <w:szCs w:val="32"/>
        </w:rPr>
        <w:t>（注册建造师证书。若投标建造师证书为一级建造师电子证书的，建造师证书须符合《住房和城乡建设部办公厅关于全面实行一级建造师电子注册证书的通知》（建办市〔2021〕40号）要求。）</w:t>
      </w:r>
    </w:p>
    <w:p w14:paraId="3B077A51">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4.3项目负责人有效期内的建设行政主管部门核发的安全生产考核合格证（B证）证书；</w:t>
      </w:r>
    </w:p>
    <w:p w14:paraId="67F8FBEA">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4.4安全员一名，提供专职安全员C证</w:t>
      </w:r>
    </w:p>
    <w:p w14:paraId="6B39D9AE">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4.5企业营业执照（副本）；企业资质等级证书（副本）；企业安全生产许可证（副本）；</w:t>
      </w:r>
    </w:p>
    <w:p w14:paraId="4270F2A7">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4.6提供投标建造师相应社保机构出具的投标单位为其缴纳社会基本养老保险的缴纳凭证（加盖社保中心章或社保中心参保缴费证明电子专用章，非社保手册）,缴纳时间为</w:t>
      </w:r>
      <w:r>
        <w:rPr>
          <w:rFonts w:hint="eastAsia" w:ascii="仿宋_GB2312" w:hAnsi="仿宋_GB2312" w:eastAsia="仿宋_GB2312" w:cs="仿宋_GB2312"/>
          <w:b/>
          <w:bCs/>
          <w:sz w:val="32"/>
          <w:szCs w:val="32"/>
        </w:rPr>
        <w:t>2024年12月至2025年3月</w:t>
      </w:r>
      <w:r>
        <w:rPr>
          <w:rFonts w:hint="eastAsia" w:ascii="仿宋_GB2312" w:hAnsi="仿宋_GB2312" w:eastAsia="仿宋_GB2312" w:cs="仿宋_GB2312"/>
          <w:sz w:val="32"/>
          <w:szCs w:val="32"/>
        </w:rPr>
        <w:t>连续三个月</w:t>
      </w:r>
      <w:r>
        <w:rPr>
          <w:rFonts w:hint="eastAsia" w:ascii="仿宋_GB2312" w:hAnsi="仿宋_GB2312" w:eastAsia="仿宋_GB2312" w:cs="仿宋_GB2312"/>
          <w:b/>
          <w:bCs/>
          <w:sz w:val="32"/>
          <w:szCs w:val="32"/>
        </w:rPr>
        <w:t>（如为退休返聘人员须提供退休证明及返聘合同）</w:t>
      </w:r>
      <w:r>
        <w:rPr>
          <w:rFonts w:hint="eastAsia" w:ascii="仿宋_GB2312" w:hAnsi="仿宋_GB2312" w:eastAsia="仿宋_GB2312" w:cs="仿宋_GB2312"/>
          <w:sz w:val="32"/>
          <w:szCs w:val="32"/>
        </w:rPr>
        <w:t>。</w:t>
      </w:r>
    </w:p>
    <w:p w14:paraId="653243C7">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4.7提供授权委托人相应社保机构出具的投标单位为其缴纳社会基本养老保险的缴纳凭证（加盖社保中心章或社保中心参保缴费证明电子专用章，非社保手册） ,缴纳时间为</w:t>
      </w:r>
      <w:r>
        <w:rPr>
          <w:rFonts w:hint="eastAsia" w:ascii="仿宋_GB2312" w:hAnsi="仿宋_GB2312" w:eastAsia="仿宋_GB2312" w:cs="仿宋_GB2312"/>
          <w:b/>
          <w:bCs/>
          <w:sz w:val="32"/>
          <w:szCs w:val="32"/>
        </w:rPr>
        <w:t>2024年12月至2025年2月</w:t>
      </w:r>
      <w:r>
        <w:rPr>
          <w:rFonts w:hint="eastAsia" w:ascii="仿宋_GB2312" w:hAnsi="仿宋_GB2312" w:eastAsia="仿宋_GB2312" w:cs="仿宋_GB2312"/>
          <w:sz w:val="32"/>
          <w:szCs w:val="32"/>
        </w:rPr>
        <w:t>连续三个月</w:t>
      </w:r>
      <w:r>
        <w:rPr>
          <w:rFonts w:hint="eastAsia" w:ascii="仿宋_GB2312" w:hAnsi="仿宋_GB2312" w:eastAsia="仿宋_GB2312" w:cs="仿宋_GB2312"/>
          <w:b/>
          <w:bCs/>
          <w:sz w:val="32"/>
          <w:szCs w:val="32"/>
        </w:rPr>
        <w:t>（如为退休返聘人员须提供退休证明及返聘合同）</w:t>
      </w:r>
      <w:r>
        <w:rPr>
          <w:rFonts w:hint="eastAsia" w:ascii="仿宋_GB2312" w:hAnsi="仿宋_GB2312" w:eastAsia="仿宋_GB2312" w:cs="仿宋_GB2312"/>
          <w:sz w:val="32"/>
          <w:szCs w:val="32"/>
        </w:rPr>
        <w:t>。</w:t>
      </w:r>
    </w:p>
    <w:p w14:paraId="4A402A44">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4.8授权委托人本人第二代居民身份证。</w:t>
      </w:r>
    </w:p>
    <w:p w14:paraId="06876EE2">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4.9投标人的法定代表人或被委托人必须携带法定代表人资格书（加盖公章、格式详见附件三）、法定代表人授权委托书（加盖公章、法人签章、格式详见附件四）。</w:t>
      </w:r>
    </w:p>
    <w:p w14:paraId="4250D1CA">
      <w:pPr>
        <w:pStyle w:val="2"/>
        <w:spacing w:after="0"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4.10投标保证金缴款回单。</w:t>
      </w:r>
    </w:p>
    <w:p w14:paraId="5048EB20">
      <w:pPr>
        <w:widowControl/>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4.11投标人信用承诺书（详见附件五）。</w:t>
      </w:r>
    </w:p>
    <w:p w14:paraId="775B08E8">
      <w:pPr>
        <w:widowControl/>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特别提醒：</w:t>
      </w:r>
    </w:p>
    <w:p w14:paraId="0B04FBC5">
      <w:pPr>
        <w:pStyle w:val="52"/>
        <w:spacing w:line="560" w:lineRule="exact"/>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① 以上所有资料资格审查时必须提供有效复印件二份，复印件必须装订成册并加盖公章，如未提供或提供不全，作资格审查不通过处理，不接受补充资料。报名单位必须对其提供的资料的真实性负责。资审材料需单独装袋、密封（在封袋骑缝密封处加盖企业公章和企业法定代表人签章）。   </w:t>
      </w:r>
    </w:p>
    <w:p w14:paraId="3F6B2B32">
      <w:pPr>
        <w:widowControl/>
        <w:tabs>
          <w:tab w:val="left" w:pos="8820"/>
        </w:tabs>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②除授权委托人身份证原件不用装袋、密封，其他资格审查资料必须一起装袋、密封（在封袋骑缝密封处加盖企业公章和企业法定代表人签章），在资格审查前一次性递交，资格审查截止时间后不再接受补充资料。</w:t>
      </w:r>
    </w:p>
    <w:p w14:paraId="0654CE05">
      <w:pPr>
        <w:widowControl/>
        <w:tabs>
          <w:tab w:val="left" w:pos="8820"/>
        </w:tabs>
        <w:spacing w:line="560" w:lineRule="exact"/>
        <w:ind w:firstLine="643" w:firstLineChars="200"/>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③在规定时间内未能按上述要求提供以上资料的作资审不合格处理。 </w:t>
      </w:r>
    </w:p>
    <w:p w14:paraId="01F88240">
      <w:pPr>
        <w:adjustRightInd w:val="0"/>
        <w:spacing w:line="560" w:lineRule="exact"/>
        <w:ind w:firstLine="643" w:firstLineChars="200"/>
        <w:jc w:val="left"/>
        <w:textAlignment w:val="baseline"/>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④投标人在投标文件递交截止时间当日，对于本次招标公告中要求的企业资质，投标单位在江苏省建筑市场监管与诚信信息一体化平台动态监管不合格资质查询中显示不合格的，按资审不合格处理。</w:t>
      </w:r>
    </w:p>
    <w:p w14:paraId="036FBF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五、开标（包括资格后审）时间、地点</w:t>
      </w:r>
      <w:r>
        <w:rPr>
          <w:rFonts w:hint="eastAsia" w:ascii="黑体" w:hAnsi="黑体" w:eastAsia="黑体" w:cs="黑体"/>
          <w:bCs/>
          <w:sz w:val="32"/>
          <w:szCs w:val="32"/>
          <w:lang w:eastAsia="zh-CN" w:bidi="ar"/>
        </w:rPr>
        <w:t>：</w:t>
      </w:r>
      <w:r>
        <w:rPr>
          <w:rFonts w:hint="eastAsia" w:ascii="黑体" w:hAnsi="黑体" w:eastAsia="黑体" w:cs="黑体"/>
          <w:bCs/>
          <w:sz w:val="32"/>
          <w:szCs w:val="32"/>
          <w:lang w:bidi="ar"/>
        </w:rPr>
        <w:t>详见招标文件投标人须知。</w:t>
      </w:r>
    </w:p>
    <w:p w14:paraId="7112DC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bidi="ar"/>
        </w:rPr>
        <w:t>六、投标人的法定代表人（或委托代理人）须携带第二代身份证原件于投标截止时间前到达开标现场并签到，并在招标人按开标程序进行点名时，向招标人提交本人第二代身份证原件，以证明其出席，未按以上要求，其投标文件将作无效投标予以否决。</w:t>
      </w:r>
    </w:p>
    <w:p w14:paraId="7B9B774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备注</w:t>
      </w:r>
      <w:r>
        <w:rPr>
          <w:rFonts w:hint="eastAsia" w:ascii="仿宋_GB2312" w:hAnsi="仿宋_GB2312" w:eastAsia="仿宋_GB2312" w:cs="仿宋_GB2312"/>
          <w:kern w:val="0"/>
          <w:sz w:val="32"/>
          <w:szCs w:val="32"/>
          <w:u w:val="none"/>
          <w:lang w:eastAsia="zh-CN"/>
        </w:rPr>
        <w:t>：</w:t>
      </w:r>
    </w:p>
    <w:p w14:paraId="163AD2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信息公布、招标文件（工程量清单、图纸）的下载、招标控制价的下载、招投标答疑</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“E交易平台”、“江苏尚田工程项目管理有限公司”。</w:t>
      </w:r>
    </w:p>
    <w:p w14:paraId="69A87D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本工程所有的资审资料，都必须在有效期内。 </w:t>
      </w:r>
    </w:p>
    <w:p w14:paraId="7FF24D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3</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本工程不满3家投标将重新组织招标。</w:t>
      </w:r>
    </w:p>
    <w:p w14:paraId="0DA061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4</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本工程的图纸设计单位不得参与投标。</w:t>
      </w:r>
    </w:p>
    <w:p w14:paraId="5CD31B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p>
    <w:p w14:paraId="29D9B1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仿宋_GB2312"/>
          <w:sz w:val="32"/>
          <w:szCs w:val="32"/>
        </w:rPr>
      </w:pPr>
      <w:r>
        <w:rPr>
          <w:rFonts w:hint="eastAsia" w:ascii="仿宋_GB2312" w:hAnsi="仿宋_GB2312" w:eastAsia="仿宋_GB2312" w:cs="仿宋_GB2312"/>
          <w:sz w:val="32"/>
          <w:szCs w:val="32"/>
        </w:rPr>
        <w:br w:type="page"/>
      </w:r>
      <w:r>
        <w:rPr>
          <w:rFonts w:hint="eastAsia" w:ascii="黑体" w:hAnsi="黑体" w:eastAsia="黑体" w:cs="黑体"/>
          <w:bCs/>
          <w:sz w:val="32"/>
          <w:szCs w:val="32"/>
          <w:lang w:val="en-US" w:bidi="ar"/>
        </w:rPr>
        <w:t>附件2</w:t>
      </w:r>
    </w:p>
    <w:bookmarkEnd w:id="0"/>
    <w:bookmarkEnd w:id="2"/>
    <w:p w14:paraId="1F808260">
      <w:pPr>
        <w:pStyle w:val="18"/>
        <w:keepNext w:val="0"/>
        <w:keepLines w:val="0"/>
        <w:pageBreakBefore w:val="0"/>
        <w:kinsoku/>
        <w:wordWrap/>
        <w:overflowPunct/>
        <w:topLinePunct w:val="0"/>
        <w:autoSpaceDE/>
        <w:autoSpaceDN/>
        <w:bidi w:val="0"/>
        <w:adjustRightInd/>
        <w:snapToGrid/>
        <w:spacing w:line="560" w:lineRule="exact"/>
        <w:ind w:firstLine="84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评 标 细 则</w:t>
      </w:r>
    </w:p>
    <w:p w14:paraId="20164D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本着公平、公正、公开的原则对各投标单位投标文件中的商务标等方面进行评分。具体办法如下</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（共计100分） </w:t>
      </w:r>
    </w:p>
    <w:p w14:paraId="129F83A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第一步</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投标文件能够满足招标文件的实质性要求； </w:t>
      </w:r>
    </w:p>
    <w:p w14:paraId="0C8B20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第二步</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符合性清标，商务标符合招标文件的实质性要求； </w:t>
      </w:r>
    </w:p>
    <w:p w14:paraId="505845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第三步</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投标报价得分。</w:t>
      </w:r>
    </w:p>
    <w:p w14:paraId="655DA00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bidi="ar"/>
        </w:rPr>
      </w:pPr>
      <w:r>
        <w:rPr>
          <w:rFonts w:hint="eastAsia" w:ascii="黑体" w:hAnsi="黑体" w:eastAsia="黑体" w:cs="黑体"/>
          <w:bCs/>
          <w:sz w:val="32"/>
          <w:szCs w:val="32"/>
          <w:lang w:val="en-US" w:bidi="ar"/>
        </w:rPr>
        <w:t xml:space="preserve">一、投标报价（100 分） </w:t>
      </w:r>
    </w:p>
    <w:p w14:paraId="53D1B92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确定有效投标报价。 </w:t>
      </w:r>
    </w:p>
    <w:p w14:paraId="2FB93AB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凡符合招标文件、招标答疑纪要等有关招标实质性要求，且在招标控制价（</w:t>
      </w:r>
      <w:r>
        <w:rPr>
          <w:rFonts w:hint="eastAsia" w:ascii="仿宋_GB2312" w:hAnsi="仿宋_GB2312" w:eastAsia="仿宋_GB2312" w:cs="仿宋_GB2312"/>
          <w:kern w:val="0"/>
          <w:sz w:val="32"/>
          <w:szCs w:val="32"/>
          <w:u w:val="none"/>
          <w:lang w:val="en-US"/>
        </w:rPr>
        <w:t>总价和综合单价</w:t>
      </w:r>
      <w:r>
        <w:rPr>
          <w:rFonts w:hint="eastAsia" w:ascii="仿宋_GB2312" w:hAnsi="仿宋_GB2312" w:eastAsia="仿宋_GB2312" w:cs="仿宋_GB2312"/>
          <w:kern w:val="0"/>
          <w:sz w:val="32"/>
          <w:szCs w:val="32"/>
          <w:u w:val="none"/>
        </w:rPr>
        <w:t xml:space="preserve">）及以下的投标文件均为有效投标文件，未能实质性响应上述有关招标要求的投标文件为无效投标文件。 </w:t>
      </w:r>
    </w:p>
    <w:p w14:paraId="700DD8F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打分 </w:t>
      </w:r>
    </w:p>
    <w:p w14:paraId="5E486F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以有效投标文件的最低评标价为评标基准价，评标价等于评标基准价的得满分；偏离评标基准价的，评标价相对评标基准价每高1%，扣0.3分，偏离不足1%的，按照插入法计算得分，得分保留二位小数。  </w:t>
      </w:r>
    </w:p>
    <w:p w14:paraId="1BE3414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val="en-US" w:bidi="ar"/>
        </w:rPr>
      </w:pPr>
      <w:r>
        <w:rPr>
          <w:rFonts w:hint="eastAsia" w:ascii="黑体" w:hAnsi="黑体" w:eastAsia="黑体" w:cs="黑体"/>
          <w:bCs/>
          <w:sz w:val="32"/>
          <w:szCs w:val="32"/>
          <w:lang w:val="en-US" w:bidi="ar"/>
        </w:rPr>
        <w:t>二、定标办法</w:t>
      </w:r>
    </w:p>
    <w:p w14:paraId="784C2C3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（1）以上得分最高者为第一中标候选人；若得分相同，则选择其中投标报价低者为中标候选人；若得分相同，投标报价也相同，当场按签到顺序抽签确定中标候选人。</w:t>
      </w:r>
    </w:p>
    <w:p w14:paraId="1D4A0C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2）在评标结束前，评标委员会应在“信用中国”、中国执行信息公开网网站上对拟推荐为“中标候选人”的信用情况进行查询。投标人、项目负责人及其联合体中任何一个成员正被列为失信被执行人等情形的，评标委员会不得推荐为“中标候选人”，取消拟推荐为“中标候选人”资格后，评标委员会应按评标排名进行依次递补。</w:t>
      </w:r>
    </w:p>
    <w:p w14:paraId="3CC0447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注意事项</w:t>
      </w:r>
      <w:r>
        <w:rPr>
          <w:rFonts w:hint="eastAsia" w:ascii="仿宋_GB2312" w:hAnsi="仿宋_GB2312" w:eastAsia="仿宋_GB2312" w:cs="仿宋_GB2312"/>
          <w:kern w:val="0"/>
          <w:sz w:val="32"/>
          <w:szCs w:val="32"/>
          <w:u w:val="none"/>
          <w:lang w:eastAsia="zh-CN"/>
        </w:rPr>
        <w:t>：</w:t>
      </w:r>
    </w:p>
    <w:p w14:paraId="370ED04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１</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一旦发现中标候选单位的投标建造师已有在建或已另有工程中标的，则取消其中标候选人资格，同时按相关法律法规处罚。 </w:t>
      </w:r>
    </w:p>
    <w:p w14:paraId="4E59588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２</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一旦发现中标单位存在非法转包、转让、挂靠等行为的， 将依法进行处理 ，给招标人造成损失的，依法承担赔偿责任。 </w:t>
      </w:r>
    </w:p>
    <w:p w14:paraId="54A7503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３</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本工程招标公告中的评标细则与招标文件中的评标细则不一致时，以招标公告中的评标细则为准。</w:t>
      </w:r>
    </w:p>
    <w:p w14:paraId="31BC7DB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sectPr>
          <w:footerReference r:id="rId7" w:type="first"/>
          <w:footerReference r:id="rId5" w:type="default"/>
          <w:footerReference r:id="rId6" w:type="even"/>
          <w:pgSz w:w="11906" w:h="16838"/>
          <w:pgMar w:top="1928" w:right="1361" w:bottom="2154" w:left="1474" w:header="851" w:footer="992" w:gutter="0"/>
          <w:pgNumType w:fmt="decimal"/>
          <w:cols w:space="720" w:num="1"/>
          <w:titlePg/>
          <w:docGrid w:type="lines" w:linePitch="312" w:charSpace="0"/>
        </w:sectPr>
      </w:pPr>
    </w:p>
    <w:p w14:paraId="27305A8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val="en-US" w:eastAsia="zh-CN" w:bidi="ar"/>
        </w:rPr>
      </w:pPr>
      <w:r>
        <w:rPr>
          <w:rFonts w:hint="eastAsia" w:ascii="黑体" w:hAnsi="黑体" w:eastAsia="黑体" w:cs="黑体"/>
          <w:bCs/>
          <w:sz w:val="32"/>
          <w:szCs w:val="32"/>
          <w:lang w:val="en-US" w:bidi="ar"/>
        </w:rPr>
        <w:t>附件</w:t>
      </w:r>
      <w:r>
        <w:rPr>
          <w:rFonts w:hint="eastAsia" w:ascii="黑体" w:hAnsi="黑体" w:eastAsia="黑体" w:cs="黑体"/>
          <w:bCs/>
          <w:sz w:val="32"/>
          <w:szCs w:val="32"/>
          <w:lang w:val="en-US" w:eastAsia="zh-CN" w:bidi="ar"/>
        </w:rPr>
        <w:t>3</w:t>
      </w:r>
    </w:p>
    <w:p w14:paraId="050DE6F5">
      <w:pPr>
        <w:keepNext w:val="0"/>
        <w:keepLines w:val="0"/>
        <w:pageBreakBefore w:val="0"/>
        <w:tabs>
          <w:tab w:val="left" w:pos="0"/>
        </w:tabs>
        <w:kinsoku/>
        <w:wordWrap/>
        <w:overflowPunct/>
        <w:topLinePunct w:val="0"/>
        <w:autoSpaceDE/>
        <w:autoSpaceDN/>
        <w:bidi w:val="0"/>
        <w:adjustRightInd/>
        <w:snapToGrid/>
        <w:spacing w:line="560" w:lineRule="exact"/>
        <w:ind w:firstLine="643" w:firstLineChars="200"/>
        <w:jc w:val="center"/>
        <w:textAlignment w:val="auto"/>
        <w:rPr>
          <w:rFonts w:hint="eastAsia" w:ascii="仿宋_GB2312" w:hAnsi="仿宋_GB2312" w:eastAsia="仿宋_GB2312" w:cs="仿宋_GB2312"/>
          <w:b/>
          <w:sz w:val="32"/>
          <w:szCs w:val="32"/>
        </w:rPr>
      </w:pPr>
    </w:p>
    <w:p w14:paraId="14EDD8F5">
      <w:pPr>
        <w:keepNext w:val="0"/>
        <w:keepLines w:val="0"/>
        <w:pageBreakBefore w:val="0"/>
        <w:widowControl w:val="0"/>
        <w:kinsoku/>
        <w:wordWrap/>
        <w:overflowPunct/>
        <w:topLinePunct w:val="0"/>
        <w:autoSpaceDE w:val="0"/>
        <w:autoSpaceDN/>
        <w:bidi w:val="0"/>
        <w:spacing w:line="560" w:lineRule="exact"/>
        <w:ind w:left="0" w:leftChars="0" w:right="0" w:rightChars="0" w:firstLine="880" w:firstLineChars="200"/>
        <w:jc w:val="center"/>
        <w:textAlignment w:val="auto"/>
        <w:outlineLvl w:val="0"/>
        <w:rPr>
          <w:rFonts w:hint="eastAsia" w:ascii="方正小标宋简体" w:hAnsi="Times New Roman" w:eastAsia="方正小标宋简体" w:cs="方正小标宋简体"/>
          <w:bCs/>
          <w:color w:val="auto"/>
          <w:kern w:val="44"/>
          <w:sz w:val="44"/>
          <w:szCs w:val="44"/>
          <w:highlight w:val="none"/>
          <w:lang w:bidi="ar"/>
        </w:rPr>
      </w:pPr>
      <w:r>
        <w:rPr>
          <w:rFonts w:hint="eastAsia" w:ascii="方正小标宋简体" w:hAnsi="Times New Roman" w:eastAsia="方正小标宋简体" w:cs="方正小标宋简体"/>
          <w:bCs/>
          <w:color w:val="auto"/>
          <w:kern w:val="44"/>
          <w:sz w:val="44"/>
          <w:szCs w:val="44"/>
          <w:highlight w:val="none"/>
          <w:lang w:bidi="ar"/>
        </w:rPr>
        <w:t>法定代表人资格书</w:t>
      </w:r>
    </w:p>
    <w:p w14:paraId="7E1DB027">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单位名称：</w:t>
      </w:r>
    </w:p>
    <w:p w14:paraId="0B5A705C">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地址：</w:t>
      </w:r>
    </w:p>
    <w:p w14:paraId="34B42C37">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姓名：             性别：          年龄：          职务：</w:t>
      </w:r>
    </w:p>
    <w:p w14:paraId="7DD4B2CB">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 的法定代表人。为施工、竣工和保修</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的工程，签署上述工程的报名材料、资审材料、投标文件、进行合同谈判、签署合同和处理与之有关的一切事务。</w:t>
      </w:r>
    </w:p>
    <w:p w14:paraId="05EF9F01">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特此证明。</w:t>
      </w:r>
    </w:p>
    <w:p w14:paraId="2909BFD2">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113FF05B">
      <w:pPr>
        <w:pStyle w:val="13"/>
        <w:keepNext w:val="0"/>
        <w:keepLines w:val="0"/>
        <w:pageBreakBefore w:val="0"/>
        <w:kinsoku/>
        <w:wordWrap/>
        <w:overflowPunct/>
        <w:topLinePunct w:val="0"/>
        <w:bidi w:val="0"/>
        <w:adjustRightInd w:val="0"/>
        <w:snapToGrid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年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0E6A9ECF">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359309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0288" behindDoc="0" locked="0" layoutInCell="1" allowOverlap="1">
                <wp:simplePos x="0" y="0"/>
                <wp:positionH relativeFrom="column">
                  <wp:posOffset>231140</wp:posOffset>
                </wp:positionH>
                <wp:positionV relativeFrom="paragraph">
                  <wp:posOffset>258445</wp:posOffset>
                </wp:positionV>
                <wp:extent cx="4933950" cy="2882900"/>
                <wp:effectExtent l="4445" t="4445" r="14605" b="8255"/>
                <wp:wrapNone/>
                <wp:docPr id="4" name="文本框 4"/>
                <wp:cNvGraphicFramePr/>
                <a:graphic xmlns:a="http://schemas.openxmlformats.org/drawingml/2006/main">
                  <a:graphicData uri="http://schemas.microsoft.com/office/word/2010/wordprocessingShape">
                    <wps:wsp>
                      <wps:cNvSpPr txBox="1"/>
                      <wps:spPr>
                        <a:xfrm>
                          <a:off x="0" y="0"/>
                          <a:ext cx="4933950" cy="2882900"/>
                        </a:xfrm>
                        <a:prstGeom prst="rect">
                          <a:avLst/>
                        </a:prstGeom>
                        <a:noFill/>
                        <a:ln w="9525" cap="flat" cmpd="sng">
                          <a:solidFill>
                            <a:srgbClr val="000000"/>
                          </a:solidFill>
                          <a:prstDash val="solid"/>
                          <a:miter/>
                          <a:headEnd type="none" w="med" len="med"/>
                          <a:tailEnd type="none" w="med" len="med"/>
                        </a:ln>
                        <a:effectLst/>
                      </wps:spPr>
                      <wps:txbx>
                        <w:txbxContent>
                          <w:p w14:paraId="41187F43">
                            <w:pPr>
                              <w:rPr>
                                <w:b/>
                              </w:rPr>
                            </w:pPr>
                            <w:r>
                              <w:rPr>
                                <w:rFonts w:hint="eastAsia"/>
                                <w:b/>
                              </w:rPr>
                              <w:t>（此处为法定代表人身份证复印件粘贴处，未提供复印件的视为无效身份证明）</w:t>
                            </w:r>
                          </w:p>
                          <w:p w14:paraId="16741D64"/>
                        </w:txbxContent>
                      </wps:txbx>
                      <wps:bodyPr upright="1"/>
                    </wps:wsp>
                  </a:graphicData>
                </a:graphic>
              </wp:anchor>
            </w:drawing>
          </mc:Choice>
          <mc:Fallback>
            <w:pict>
              <v:shape id="_x0000_s1026" o:spid="_x0000_s1026" o:spt="202" type="#_x0000_t202" style="position:absolute;left:0pt;margin-left:18.2pt;margin-top:20.35pt;height:227pt;width:388.5pt;z-index:251660288;mso-width-relative:page;mso-height-relative:page;" filled="f" stroked="t" coordsize="21600,21600" o:gfxdata="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6mJ731gAAAAkBAAAPAAAAAAAAAAEAIAAA&#10;ACIAAABkcnMvZG93bnJldi54bWxQSwECFAAUAAAACACHTuJAGUz52A4CAAAcBAAADgAAAAAAAAAB&#10;ACAAAAAlAQAAZHJzL2Uyb0RvYy54bWxQSwUGAAAAAAYABgBZAQAApQUAAAAA&#10;">
                <v:fill on="f" focussize="0,0"/>
                <v:stroke color="#000000" joinstyle="miter"/>
                <v:imagedata o:title=""/>
                <o:lock v:ext="edit" aspectratio="f"/>
                <v:textbox>
                  <w:txbxContent>
                    <w:p w14:paraId="41187F43">
                      <w:pPr>
                        <w:rPr>
                          <w:b/>
                        </w:rPr>
                      </w:pPr>
                      <w:r>
                        <w:rPr>
                          <w:rFonts w:hint="eastAsia"/>
                          <w:b/>
                        </w:rPr>
                        <w:t>（此处为法定代表人身份证复印件粘贴处，未提供复印件的视为无效身份证明）</w:t>
                      </w:r>
                    </w:p>
                    <w:p w14:paraId="16741D64"/>
                  </w:txbxContent>
                </v:textbox>
              </v:shape>
            </w:pict>
          </mc:Fallback>
        </mc:AlternateContent>
      </w:r>
    </w:p>
    <w:p w14:paraId="50127DD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6C2D5167">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7455A67E">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5230B12C">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31DB7418">
      <w:pPr>
        <w:keepNext w:val="0"/>
        <w:keepLines w:val="0"/>
        <w:pageBreakBefore w:val="0"/>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p>
    <w:p w14:paraId="20366AE8">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eastAsia" w:ascii="宋体" w:hAnsi="宋体"/>
          <w:b/>
          <w:sz w:val="32"/>
          <w:szCs w:val="32"/>
        </w:rPr>
      </w:pPr>
      <w:r>
        <w:rPr>
          <w:rFonts w:hint="eastAsia" w:ascii="仿宋_GB2312" w:hAnsi="仿宋_GB2312" w:eastAsia="仿宋_GB2312" w:cs="仿宋_GB2312"/>
          <w:b/>
          <w:color w:val="auto"/>
          <w:sz w:val="32"/>
          <w:szCs w:val="32"/>
        </w:rPr>
        <w:br w:type="page"/>
      </w:r>
      <w:r>
        <w:rPr>
          <w:rFonts w:hint="eastAsia" w:ascii="宋体" w:hAnsi="宋体"/>
          <w:b/>
          <w:sz w:val="32"/>
          <w:szCs w:val="32"/>
        </w:rPr>
        <w:t>附件</w:t>
      </w:r>
      <w:r>
        <w:rPr>
          <w:rFonts w:hint="eastAsia" w:ascii="宋体" w:hAnsi="宋体"/>
          <w:b/>
          <w:sz w:val="32"/>
          <w:szCs w:val="32"/>
          <w:lang w:val="en-US" w:eastAsia="zh-CN"/>
        </w:rPr>
        <w:t>4</w:t>
      </w:r>
    </w:p>
    <w:p w14:paraId="63AE49B2">
      <w:pPr>
        <w:keepNext w:val="0"/>
        <w:keepLines w:val="0"/>
        <w:pageBreakBefore w:val="0"/>
        <w:tabs>
          <w:tab w:val="left" w:pos="0"/>
        </w:tabs>
        <w:kinsoku/>
        <w:wordWrap/>
        <w:overflowPunct/>
        <w:topLinePunct w:val="0"/>
        <w:bidi w:val="0"/>
        <w:spacing w:line="560" w:lineRule="exact"/>
        <w:ind w:left="0" w:leftChars="0" w:right="0" w:rightChars="0" w:firstLine="880" w:firstLineChars="200"/>
        <w:jc w:val="center"/>
        <w:rPr>
          <w:rFonts w:hint="eastAsia" w:ascii="仿宋_GB2312" w:hAnsi="仿宋_GB2312" w:eastAsia="仿宋_GB2312" w:cs="仿宋_GB2312"/>
          <w:b/>
          <w:color w:val="auto"/>
          <w:sz w:val="32"/>
          <w:szCs w:val="32"/>
        </w:rPr>
      </w:pPr>
      <w:r>
        <w:rPr>
          <w:rFonts w:hint="eastAsia" w:ascii="方正小标宋简体" w:hAnsi="Times New Roman" w:eastAsia="方正小标宋简体" w:cs="方正小标宋简体"/>
          <w:bCs/>
          <w:color w:val="auto"/>
          <w:kern w:val="44"/>
          <w:sz w:val="44"/>
          <w:szCs w:val="44"/>
          <w:highlight w:val="none"/>
          <w:lang w:bidi="ar"/>
        </w:rPr>
        <w:t>授权委托书</w:t>
      </w:r>
    </w:p>
    <w:p w14:paraId="47556DA7">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本授权委托书声明：本人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（姓名）系</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（投标人名称）的法定代表人，现授权委托</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（单位名称）的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（姓名）为我公司代理人，参加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 xml:space="preserve">（招标人）的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工程的投标活动。代理人在报名、资审、开标、评标、合同谈判过程中所签署的一切文件和处理与之有关的一切事务，我均予以承认。</w:t>
      </w:r>
    </w:p>
    <w:p w14:paraId="420C5615">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代理人无转委权。特此委托。</w:t>
      </w:r>
    </w:p>
    <w:p w14:paraId="38A15DA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代理人：     性别：    出生日期：</w:t>
      </w:r>
    </w:p>
    <w:p w14:paraId="08AA43DB">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       部门：    职务：</w:t>
      </w:r>
    </w:p>
    <w:p w14:paraId="18D0F0A2">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投标人：（盖章）</w:t>
      </w:r>
    </w:p>
    <w:p w14:paraId="45AC1DF6">
      <w:pPr>
        <w:keepNext w:val="0"/>
        <w:keepLines w:val="0"/>
        <w:pageBreakBefore w:val="0"/>
        <w:tabs>
          <w:tab w:val="left" w:pos="0"/>
        </w:tabs>
        <w:kinsoku/>
        <w:wordWrap/>
        <w:overflowPunct/>
        <w:topLinePunct w:val="0"/>
        <w:bidi w:val="0"/>
        <w:spacing w:line="560" w:lineRule="exact"/>
        <w:ind w:left="0" w:leftChars="0" w:right="0" w:rightChars="0"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法定代表人：（签字或盖章）</w:t>
      </w:r>
    </w:p>
    <w:p w14:paraId="0A543072">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14:paraId="40A43DE1">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mc:AlternateContent>
          <mc:Choice Requires="wps">
            <w:drawing>
              <wp:anchor distT="0" distB="0" distL="114300" distR="114300" simplePos="0" relativeHeight="251661312" behindDoc="0" locked="0" layoutInCell="1" allowOverlap="1">
                <wp:simplePos x="0" y="0"/>
                <wp:positionH relativeFrom="column">
                  <wp:posOffset>342265</wp:posOffset>
                </wp:positionH>
                <wp:positionV relativeFrom="paragraph">
                  <wp:posOffset>196850</wp:posOffset>
                </wp:positionV>
                <wp:extent cx="4933950" cy="2330450"/>
                <wp:effectExtent l="4445" t="4445" r="14605" b="8255"/>
                <wp:wrapNone/>
                <wp:docPr id="5" name="文本框 5"/>
                <wp:cNvGraphicFramePr/>
                <a:graphic xmlns:a="http://schemas.openxmlformats.org/drawingml/2006/main">
                  <a:graphicData uri="http://schemas.microsoft.com/office/word/2010/wordprocessingShape">
                    <wps:wsp>
                      <wps:cNvSpPr txBox="1"/>
                      <wps:spPr>
                        <a:xfrm>
                          <a:off x="0" y="0"/>
                          <a:ext cx="4933950" cy="2330450"/>
                        </a:xfrm>
                        <a:prstGeom prst="rect">
                          <a:avLst/>
                        </a:prstGeom>
                        <a:noFill/>
                        <a:ln w="9525" cap="flat" cmpd="sng">
                          <a:solidFill>
                            <a:srgbClr val="000000"/>
                          </a:solidFill>
                          <a:prstDash val="solid"/>
                          <a:miter/>
                          <a:headEnd type="none" w="med" len="med"/>
                          <a:tailEnd type="none" w="med" len="med"/>
                        </a:ln>
                        <a:effectLst/>
                      </wps:spPr>
                      <wps:txbx>
                        <w:txbxContent>
                          <w:p w14:paraId="352C301D">
                            <w:pPr>
                              <w:rPr>
                                <w:b/>
                              </w:rPr>
                            </w:pPr>
                            <w:r>
                              <w:rPr>
                                <w:rFonts w:hint="eastAsia"/>
                                <w:b/>
                              </w:rPr>
                              <w:t>（此处为被委托人身份证复印件粘贴处，未提供复印件的视为无效身份证明）</w:t>
                            </w:r>
                          </w:p>
                          <w:p w14:paraId="099E6201"/>
                        </w:txbxContent>
                      </wps:txbx>
                      <wps:bodyPr upright="1"/>
                    </wps:wsp>
                  </a:graphicData>
                </a:graphic>
              </wp:anchor>
            </w:drawing>
          </mc:Choice>
          <mc:Fallback>
            <w:pict>
              <v:shape id="_x0000_s1026" o:spid="_x0000_s1026" o:spt="202" type="#_x0000_t202" style="position:absolute;left:0pt;margin-left:26.95pt;margin-top:15.5pt;height:183.5pt;width:388.5pt;z-index:251661312;mso-width-relative:page;mso-height-relative:page;" filled="f" stroked="t" coordsize="21600,21600" o:gfxdata="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3gffzTAAAACQEAAA8AAAAAAAAAAQAgAAAAIgAAAGRy&#10;cy9kb3ducmV2LnhtbFBLAQIUABQAAAAIAIdO4kDQ6uo9CgIAABwEAAAOAAAAAAAAAAEAIAAAACIB&#10;AABkcnMvZTJvRG9jLnhtbFBLBQYAAAAABgAGAFkBAACeBQAAAAA=&#10;">
                <v:fill on="f" focussize="0,0"/>
                <v:stroke color="#000000" joinstyle="miter"/>
                <v:imagedata o:title=""/>
                <o:lock v:ext="edit" aspectratio="f"/>
                <v:textbox>
                  <w:txbxContent>
                    <w:p w14:paraId="352C301D">
                      <w:pPr>
                        <w:rPr>
                          <w:b/>
                        </w:rPr>
                      </w:pPr>
                      <w:r>
                        <w:rPr>
                          <w:rFonts w:hint="eastAsia"/>
                          <w:b/>
                        </w:rPr>
                        <w:t>（此处为被委托人身份证复印件粘贴处，未提供复印件的视为无效身份证明）</w:t>
                      </w:r>
                    </w:p>
                    <w:p w14:paraId="099E6201"/>
                  </w:txbxContent>
                </v:textbox>
              </v:shape>
            </w:pict>
          </mc:Fallback>
        </mc:AlternateContent>
      </w:r>
    </w:p>
    <w:p w14:paraId="2AA13E6F">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64FC59A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5CD355F5">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11C627A">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27445726">
      <w:pPr>
        <w:keepNext w:val="0"/>
        <w:keepLines w:val="0"/>
        <w:pageBreakBefore w:val="0"/>
        <w:kinsoku/>
        <w:wordWrap/>
        <w:overflowPunct/>
        <w:topLinePunct w:val="0"/>
        <w:bidi w:val="0"/>
        <w:spacing w:line="560" w:lineRule="exact"/>
        <w:ind w:left="0" w:leftChars="0" w:right="0" w:rightChars="0" w:firstLine="640" w:firstLineChars="200"/>
        <w:jc w:val="center"/>
        <w:rPr>
          <w:rFonts w:hint="eastAsia" w:ascii="仿宋_GB2312" w:hAnsi="仿宋_GB2312" w:eastAsia="仿宋_GB2312" w:cs="仿宋_GB2312"/>
          <w:color w:val="auto"/>
          <w:sz w:val="32"/>
          <w:szCs w:val="32"/>
        </w:rPr>
      </w:pPr>
    </w:p>
    <w:p w14:paraId="08C31327">
      <w:pPr>
        <w:keepNext w:val="0"/>
        <w:keepLines w:val="0"/>
        <w:pageBreakBefore w:val="0"/>
        <w:tabs>
          <w:tab w:val="left" w:pos="0"/>
          <w:tab w:val="left" w:pos="993"/>
          <w:tab w:val="left" w:pos="1134"/>
        </w:tabs>
        <w:kinsoku/>
        <w:wordWrap/>
        <w:overflowPunct/>
        <w:topLinePunct w:val="0"/>
        <w:bidi w:val="0"/>
        <w:adjustRightInd w:val="0"/>
        <w:snapToGrid w:val="0"/>
        <w:spacing w:line="560" w:lineRule="exact"/>
        <w:ind w:left="0" w:leftChars="0" w:right="0" w:rightChars="0" w:firstLine="643" w:firstLineChars="200"/>
        <w:rPr>
          <w:rFonts w:hint="eastAsia" w:ascii="仿宋_GB2312" w:hAnsi="仿宋_GB2312" w:eastAsia="仿宋_GB2312" w:cs="仿宋_GB2312"/>
          <w:b/>
          <w:color w:val="auto"/>
          <w:sz w:val="32"/>
          <w:szCs w:val="32"/>
        </w:rPr>
      </w:pPr>
    </w:p>
    <w:p w14:paraId="03C4FD1E">
      <w:pPr>
        <w:rPr>
          <w:rFonts w:hint="eastAsia" w:ascii="黑体" w:hAnsi="宋体" w:eastAsia="黑体" w:cs="黑体"/>
          <w:bCs/>
          <w:color w:val="auto"/>
          <w:sz w:val="32"/>
          <w:szCs w:val="32"/>
          <w:highlight w:val="none"/>
          <w:lang w:bidi="ar"/>
        </w:rPr>
      </w:pPr>
      <w:r>
        <w:rPr>
          <w:rFonts w:hint="eastAsia" w:ascii="黑体" w:hAnsi="宋体" w:eastAsia="黑体" w:cs="黑体"/>
          <w:bCs/>
          <w:color w:val="auto"/>
          <w:sz w:val="32"/>
          <w:szCs w:val="32"/>
          <w:highlight w:val="none"/>
          <w:lang w:bidi="ar"/>
        </w:rPr>
        <w:br w:type="page"/>
      </w:r>
    </w:p>
    <w:p w14:paraId="5C17D5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lang w:val="en-US" w:eastAsia="zh-CN" w:bidi="ar"/>
        </w:rPr>
      </w:pPr>
      <w:r>
        <w:rPr>
          <w:rFonts w:hint="eastAsia" w:ascii="黑体" w:hAnsi="黑体" w:eastAsia="黑体" w:cs="黑体"/>
          <w:bCs/>
          <w:sz w:val="32"/>
          <w:szCs w:val="32"/>
          <w:lang w:val="en-US" w:bidi="ar"/>
        </w:rPr>
        <w:t>附件</w:t>
      </w:r>
      <w:r>
        <w:rPr>
          <w:rFonts w:hint="eastAsia" w:ascii="黑体" w:hAnsi="黑体" w:eastAsia="黑体" w:cs="黑体"/>
          <w:bCs/>
          <w:sz w:val="32"/>
          <w:szCs w:val="32"/>
          <w:lang w:val="en-US" w:eastAsia="zh-CN" w:bidi="ar"/>
        </w:rPr>
        <w:t>5</w:t>
      </w:r>
    </w:p>
    <w:p w14:paraId="1965EFBC">
      <w:pPr>
        <w:pStyle w:val="18"/>
        <w:keepNext w:val="0"/>
        <w:keepLines w:val="0"/>
        <w:pageBreakBefore w:val="0"/>
        <w:kinsoku/>
        <w:wordWrap/>
        <w:overflowPunct/>
        <w:topLinePunct w:val="0"/>
        <w:autoSpaceDE/>
        <w:autoSpaceDN/>
        <w:bidi w:val="0"/>
        <w:adjustRightInd/>
        <w:snapToGrid/>
        <w:spacing w:line="560" w:lineRule="exact"/>
        <w:ind w:firstLine="840" w:firstLineChars="200"/>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投标人信用承诺书</w:t>
      </w:r>
    </w:p>
    <w:p w14:paraId="76AAB22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本单位及法定代表人，清楚知晓并参与本项目的招投标活动，并作出承诺如下</w:t>
      </w:r>
      <w:r>
        <w:rPr>
          <w:rFonts w:hint="eastAsia" w:ascii="仿宋_GB2312" w:hAnsi="仿宋_GB2312" w:eastAsia="仿宋_GB2312" w:cs="仿宋_GB2312"/>
          <w:kern w:val="0"/>
          <w:sz w:val="32"/>
          <w:szCs w:val="32"/>
          <w:u w:val="none"/>
          <w:lang w:eastAsia="zh-CN"/>
        </w:rPr>
        <w:t>：</w:t>
      </w:r>
    </w:p>
    <w:p w14:paraId="0D8228A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１．</w:t>
      </w:r>
      <w:r>
        <w:rPr>
          <w:rFonts w:hint="eastAsia" w:ascii="仿宋_GB2312" w:hAnsi="仿宋_GB2312" w:eastAsia="仿宋_GB2312" w:cs="仿宋_GB2312"/>
          <w:kern w:val="0"/>
          <w:sz w:val="32"/>
          <w:szCs w:val="32"/>
          <w:u w:val="none"/>
        </w:rPr>
        <w:t>遵循公开、公平、公正和诚实信用的原则，依法依规参与本项目招投标活动。</w:t>
      </w:r>
    </w:p>
    <w:p w14:paraId="555DC95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２．</w:t>
      </w:r>
      <w:r>
        <w:rPr>
          <w:rFonts w:hint="eastAsia" w:ascii="仿宋_GB2312" w:hAnsi="仿宋_GB2312" w:eastAsia="仿宋_GB2312" w:cs="仿宋_GB2312"/>
          <w:kern w:val="0"/>
          <w:sz w:val="32"/>
          <w:szCs w:val="32"/>
          <w:u w:val="none"/>
        </w:rPr>
        <w:t>严格按照本次招标文件中的投标人资格要求提供相应投标资料，并在E交易平台 中录入的所有企业信息和上传的企业资料都是真实、有效、准确且合法的，没有弄虚作假的情形。</w:t>
      </w:r>
    </w:p>
    <w:p w14:paraId="0A02A79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３．</w:t>
      </w:r>
      <w:r>
        <w:rPr>
          <w:rFonts w:hint="eastAsia" w:ascii="仿宋_GB2312" w:hAnsi="仿宋_GB2312" w:eastAsia="仿宋_GB2312" w:cs="仿宋_GB2312"/>
          <w:kern w:val="0"/>
          <w:sz w:val="32"/>
          <w:szCs w:val="32"/>
          <w:u w:val="none"/>
        </w:rPr>
        <w:t>在参与本项目招标投标活动中，不存在任何围标串标活动，也不存在以他人名义投标的行为。</w:t>
      </w:r>
    </w:p>
    <w:p w14:paraId="22E4052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４．</w:t>
      </w:r>
      <w:r>
        <w:rPr>
          <w:rFonts w:hint="eastAsia" w:ascii="仿宋_GB2312" w:hAnsi="仿宋_GB2312" w:eastAsia="仿宋_GB2312" w:cs="仿宋_GB2312"/>
          <w:kern w:val="0"/>
          <w:sz w:val="32"/>
          <w:szCs w:val="32"/>
          <w:u w:val="none"/>
        </w:rPr>
        <w:t>在参与本项目招投标活动中，投标项目负责人无在建工程。</w:t>
      </w:r>
    </w:p>
    <w:p w14:paraId="20A7677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５．</w:t>
      </w:r>
      <w:r>
        <w:rPr>
          <w:rFonts w:hint="eastAsia" w:ascii="仿宋_GB2312" w:hAnsi="仿宋_GB2312" w:eastAsia="仿宋_GB2312" w:cs="仿宋_GB2312"/>
          <w:kern w:val="0"/>
          <w:sz w:val="32"/>
          <w:szCs w:val="32"/>
          <w:u w:val="none"/>
        </w:rPr>
        <w:t>在参与本项目招投标活动中，若投标人或项目负责人为失信被执行人的，自愿放弃本次投标资格。</w:t>
      </w:r>
    </w:p>
    <w:p w14:paraId="51390B1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６．</w:t>
      </w:r>
      <w:r>
        <w:rPr>
          <w:rFonts w:hint="eastAsia" w:ascii="仿宋_GB2312" w:hAnsi="仿宋_GB2312" w:eastAsia="仿宋_GB2312" w:cs="仿宋_GB2312"/>
          <w:kern w:val="0"/>
          <w:sz w:val="32"/>
          <w:szCs w:val="32"/>
          <w:u w:val="none"/>
        </w:rPr>
        <w:t>正确履行法律法规规定的投标人权利和义务，遵纪守法，清正廉洁，不徇私枉法，服从建设等行政主管部门监管，接受社会监督。</w:t>
      </w:r>
    </w:p>
    <w:p w14:paraId="146B101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lang w:eastAsia="zh-CN"/>
        </w:rPr>
        <w:t>７．</w:t>
      </w:r>
      <w:r>
        <w:rPr>
          <w:rFonts w:hint="eastAsia" w:ascii="仿宋_GB2312" w:hAnsi="仿宋_GB2312" w:eastAsia="仿宋_GB2312" w:cs="仿宋_GB2312"/>
          <w:kern w:val="0"/>
          <w:sz w:val="32"/>
          <w:szCs w:val="32"/>
          <w:u w:val="none"/>
        </w:rPr>
        <w:t>以上承诺是本单位及法定代表人真实意思的表示。若有违背上述承诺，存在违法违规、弄虚作假情形的，本单位及法定代表人自愿接受招标人否决本单位的投标资格或中标结果，承担相应法律责任，接受相应的行政处罚、失信惩戒、扣除信用分。</w:t>
      </w:r>
    </w:p>
    <w:p w14:paraId="6A5494D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本承诺书一经签订即作为中标合同的组成部分，对本单位参与本项目招投标活动的行为具有法律约束力。 </w:t>
      </w:r>
    </w:p>
    <w:p w14:paraId="49E0256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lang w:eastAsia="zh-CN"/>
        </w:rPr>
      </w:pPr>
      <w:r>
        <w:rPr>
          <w:rFonts w:hint="eastAsia" w:ascii="仿宋_GB2312" w:hAnsi="仿宋_GB2312" w:eastAsia="仿宋_GB2312" w:cs="仿宋_GB2312"/>
          <w:kern w:val="0"/>
          <w:sz w:val="32"/>
          <w:szCs w:val="32"/>
          <w:u w:val="none"/>
        </w:rPr>
        <w:t xml:space="preserve">                      投标人（盖章）</w:t>
      </w:r>
      <w:r>
        <w:rPr>
          <w:rFonts w:hint="eastAsia" w:ascii="仿宋_GB2312" w:hAnsi="仿宋_GB2312" w:eastAsia="仿宋_GB2312" w:cs="仿宋_GB2312"/>
          <w:kern w:val="0"/>
          <w:sz w:val="32"/>
          <w:szCs w:val="32"/>
          <w:u w:val="none"/>
          <w:lang w:eastAsia="zh-CN"/>
        </w:rPr>
        <w:t>：</w:t>
      </w:r>
    </w:p>
    <w:p w14:paraId="370793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u w:val="none"/>
        </w:rPr>
      </w:pPr>
      <w:r>
        <w:rPr>
          <w:rFonts w:hint="eastAsia" w:ascii="仿宋_GB2312" w:hAnsi="仿宋_GB2312" w:eastAsia="仿宋_GB2312" w:cs="仿宋_GB2312"/>
          <w:kern w:val="0"/>
          <w:sz w:val="32"/>
          <w:szCs w:val="32"/>
          <w:u w:val="none"/>
        </w:rPr>
        <w:t xml:space="preserve">             法定代表人（签字或盖章）</w:t>
      </w:r>
      <w:r>
        <w:rPr>
          <w:rFonts w:hint="eastAsia" w:ascii="仿宋_GB2312" w:hAnsi="仿宋_GB2312" w:eastAsia="仿宋_GB2312" w:cs="仿宋_GB2312"/>
          <w:kern w:val="0"/>
          <w:sz w:val="32"/>
          <w:szCs w:val="32"/>
          <w:u w:val="none"/>
          <w:lang w:eastAsia="zh-CN"/>
        </w:rPr>
        <w:t>：</w:t>
      </w:r>
      <w:r>
        <w:rPr>
          <w:rFonts w:hint="eastAsia" w:ascii="仿宋_GB2312" w:hAnsi="仿宋_GB2312" w:eastAsia="仿宋_GB2312" w:cs="仿宋_GB2312"/>
          <w:kern w:val="0"/>
          <w:sz w:val="32"/>
          <w:szCs w:val="32"/>
          <w:u w:val="none"/>
        </w:rPr>
        <w:t xml:space="preserve">  </w:t>
      </w:r>
    </w:p>
    <w:bookmarkEnd w:id="1"/>
    <w:p w14:paraId="6D6AFDA1">
      <w:pPr>
        <w:keepNext w:val="0"/>
        <w:keepLines w:val="0"/>
        <w:pageBreakBefore w:val="0"/>
        <w:kinsoku/>
        <w:wordWrap/>
        <w:overflowPunct/>
        <w:topLinePunct w:val="0"/>
        <w:autoSpaceDE/>
        <w:autoSpaceDN/>
        <w:bidi w:val="0"/>
        <w:adjustRightInd/>
        <w:snapToGrid/>
        <w:spacing w:line="560" w:lineRule="exact"/>
        <w:ind w:firstLine="420" w:firstLineChars="200"/>
        <w:textAlignment w:val="auto"/>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4680">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272AAA">
                          <w:pPr>
                            <w:pStyle w:val="14"/>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8272AAA">
                    <w:pPr>
                      <w:pStyle w:val="14"/>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BC642">
    <w:pPr>
      <w:pStyle w:val="14"/>
      <w:framePr w:wrap="around" w:vAnchor="text" w:hAnchor="margin" w:xAlign="center" w:y="2"/>
      <w:rPr>
        <w:rStyle w:val="21"/>
      </w:rPr>
    </w:pPr>
    <w:r>
      <w:fldChar w:fldCharType="begin"/>
    </w:r>
    <w:r>
      <w:rPr>
        <w:rStyle w:val="21"/>
      </w:rPr>
      <w:instrText xml:space="preserve">PAGE  </w:instrText>
    </w:r>
    <w:r>
      <w:fldChar w:fldCharType="end"/>
    </w:r>
  </w:p>
  <w:p w14:paraId="66A1D22D">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225F1">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9BD141">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59BD141">
                    <w:pPr>
                      <w:pStyle w:val="14"/>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88"/>
    <w:rsid w:val="001C5A88"/>
    <w:rsid w:val="00505E95"/>
    <w:rsid w:val="00776664"/>
    <w:rsid w:val="0090210E"/>
    <w:rsid w:val="55B160F8"/>
    <w:rsid w:val="61804D2E"/>
    <w:rsid w:val="65E2590B"/>
    <w:rsid w:val="717F4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paragraph" w:styleId="4">
    <w:name w:val="heading 1"/>
    <w:basedOn w:val="1"/>
    <w:next w:val="1"/>
    <w:link w:val="22"/>
    <w:qFormat/>
    <w:uiPriority w:val="9"/>
    <w:pPr>
      <w:keepNext/>
      <w:keepLines/>
      <w:spacing w:before="480" w:after="80" w:line="278" w:lineRule="auto"/>
      <w:jc w:val="left"/>
      <w:outlineLvl w:val="0"/>
    </w:pPr>
    <w:rPr>
      <w:rFonts w:asciiTheme="majorHAnsi" w:hAnsiTheme="majorHAnsi" w:eastAsiaTheme="majorEastAsia" w:cstheme="majorBidi"/>
      <w:color w:val="2F5597" w:themeColor="accent1" w:themeShade="BF"/>
      <w:sz w:val="48"/>
      <w:szCs w:val="48"/>
      <w14:ligatures w14:val="standardContextual"/>
    </w:rPr>
  </w:style>
  <w:style w:type="paragraph" w:styleId="5">
    <w:name w:val="heading 2"/>
    <w:basedOn w:val="1"/>
    <w:next w:val="1"/>
    <w:link w:val="23"/>
    <w:semiHidden/>
    <w:unhideWhenUsed/>
    <w:qFormat/>
    <w:uiPriority w:val="9"/>
    <w:pPr>
      <w:keepNext/>
      <w:keepLines/>
      <w:spacing w:before="160" w:after="80" w:line="278" w:lineRule="auto"/>
      <w:jc w:val="left"/>
      <w:outlineLvl w:val="1"/>
    </w:pPr>
    <w:rPr>
      <w:rFonts w:asciiTheme="majorHAnsi" w:hAnsiTheme="majorHAnsi" w:eastAsiaTheme="majorEastAsia" w:cstheme="majorBidi"/>
      <w:color w:val="2F5597" w:themeColor="accent1" w:themeShade="BF"/>
      <w:sz w:val="40"/>
      <w:szCs w:val="40"/>
      <w14:ligatures w14:val="standardContextual"/>
    </w:rPr>
  </w:style>
  <w:style w:type="paragraph" w:styleId="6">
    <w:name w:val="heading 3"/>
    <w:basedOn w:val="1"/>
    <w:next w:val="1"/>
    <w:link w:val="24"/>
    <w:unhideWhenUsed/>
    <w:qFormat/>
    <w:uiPriority w:val="99"/>
    <w:pPr>
      <w:keepNext/>
      <w:keepLines/>
      <w:spacing w:before="160" w:after="80" w:line="278" w:lineRule="auto"/>
      <w:jc w:val="left"/>
      <w:outlineLvl w:val="2"/>
    </w:pPr>
    <w:rPr>
      <w:rFonts w:asciiTheme="majorHAnsi" w:hAnsiTheme="majorHAnsi" w:eastAsiaTheme="majorEastAsia" w:cstheme="majorBidi"/>
      <w:color w:val="2F5597" w:themeColor="accent1" w:themeShade="BF"/>
      <w:sz w:val="32"/>
      <w:szCs w:val="32"/>
      <w14:ligatures w14:val="standardContextual"/>
    </w:rPr>
  </w:style>
  <w:style w:type="paragraph" w:styleId="7">
    <w:name w:val="heading 4"/>
    <w:basedOn w:val="1"/>
    <w:next w:val="1"/>
    <w:link w:val="25"/>
    <w:semiHidden/>
    <w:unhideWhenUsed/>
    <w:qFormat/>
    <w:uiPriority w:val="9"/>
    <w:pPr>
      <w:keepNext/>
      <w:keepLines/>
      <w:spacing w:before="80" w:after="40" w:line="278" w:lineRule="auto"/>
      <w:jc w:val="left"/>
      <w:outlineLvl w:val="3"/>
    </w:pPr>
    <w:rPr>
      <w:rFonts w:asciiTheme="minorHAnsi" w:hAnsiTheme="minorHAnsi" w:eastAsiaTheme="minorEastAsia" w:cstheme="majorBidi"/>
      <w:color w:val="2F5597" w:themeColor="accent1" w:themeShade="BF"/>
      <w:sz w:val="28"/>
      <w:szCs w:val="28"/>
      <w14:ligatures w14:val="standardContextual"/>
    </w:rPr>
  </w:style>
  <w:style w:type="paragraph" w:styleId="8">
    <w:name w:val="heading 5"/>
    <w:basedOn w:val="1"/>
    <w:next w:val="1"/>
    <w:link w:val="26"/>
    <w:semiHidden/>
    <w:unhideWhenUsed/>
    <w:qFormat/>
    <w:uiPriority w:val="9"/>
    <w:pPr>
      <w:keepNext/>
      <w:keepLines/>
      <w:spacing w:before="80" w:after="40" w:line="278" w:lineRule="auto"/>
      <w:jc w:val="left"/>
      <w:outlineLvl w:val="4"/>
    </w:pPr>
    <w:rPr>
      <w:rFonts w:asciiTheme="minorHAnsi" w:hAnsiTheme="minorHAnsi" w:eastAsiaTheme="minorEastAsia" w:cstheme="majorBidi"/>
      <w:color w:val="2F5597" w:themeColor="accent1" w:themeShade="BF"/>
      <w:sz w:val="24"/>
      <w14:ligatures w14:val="standardContextual"/>
    </w:rPr>
  </w:style>
  <w:style w:type="paragraph" w:styleId="9">
    <w:name w:val="heading 6"/>
    <w:basedOn w:val="1"/>
    <w:next w:val="1"/>
    <w:link w:val="27"/>
    <w:semiHidden/>
    <w:unhideWhenUsed/>
    <w:qFormat/>
    <w:uiPriority w:val="9"/>
    <w:pPr>
      <w:keepNext/>
      <w:keepLines/>
      <w:spacing w:before="40" w:line="278" w:lineRule="auto"/>
      <w:jc w:val="left"/>
      <w:outlineLvl w:val="5"/>
    </w:pPr>
    <w:rPr>
      <w:rFonts w:asciiTheme="minorHAnsi" w:hAnsiTheme="minorHAnsi" w:eastAsiaTheme="minorEastAsia" w:cstheme="majorBidi"/>
      <w:b/>
      <w:bCs/>
      <w:color w:val="2F5597" w:themeColor="accent1" w:themeShade="BF"/>
      <w:sz w:val="22"/>
      <w14:ligatures w14:val="standardContextual"/>
    </w:rPr>
  </w:style>
  <w:style w:type="paragraph" w:styleId="10">
    <w:name w:val="heading 7"/>
    <w:basedOn w:val="1"/>
    <w:next w:val="1"/>
    <w:link w:val="28"/>
    <w:semiHidden/>
    <w:unhideWhenUsed/>
    <w:qFormat/>
    <w:uiPriority w:val="9"/>
    <w:pPr>
      <w:keepNext/>
      <w:keepLines/>
      <w:spacing w:before="40" w:line="278" w:lineRule="auto"/>
      <w:jc w:val="left"/>
      <w:outlineLvl w:val="6"/>
    </w:pPr>
    <w:rPr>
      <w:rFonts w:asciiTheme="minorHAnsi" w:hAnsiTheme="minorHAnsi" w:eastAsiaTheme="minorEastAsia" w:cstheme="majorBidi"/>
      <w:b/>
      <w:bCs/>
      <w:color w:val="595959" w:themeColor="text1" w:themeTint="A6"/>
      <w:sz w:val="22"/>
      <w14:textFill>
        <w14:solidFill>
          <w14:schemeClr w14:val="tx1">
            <w14:lumMod w14:val="65000"/>
            <w14:lumOff w14:val="35000"/>
          </w14:schemeClr>
        </w14:solidFill>
      </w14:textFill>
      <w14:ligatures w14:val="standardContextual"/>
    </w:rPr>
  </w:style>
  <w:style w:type="paragraph" w:styleId="11">
    <w:name w:val="heading 8"/>
    <w:basedOn w:val="1"/>
    <w:next w:val="1"/>
    <w:link w:val="29"/>
    <w:semiHidden/>
    <w:unhideWhenUsed/>
    <w:qFormat/>
    <w:uiPriority w:val="9"/>
    <w:pPr>
      <w:keepNext/>
      <w:keepLines/>
      <w:spacing w:line="278" w:lineRule="auto"/>
      <w:jc w:val="left"/>
      <w:outlineLvl w:val="7"/>
    </w:pPr>
    <w:rPr>
      <w:rFonts w:asciiTheme="minorHAnsi" w:hAnsiTheme="minorHAnsi" w:eastAsiaTheme="min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paragraph" w:styleId="12">
    <w:name w:val="heading 9"/>
    <w:basedOn w:val="1"/>
    <w:next w:val="1"/>
    <w:link w:val="30"/>
    <w:semiHidden/>
    <w:unhideWhenUsed/>
    <w:qFormat/>
    <w:uiPriority w:val="9"/>
    <w:pPr>
      <w:keepNext/>
      <w:keepLines/>
      <w:spacing w:line="278" w:lineRule="auto"/>
      <w:jc w:val="left"/>
      <w:outlineLvl w:val="8"/>
    </w:pPr>
    <w:rPr>
      <w:rFonts w:asciiTheme="minorHAnsi" w:hAnsiTheme="minorHAnsi" w:eastAsiaTheme="majorEastAsia" w:cstheme="majorBidi"/>
      <w:color w:val="595959" w:themeColor="text1" w:themeTint="A6"/>
      <w:sz w:val="22"/>
      <w14:textFill>
        <w14:solidFill>
          <w14:schemeClr w14:val="tx1">
            <w14:lumMod w14:val="65000"/>
            <w14:lumOff w14:val="35000"/>
          </w14:schemeClr>
        </w14:solidFill>
      </w14:textFill>
      <w14:ligatures w14:val="standardContextual"/>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3"/>
    <w:unhideWhenUsed/>
    <w:qFormat/>
    <w:uiPriority w:val="0"/>
    <w:pPr>
      <w:ind w:firstLine="420" w:firstLineChars="100"/>
    </w:pPr>
    <w:rPr>
      <w:rFonts w:ascii="Calibri" w:hAnsi="Calibri"/>
      <w:kern w:val="0"/>
      <w:sz w:val="20"/>
      <w:szCs w:val="20"/>
    </w:rPr>
  </w:style>
  <w:style w:type="paragraph" w:styleId="3">
    <w:name w:val="Body Text"/>
    <w:basedOn w:val="1"/>
    <w:next w:val="1"/>
    <w:link w:val="42"/>
    <w:semiHidden/>
    <w:unhideWhenUsed/>
    <w:qFormat/>
    <w:uiPriority w:val="99"/>
    <w:pPr>
      <w:spacing w:after="120"/>
    </w:pPr>
  </w:style>
  <w:style w:type="paragraph" w:styleId="13">
    <w:name w:val="Plain Text"/>
    <w:basedOn w:val="1"/>
    <w:qFormat/>
    <w:uiPriority w:val="0"/>
    <w:rPr>
      <w:rFonts w:ascii="宋体" w:hAnsi="Courier New"/>
      <w:szCs w:val="24"/>
    </w:rPr>
  </w:style>
  <w:style w:type="paragraph" w:styleId="14">
    <w:name w:val="footer"/>
    <w:basedOn w:val="1"/>
    <w:link w:val="41"/>
    <w:unhideWhenUsed/>
    <w:qFormat/>
    <w:uiPriority w:val="0"/>
    <w:pPr>
      <w:tabs>
        <w:tab w:val="center" w:pos="4153"/>
        <w:tab w:val="right" w:pos="8306"/>
      </w:tabs>
      <w:snapToGrid w:val="0"/>
      <w:spacing w:after="160"/>
      <w:jc w:val="left"/>
    </w:pPr>
    <w:rPr>
      <w:rFonts w:asciiTheme="minorHAnsi" w:hAnsiTheme="minorHAnsi" w:eastAsiaTheme="minorEastAsia" w:cstheme="minorBidi"/>
      <w:sz w:val="18"/>
      <w:szCs w:val="18"/>
      <w14:ligatures w14:val="standardContextual"/>
    </w:rPr>
  </w:style>
  <w:style w:type="paragraph" w:styleId="15">
    <w:name w:val="header"/>
    <w:basedOn w:val="1"/>
    <w:link w:val="40"/>
    <w:unhideWhenUsed/>
    <w:qFormat/>
    <w:uiPriority w:val="0"/>
    <w:pPr>
      <w:tabs>
        <w:tab w:val="center" w:pos="4153"/>
        <w:tab w:val="right" w:pos="8306"/>
      </w:tabs>
      <w:snapToGrid w:val="0"/>
      <w:spacing w:after="160"/>
      <w:jc w:val="center"/>
    </w:pPr>
    <w:rPr>
      <w:rFonts w:asciiTheme="minorHAnsi" w:hAnsiTheme="minorHAnsi" w:eastAsiaTheme="minorEastAsia" w:cstheme="minorBidi"/>
      <w:sz w:val="18"/>
      <w:szCs w:val="18"/>
      <w14:ligatures w14:val="standardContextual"/>
    </w:rPr>
  </w:style>
  <w:style w:type="paragraph" w:styleId="16">
    <w:name w:val="Subtitle"/>
    <w:basedOn w:val="1"/>
    <w:next w:val="1"/>
    <w:link w:val="32"/>
    <w:qFormat/>
    <w:uiPriority w:val="11"/>
    <w:pPr>
      <w:spacing w:after="160" w:line="278"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14:ligatures w14:val="standardContextual"/>
    </w:rPr>
  </w:style>
  <w:style w:type="paragraph" w:styleId="17">
    <w:name w:val="Normal (Web)"/>
    <w:basedOn w:val="1"/>
    <w:link w:val="46"/>
    <w:qFormat/>
    <w:uiPriority w:val="99"/>
    <w:pPr>
      <w:widowControl/>
      <w:spacing w:before="100" w:beforeAutospacing="1" w:after="100" w:afterAutospacing="1"/>
      <w:jc w:val="left"/>
    </w:pPr>
    <w:rPr>
      <w:rFonts w:ascii="Arial Unicode MS" w:hAnsi="Arial Unicode MS" w:eastAsia="Arial Unicode MS"/>
      <w:kern w:val="0"/>
      <w:sz w:val="24"/>
      <w:lang w:val="zh-CN"/>
    </w:rPr>
  </w:style>
  <w:style w:type="paragraph" w:styleId="18">
    <w:name w:val="Title"/>
    <w:basedOn w:val="1"/>
    <w:next w:val="1"/>
    <w:link w:val="31"/>
    <w:qFormat/>
    <w:uiPriority w:val="0"/>
    <w:pPr>
      <w:spacing w:after="80"/>
      <w:contextualSpacing/>
      <w:jc w:val="center"/>
    </w:pPr>
    <w:rPr>
      <w:rFonts w:asciiTheme="majorHAnsi" w:hAnsiTheme="majorHAnsi" w:eastAsiaTheme="majorEastAsia" w:cstheme="majorBidi"/>
      <w:spacing w:val="-10"/>
      <w:kern w:val="28"/>
      <w:sz w:val="56"/>
      <w:szCs w:val="56"/>
      <w14:ligatures w14:val="standardContextual"/>
    </w:rPr>
  </w:style>
  <w:style w:type="character" w:styleId="21">
    <w:name w:val="page number"/>
    <w:qFormat/>
    <w:uiPriority w:val="0"/>
  </w:style>
  <w:style w:type="character" w:customStyle="1" w:styleId="22">
    <w:name w:val="标题 1 字符"/>
    <w:basedOn w:val="20"/>
    <w:link w:val="4"/>
    <w:qFormat/>
    <w:uiPriority w:val="9"/>
    <w:rPr>
      <w:rFonts w:asciiTheme="majorHAnsi" w:hAnsiTheme="majorHAnsi" w:eastAsiaTheme="majorEastAsia" w:cstheme="majorBidi"/>
      <w:color w:val="2F5597" w:themeColor="accent1" w:themeShade="BF"/>
      <w:sz w:val="48"/>
      <w:szCs w:val="48"/>
    </w:rPr>
  </w:style>
  <w:style w:type="character" w:customStyle="1" w:styleId="23">
    <w:name w:val="标题 2 字符"/>
    <w:basedOn w:val="20"/>
    <w:link w:val="5"/>
    <w:semiHidden/>
    <w:qFormat/>
    <w:uiPriority w:val="9"/>
    <w:rPr>
      <w:rFonts w:asciiTheme="majorHAnsi" w:hAnsiTheme="majorHAnsi" w:eastAsiaTheme="majorEastAsia" w:cstheme="majorBidi"/>
      <w:color w:val="2F5597" w:themeColor="accent1" w:themeShade="BF"/>
      <w:sz w:val="40"/>
      <w:szCs w:val="40"/>
    </w:rPr>
  </w:style>
  <w:style w:type="character" w:customStyle="1" w:styleId="24">
    <w:name w:val="标题 3 字符"/>
    <w:basedOn w:val="20"/>
    <w:link w:val="6"/>
    <w:semiHidden/>
    <w:qFormat/>
    <w:uiPriority w:val="9"/>
    <w:rPr>
      <w:rFonts w:asciiTheme="majorHAnsi" w:hAnsiTheme="majorHAnsi" w:eastAsiaTheme="majorEastAsia" w:cstheme="majorBidi"/>
      <w:color w:val="2F5597" w:themeColor="accent1" w:themeShade="BF"/>
      <w:sz w:val="32"/>
      <w:szCs w:val="32"/>
    </w:rPr>
  </w:style>
  <w:style w:type="character" w:customStyle="1" w:styleId="25">
    <w:name w:val="标题 4 字符"/>
    <w:basedOn w:val="20"/>
    <w:link w:val="7"/>
    <w:semiHidden/>
    <w:qFormat/>
    <w:uiPriority w:val="9"/>
    <w:rPr>
      <w:rFonts w:cstheme="majorBidi"/>
      <w:color w:val="2F5597" w:themeColor="accent1" w:themeShade="BF"/>
      <w:sz w:val="28"/>
      <w:szCs w:val="28"/>
    </w:rPr>
  </w:style>
  <w:style w:type="character" w:customStyle="1" w:styleId="26">
    <w:name w:val="标题 5 字符"/>
    <w:basedOn w:val="20"/>
    <w:link w:val="8"/>
    <w:semiHidden/>
    <w:qFormat/>
    <w:uiPriority w:val="9"/>
    <w:rPr>
      <w:rFonts w:cstheme="majorBidi"/>
      <w:color w:val="2F5597" w:themeColor="accent1" w:themeShade="BF"/>
      <w:sz w:val="24"/>
    </w:rPr>
  </w:style>
  <w:style w:type="character" w:customStyle="1" w:styleId="27">
    <w:name w:val="标题 6 字符"/>
    <w:basedOn w:val="20"/>
    <w:link w:val="9"/>
    <w:semiHidden/>
    <w:qFormat/>
    <w:uiPriority w:val="9"/>
    <w:rPr>
      <w:rFonts w:cstheme="majorBidi"/>
      <w:b/>
      <w:bCs/>
      <w:color w:val="2F5597" w:themeColor="accent1" w:themeShade="BF"/>
    </w:rPr>
  </w:style>
  <w:style w:type="character" w:customStyle="1" w:styleId="28">
    <w:name w:val="标题 7 字符"/>
    <w:basedOn w:val="20"/>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9">
    <w:name w:val="标题 8 字符"/>
    <w:basedOn w:val="20"/>
    <w:link w:val="11"/>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0">
    <w:name w:val="标题 9 字符"/>
    <w:basedOn w:val="20"/>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字符"/>
    <w:basedOn w:val="20"/>
    <w:link w:val="18"/>
    <w:qFormat/>
    <w:uiPriority w:val="10"/>
    <w:rPr>
      <w:rFonts w:asciiTheme="majorHAnsi" w:hAnsiTheme="majorHAnsi" w:eastAsiaTheme="majorEastAsia" w:cstheme="majorBidi"/>
      <w:spacing w:val="-10"/>
      <w:kern w:val="28"/>
      <w:sz w:val="56"/>
      <w:szCs w:val="56"/>
    </w:rPr>
  </w:style>
  <w:style w:type="character" w:customStyle="1" w:styleId="32">
    <w:name w:val="副标题 字符"/>
    <w:basedOn w:val="20"/>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line="278" w:lineRule="auto"/>
      <w:jc w:val="center"/>
    </w:pPr>
    <w:rPr>
      <w:rFonts w:asciiTheme="minorHAnsi" w:hAnsiTheme="minorHAnsi" w:eastAsiaTheme="minorEastAsia" w:cstheme="minorBidi"/>
      <w:i/>
      <w:iCs/>
      <w:color w:val="404040" w:themeColor="text1" w:themeTint="BF"/>
      <w:sz w:val="22"/>
      <w14:textFill>
        <w14:solidFill>
          <w14:schemeClr w14:val="tx1">
            <w14:lumMod w14:val="75000"/>
            <w14:lumOff w14:val="25000"/>
          </w14:schemeClr>
        </w14:solidFill>
      </w14:textFill>
      <w14:ligatures w14:val="standardContextual"/>
    </w:rPr>
  </w:style>
  <w:style w:type="character" w:customStyle="1" w:styleId="34">
    <w:name w:val="引用 字符"/>
    <w:basedOn w:val="20"/>
    <w:link w:val="33"/>
    <w:qFormat/>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spacing w:after="160" w:line="278" w:lineRule="auto"/>
      <w:ind w:left="720"/>
      <w:contextualSpacing/>
      <w:jc w:val="left"/>
    </w:pPr>
    <w:rPr>
      <w:rFonts w:asciiTheme="minorHAnsi" w:hAnsiTheme="minorHAnsi" w:eastAsiaTheme="minorEastAsia" w:cstheme="minorBidi"/>
      <w:sz w:val="22"/>
      <w14:ligatures w14:val="standardContextual"/>
    </w:rPr>
  </w:style>
  <w:style w:type="character" w:customStyle="1" w:styleId="36">
    <w:name w:val="Intense Emphasis"/>
    <w:basedOn w:val="20"/>
    <w:qFormat/>
    <w:uiPriority w:val="21"/>
    <w:rPr>
      <w:i/>
      <w:iCs/>
      <w:color w:val="2F5597" w:themeColor="accent1" w:themeShade="BF"/>
    </w:rPr>
  </w:style>
  <w:style w:type="paragraph" w:styleId="37">
    <w:name w:val="Intense Quote"/>
    <w:basedOn w:val="1"/>
    <w:next w:val="1"/>
    <w:link w:val="38"/>
    <w:qFormat/>
    <w:uiPriority w:val="30"/>
    <w:pPr>
      <w:pBdr>
        <w:top w:val="single" w:color="2F5496" w:themeColor="accent1" w:themeShade="BF" w:sz="4" w:space="10"/>
        <w:bottom w:val="single" w:color="2F5496" w:themeColor="accent1" w:themeShade="BF" w:sz="4" w:space="10"/>
      </w:pBdr>
      <w:spacing w:before="360" w:after="360" w:line="278" w:lineRule="auto"/>
      <w:ind w:left="864" w:right="864"/>
      <w:jc w:val="center"/>
    </w:pPr>
    <w:rPr>
      <w:rFonts w:asciiTheme="minorHAnsi" w:hAnsiTheme="minorHAnsi" w:eastAsiaTheme="minorEastAsia" w:cstheme="minorBidi"/>
      <w:i/>
      <w:iCs/>
      <w:color w:val="2F5597" w:themeColor="accent1" w:themeShade="BF"/>
      <w:sz w:val="22"/>
      <w14:ligatures w14:val="standardContextual"/>
    </w:rPr>
  </w:style>
  <w:style w:type="character" w:customStyle="1" w:styleId="38">
    <w:name w:val="明显引用 字符"/>
    <w:basedOn w:val="20"/>
    <w:link w:val="37"/>
    <w:qFormat/>
    <w:uiPriority w:val="30"/>
    <w:rPr>
      <w:i/>
      <w:iCs/>
      <w:color w:val="2F5597" w:themeColor="accent1" w:themeShade="BF"/>
    </w:rPr>
  </w:style>
  <w:style w:type="character" w:customStyle="1" w:styleId="39">
    <w:name w:val="Intense Reference"/>
    <w:basedOn w:val="20"/>
    <w:qFormat/>
    <w:uiPriority w:val="32"/>
    <w:rPr>
      <w:b/>
      <w:bCs/>
      <w:smallCaps/>
      <w:color w:val="2F5597" w:themeColor="accent1" w:themeShade="BF"/>
      <w:spacing w:val="5"/>
    </w:rPr>
  </w:style>
  <w:style w:type="character" w:customStyle="1" w:styleId="40">
    <w:name w:val="页眉 字符"/>
    <w:basedOn w:val="20"/>
    <w:link w:val="15"/>
    <w:qFormat/>
    <w:uiPriority w:val="99"/>
    <w:rPr>
      <w:sz w:val="18"/>
      <w:szCs w:val="18"/>
    </w:rPr>
  </w:style>
  <w:style w:type="character" w:customStyle="1" w:styleId="41">
    <w:name w:val="页脚 字符"/>
    <w:basedOn w:val="20"/>
    <w:link w:val="14"/>
    <w:qFormat/>
    <w:uiPriority w:val="99"/>
    <w:rPr>
      <w:sz w:val="18"/>
      <w:szCs w:val="18"/>
    </w:rPr>
  </w:style>
  <w:style w:type="character" w:customStyle="1" w:styleId="42">
    <w:name w:val="正文文本 字符"/>
    <w:basedOn w:val="20"/>
    <w:link w:val="3"/>
    <w:semiHidden/>
    <w:qFormat/>
    <w:uiPriority w:val="99"/>
    <w:rPr>
      <w:rFonts w:ascii="Times New Roman" w:hAnsi="Times New Roman" w:eastAsia="宋体" w:cs="Times New Roman"/>
      <w:sz w:val="21"/>
      <w14:ligatures w14:val="none"/>
    </w:rPr>
  </w:style>
  <w:style w:type="character" w:customStyle="1" w:styleId="43">
    <w:name w:val="正文文本首行缩进 字符"/>
    <w:basedOn w:val="42"/>
    <w:link w:val="2"/>
    <w:qFormat/>
    <w:uiPriority w:val="0"/>
    <w:rPr>
      <w:rFonts w:ascii="Calibri" w:hAnsi="Calibri" w:eastAsia="宋体" w:cs="Times New Roman"/>
      <w:kern w:val="0"/>
      <w:sz w:val="20"/>
      <w:szCs w:val="20"/>
      <w14:ligatures w14:val="none"/>
    </w:rPr>
  </w:style>
  <w:style w:type="character" w:customStyle="1" w:styleId="44">
    <w:name w:val="标题 字符2"/>
    <w:qFormat/>
    <w:uiPriority w:val="0"/>
    <w:rPr>
      <w:rFonts w:ascii="Calibri Light" w:hAnsi="Calibri Light"/>
      <w:b/>
      <w:bCs/>
      <w:kern w:val="2"/>
      <w:sz w:val="32"/>
      <w:szCs w:val="32"/>
      <w:lang w:val="en-US" w:eastAsia="zh-CN" w:bidi="ar-SA"/>
    </w:rPr>
  </w:style>
  <w:style w:type="character" w:customStyle="1" w:styleId="45">
    <w:name w:val="页脚 字符2"/>
    <w:qFormat/>
    <w:uiPriority w:val="0"/>
    <w:rPr>
      <w:rFonts w:ascii="Times New Roman" w:hAnsi="Times New Roman" w:eastAsia="宋体" w:cs="Times New Roman"/>
      <w:sz w:val="18"/>
      <w:szCs w:val="18"/>
    </w:rPr>
  </w:style>
  <w:style w:type="character" w:customStyle="1" w:styleId="46">
    <w:name w:val="普通(网站) 字符"/>
    <w:link w:val="17"/>
    <w:qFormat/>
    <w:uiPriority w:val="99"/>
    <w:rPr>
      <w:rFonts w:ascii="Arial Unicode MS" w:hAnsi="Arial Unicode MS" w:eastAsia="Arial Unicode MS" w:cs="Times New Roman"/>
      <w:kern w:val="0"/>
      <w:sz w:val="24"/>
      <w:lang w:val="zh-CN"/>
      <w14:ligatures w14:val="none"/>
    </w:rPr>
  </w:style>
  <w:style w:type="character" w:customStyle="1" w:styleId="47">
    <w:name w:val="页眉 字符2"/>
    <w:qFormat/>
    <w:uiPriority w:val="0"/>
    <w:rPr>
      <w:rFonts w:ascii="Times New Roman" w:hAnsi="Times New Roman" w:eastAsia="宋体" w:cs="Times New Roman"/>
      <w:sz w:val="18"/>
      <w:szCs w:val="18"/>
    </w:rPr>
  </w:style>
  <w:style w:type="character" w:customStyle="1" w:styleId="48">
    <w:name w:val="☆ 正文 Char"/>
    <w:link w:val="49"/>
    <w:qFormat/>
    <w:uiPriority w:val="0"/>
    <w:rPr>
      <w:sz w:val="21"/>
      <w:szCs w:val="22"/>
    </w:rPr>
  </w:style>
  <w:style w:type="paragraph" w:customStyle="1" w:styleId="49">
    <w:name w:val="☆ 正文"/>
    <w:basedOn w:val="1"/>
    <w:link w:val="48"/>
    <w:qFormat/>
    <w:uiPriority w:val="0"/>
    <w:rPr>
      <w:rFonts w:asciiTheme="minorHAnsi" w:hAnsiTheme="minorHAnsi" w:eastAsiaTheme="minorEastAsia" w:cstheme="minorBidi"/>
      <w:szCs w:val="22"/>
      <w14:ligatures w14:val="standardContextual"/>
    </w:rPr>
  </w:style>
  <w:style w:type="character" w:customStyle="1" w:styleId="50">
    <w:name w:val="标题 3 字符2"/>
    <w:qFormat/>
    <w:uiPriority w:val="99"/>
    <w:rPr>
      <w:rFonts w:ascii="Arial" w:hAnsi="Arial" w:eastAsia="黑体"/>
      <w:sz w:val="30"/>
      <w:szCs w:val="30"/>
      <w:lang w:val="zh-CN" w:eastAsia="zh-CN"/>
    </w:rPr>
  </w:style>
  <w:style w:type="paragraph" w:customStyle="1" w:styleId="51">
    <w:name w:val="*正文"/>
    <w:basedOn w:val="1"/>
    <w:qFormat/>
    <w:uiPriority w:val="0"/>
    <w:pPr>
      <w:widowControl/>
      <w:spacing w:line="360" w:lineRule="auto"/>
      <w:ind w:firstLine="200" w:firstLineChars="200"/>
    </w:pPr>
    <w:rPr>
      <w:rFonts w:ascii="仿宋_GB2312" w:hAnsi="宋体"/>
      <w:color w:val="000000"/>
      <w:kern w:val="0"/>
      <w:sz w:val="28"/>
      <w:szCs w:val="28"/>
    </w:rPr>
  </w:style>
  <w:style w:type="paragraph" w:customStyle="1" w:styleId="52">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5406</Words>
  <Characters>5595</Characters>
  <Lines>46</Lines>
  <Paragraphs>13</Paragraphs>
  <TotalTime>3</TotalTime>
  <ScaleCrop>false</ScaleCrop>
  <LinksUpToDate>false</LinksUpToDate>
  <CharactersWithSpaces>5870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2025-03-18T05:48:00Z</dcterms:created>
  <dc:creator>yecheng zhang</dc:creator>
  <cp:lastModifiedBy>刘潍</cp:lastModifiedBy>
  <dcterms:modified xsi:type="dcterms:W3CDTF">2025-03-18T09:05:14Z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eyJoZGlkIjoiMTk5ZTE3MzAzZDMyNmQ3YzE5NzdiMDEyMjMzYzc3ODgiLCJ1c2VySWQiOiIzNzkyODY0MjUifQ==</vt:lpwstr>
  </property>
  <property fmtid="{D5CDD505-2E9C-101B-9397-08002B2CF9AE}" pid="3" name="KSOProductBuildVer">
    <vt:lpwstr>2052-12.1.0.20305</vt:lpwstr>
  </property>
  <property fmtid="{D5CDD505-2E9C-101B-9397-08002B2CF9AE}" pid="4" name="ICV">
    <vt:lpwstr>F4BFC71170D6472F94D1B01B748444D2_12</vt:lpwstr>
  </property>
</Properties>
</file>