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3B82B">
      <w:pPr>
        <w:widowControl/>
        <w:spacing w:line="460" w:lineRule="exact"/>
        <w:jc w:val="center"/>
        <w:rPr>
          <w:rFonts w:hint="eastAsia" w:hAnsi="宋体"/>
          <w:b/>
          <w:bCs/>
          <w:color w:val="auto"/>
          <w:kern w:val="0"/>
          <w:sz w:val="32"/>
          <w:szCs w:val="32"/>
          <w:highlight w:val="none"/>
        </w:rPr>
      </w:pPr>
      <w:bookmarkStart w:id="0" w:name="_Toc343170821"/>
      <w:bookmarkStart w:id="1" w:name="_Toc352316306"/>
      <w:bookmarkStart w:id="2" w:name="_Toc343170401"/>
      <w:bookmarkStart w:id="3" w:name="_Toc352316314"/>
      <w:bookmarkStart w:id="4" w:name="_Toc270188681"/>
      <w:bookmarkStart w:id="5" w:name="_Toc343170829"/>
      <w:bookmarkStart w:id="6" w:name="_Toc343170409"/>
      <w:bookmarkStart w:id="7" w:name="_Toc110682670"/>
      <w:r>
        <w:rPr>
          <w:rFonts w:hint="eastAsia" w:hAnsi="宋体"/>
          <w:b/>
          <w:bCs/>
          <w:color w:val="auto"/>
          <w:kern w:val="0"/>
          <w:sz w:val="32"/>
          <w:szCs w:val="32"/>
          <w:highlight w:val="none"/>
        </w:rPr>
        <w:t xml:space="preserve">2025年度常州市新北区奔牛镇何家塘村区级高标准农田建设项目 </w:t>
      </w:r>
    </w:p>
    <w:p w14:paraId="217D40FC">
      <w:pPr>
        <w:widowControl/>
        <w:spacing w:line="460" w:lineRule="exact"/>
        <w:jc w:val="center"/>
        <w:rPr>
          <w:rFonts w:hint="eastAsia" w:hAnsi="宋体"/>
          <w:b/>
          <w:bCs/>
          <w:color w:val="auto"/>
          <w:kern w:val="0"/>
          <w:sz w:val="32"/>
          <w:szCs w:val="32"/>
          <w:highlight w:val="none"/>
        </w:rPr>
      </w:pPr>
      <w:r>
        <w:rPr>
          <w:rFonts w:hint="eastAsia" w:hAnsi="宋体"/>
          <w:b/>
          <w:bCs/>
          <w:color w:val="auto"/>
          <w:kern w:val="0"/>
          <w:sz w:val="32"/>
          <w:szCs w:val="32"/>
          <w:highlight w:val="none"/>
        </w:rPr>
        <w:t>施工</w:t>
      </w:r>
      <w:r>
        <w:rPr>
          <w:rFonts w:hAnsi="宋体"/>
          <w:b/>
          <w:bCs/>
          <w:color w:val="auto"/>
          <w:kern w:val="0"/>
          <w:sz w:val="32"/>
          <w:szCs w:val="32"/>
          <w:highlight w:val="none"/>
        </w:rPr>
        <w:t>招标公告</w:t>
      </w:r>
      <w:bookmarkEnd w:id="0"/>
      <w:bookmarkEnd w:id="1"/>
      <w:bookmarkEnd w:id="2"/>
      <w:bookmarkStart w:id="8" w:name="_Toc343170402"/>
      <w:bookmarkEnd w:id="8"/>
      <w:bookmarkStart w:id="9" w:name="_Toc352316307"/>
      <w:bookmarkEnd w:id="9"/>
      <w:bookmarkStart w:id="10" w:name="_Toc343170822"/>
      <w:bookmarkEnd w:id="10"/>
    </w:p>
    <w:p w14:paraId="5D32C495">
      <w:pPr>
        <w:widowControl/>
        <w:spacing w:line="460" w:lineRule="exact"/>
        <w:ind w:right="630"/>
        <w:jc w:val="right"/>
        <w:rPr>
          <w:rFonts w:hint="eastAsia" w:ascii="宋体" w:hAnsi="宋体" w:cs="宋体"/>
          <w:b/>
          <w:bCs/>
          <w:color w:val="auto"/>
          <w:kern w:val="0"/>
          <w:highlight w:val="none"/>
        </w:rPr>
      </w:pPr>
      <w:r>
        <w:rPr>
          <w:rFonts w:hint="eastAsia" w:ascii="宋体" w:hAnsi="宋体" w:cs="宋体"/>
          <w:bCs/>
          <w:color w:val="auto"/>
          <w:kern w:val="0"/>
          <w:highlight w:val="none"/>
        </w:rPr>
        <w:t>奔招（2025013）号</w:t>
      </w:r>
    </w:p>
    <w:p w14:paraId="7FAC7B71">
      <w:pPr>
        <w:widowControl/>
        <w:numPr>
          <w:ilvl w:val="0"/>
          <w:numId w:val="1"/>
        </w:numPr>
        <w:spacing w:line="400" w:lineRule="exact"/>
        <w:jc w:val="left"/>
        <w:rPr>
          <w:rFonts w:hint="eastAsia" w:ascii="宋体" w:hAnsi="宋体" w:cs="宋体"/>
          <w:bCs/>
          <w:color w:val="auto"/>
          <w:highlight w:val="none"/>
        </w:rPr>
      </w:pPr>
      <w:r>
        <w:rPr>
          <w:rStyle w:val="13"/>
          <w:rFonts w:hint="eastAsia" w:ascii="宋体" w:hAnsi="宋体" w:cs="宋体"/>
          <w:bCs w:val="0"/>
          <w:color w:val="auto"/>
          <w:highlight w:val="none"/>
          <w:shd w:val="clear" w:color="auto" w:fill="FFFFFF"/>
        </w:rPr>
        <w:t>招标条件</w:t>
      </w:r>
    </w:p>
    <w:p w14:paraId="17088CCC">
      <w:pPr>
        <w:pStyle w:val="9"/>
        <w:ind w:firstLine="420" w:firstLineChars="200"/>
        <w:rPr>
          <w:rFonts w:hint="eastAsia"/>
          <w:color w:val="auto"/>
          <w:highlight w:val="none"/>
        </w:rPr>
      </w:pPr>
      <w:r>
        <w:rPr>
          <w:rFonts w:hint="eastAsia"/>
          <w:color w:val="auto"/>
          <w:highlight w:val="none"/>
          <w:u w:val="single"/>
        </w:rPr>
        <w:t>2025年度常州市新北区奔牛镇何家塘村区级高标准农田建设项目</w:t>
      </w:r>
      <w:r>
        <w:rPr>
          <w:rFonts w:hint="eastAsia"/>
          <w:color w:val="auto"/>
          <w:highlight w:val="none"/>
        </w:rPr>
        <w:t>已由</w:t>
      </w:r>
      <w:r>
        <w:rPr>
          <w:rFonts w:hint="eastAsia"/>
          <w:color w:val="auto"/>
          <w:highlight w:val="none"/>
          <w:u w:val="single"/>
        </w:rPr>
        <w:t>常州市新北区奔牛镇人民政府</w:t>
      </w:r>
      <w:r>
        <w:rPr>
          <w:rFonts w:hint="eastAsia"/>
          <w:color w:val="auto"/>
          <w:highlight w:val="none"/>
        </w:rPr>
        <w:t>批准兴建，建设资金来自</w:t>
      </w:r>
      <w:r>
        <w:rPr>
          <w:rFonts w:hint="eastAsia"/>
          <w:color w:val="auto"/>
          <w:highlight w:val="none"/>
          <w:u w:val="single"/>
        </w:rPr>
        <w:t>自筹资金</w:t>
      </w:r>
      <w:r>
        <w:rPr>
          <w:rFonts w:hint="eastAsia"/>
          <w:color w:val="auto"/>
          <w:highlight w:val="none"/>
        </w:rPr>
        <w:t xml:space="preserve"> ，项目法人为</w:t>
      </w:r>
      <w:r>
        <w:rPr>
          <w:rFonts w:hint="eastAsia"/>
          <w:color w:val="auto"/>
          <w:highlight w:val="none"/>
          <w:u w:val="single"/>
        </w:rPr>
        <w:t>常州市新北区奔牛镇人民政府（农村工作办公室）</w:t>
      </w:r>
      <w:r>
        <w:rPr>
          <w:rFonts w:hint="eastAsia"/>
          <w:color w:val="auto"/>
          <w:highlight w:val="none"/>
        </w:rPr>
        <w:t>，招标人为</w:t>
      </w:r>
      <w:r>
        <w:rPr>
          <w:rFonts w:hint="eastAsia"/>
          <w:color w:val="auto"/>
          <w:highlight w:val="none"/>
          <w:u w:val="single"/>
        </w:rPr>
        <w:t>常州市新北区奔牛镇人民政府（农村工作办公室）</w:t>
      </w:r>
      <w:r>
        <w:rPr>
          <w:rFonts w:hint="eastAsia"/>
          <w:color w:val="auto"/>
          <w:highlight w:val="none"/>
        </w:rPr>
        <w:t>。项目已具备招标条件，现对本项目</w:t>
      </w:r>
      <w:r>
        <w:rPr>
          <w:rFonts w:hint="eastAsia"/>
          <w:color w:val="auto"/>
          <w:highlight w:val="none"/>
          <w:u w:val="single"/>
        </w:rPr>
        <w:t>2025年度常州市新北区奔牛镇何家塘村区级高标准农田建设项目</w:t>
      </w:r>
      <w:r>
        <w:rPr>
          <w:rFonts w:hint="eastAsia"/>
          <w:color w:val="auto"/>
          <w:highlight w:val="none"/>
        </w:rPr>
        <w:t>施工进行公开招标。</w:t>
      </w:r>
    </w:p>
    <w:p w14:paraId="3E0E3391">
      <w:pPr>
        <w:pStyle w:val="9"/>
        <w:rPr>
          <w:rFonts w:hint="eastAsia"/>
          <w:bCs/>
          <w:color w:val="auto"/>
          <w:highlight w:val="none"/>
        </w:rPr>
      </w:pPr>
      <w:r>
        <w:rPr>
          <w:rStyle w:val="13"/>
          <w:rFonts w:hint="eastAsia" w:cs="宋体"/>
          <w:bCs w:val="0"/>
          <w:color w:val="auto"/>
          <w:highlight w:val="none"/>
        </w:rPr>
        <w:t>2</w:t>
      </w:r>
      <w:r>
        <w:rPr>
          <w:rFonts w:hint="eastAsia"/>
          <w:bCs/>
          <w:color w:val="auto"/>
          <w:highlight w:val="none"/>
        </w:rPr>
        <w:t>.</w:t>
      </w:r>
      <w:r>
        <w:rPr>
          <w:rStyle w:val="13"/>
          <w:rFonts w:hint="eastAsia" w:cs="宋体"/>
          <w:bCs w:val="0"/>
          <w:color w:val="auto"/>
          <w:highlight w:val="none"/>
        </w:rPr>
        <w:t>项目总概况与本标段招标范围</w:t>
      </w:r>
    </w:p>
    <w:p w14:paraId="41DD2A20">
      <w:pPr>
        <w:pStyle w:val="9"/>
        <w:rPr>
          <w:rFonts w:hint="eastAsia"/>
          <w:color w:val="auto"/>
          <w:highlight w:val="none"/>
        </w:rPr>
      </w:pPr>
      <w:r>
        <w:rPr>
          <w:rFonts w:hint="eastAsia"/>
          <w:color w:val="auto"/>
          <w:highlight w:val="none"/>
        </w:rPr>
        <w:t>2.1.1项目总概况：</w:t>
      </w:r>
    </w:p>
    <w:p w14:paraId="5CA5EF68">
      <w:pPr>
        <w:pStyle w:val="9"/>
        <w:ind w:firstLine="420" w:firstLineChars="200"/>
        <w:rPr>
          <w:rStyle w:val="13"/>
          <w:rFonts w:cs="宋体" w:asciiTheme="minorHAnsi" w:hAnsiTheme="minorHAnsi" w:eastAsiaTheme="minorEastAsia"/>
          <w:b w:val="0"/>
          <w:color w:val="auto"/>
          <w:highlight w:val="none"/>
        </w:rPr>
      </w:pPr>
      <w:r>
        <w:rPr>
          <w:rStyle w:val="13"/>
          <w:rFonts w:hint="eastAsia" w:cs="宋体" w:asciiTheme="minorHAnsi" w:hAnsiTheme="minorHAnsi" w:eastAsiaTheme="minorEastAsia"/>
          <w:b w:val="0"/>
          <w:color w:val="auto"/>
          <w:highlight w:val="none"/>
        </w:rPr>
        <w:t>本工程为2025年度常州市新北区奔牛镇何家塘村区级高标准农田建设项目，建设地点位于奔牛镇何家塘村</w:t>
      </w:r>
      <w:r>
        <w:rPr>
          <w:rStyle w:val="13"/>
          <w:rFonts w:cs="宋体" w:asciiTheme="minorHAnsi" w:hAnsiTheme="minorHAnsi" w:eastAsiaTheme="minorEastAsia"/>
          <w:b w:val="0"/>
          <w:color w:val="auto"/>
          <w:highlight w:val="none"/>
        </w:rPr>
        <w:t>。</w:t>
      </w:r>
      <w:r>
        <w:rPr>
          <w:rStyle w:val="13"/>
          <w:rFonts w:hint="eastAsia" w:cs="宋体" w:asciiTheme="minorHAnsi" w:hAnsiTheme="minorHAnsi" w:eastAsiaTheme="minorEastAsia"/>
          <w:b w:val="0"/>
          <w:color w:val="auto"/>
          <w:highlight w:val="none"/>
        </w:rPr>
        <w:t>本项目工程建设内容主要包括：</w:t>
      </w:r>
      <w:r>
        <w:rPr>
          <w:rFonts w:hint="eastAsia"/>
          <w:color w:val="auto"/>
          <w:highlight w:val="none"/>
        </w:rPr>
        <w:t>渠道、</w:t>
      </w:r>
      <w:r>
        <w:rPr>
          <w:color w:val="auto"/>
          <w:highlight w:val="none"/>
        </w:rPr>
        <w:t>配套渠系建筑物</w:t>
      </w:r>
      <w:r>
        <w:rPr>
          <w:rFonts w:hint="eastAsia"/>
          <w:color w:val="auto"/>
          <w:highlight w:val="none"/>
        </w:rPr>
        <w:t>、田间道路</w:t>
      </w:r>
      <w:r>
        <w:rPr>
          <w:rStyle w:val="13"/>
          <w:rFonts w:hint="eastAsia" w:cs="宋体" w:asciiTheme="minorHAnsi" w:hAnsiTheme="minorHAnsi" w:eastAsiaTheme="minorEastAsia"/>
          <w:b w:val="0"/>
          <w:color w:val="auto"/>
          <w:highlight w:val="none"/>
        </w:rPr>
        <w:t>等</w:t>
      </w:r>
      <w:r>
        <w:rPr>
          <w:rFonts w:hint="eastAsia"/>
          <w:color w:val="auto"/>
          <w:highlight w:val="none"/>
        </w:rPr>
        <w:t>工程</w:t>
      </w:r>
      <w:r>
        <w:rPr>
          <w:rStyle w:val="13"/>
          <w:rFonts w:hint="eastAsia" w:cs="宋体" w:asciiTheme="minorHAnsi" w:hAnsiTheme="minorHAnsi" w:eastAsiaTheme="minorEastAsia"/>
          <w:b w:val="0"/>
          <w:color w:val="auto"/>
          <w:highlight w:val="none"/>
        </w:rPr>
        <w:t>（详见工程量清单）。</w:t>
      </w:r>
    </w:p>
    <w:p w14:paraId="64DE4431">
      <w:pPr>
        <w:pStyle w:val="22"/>
        <w:tabs>
          <w:tab w:val="left" w:pos="988"/>
        </w:tabs>
        <w:spacing w:after="140" w:line="400" w:lineRule="exact"/>
        <w:ind w:firstLine="0"/>
        <w:jc w:val="left"/>
        <w:rPr>
          <w:rFonts w:hint="eastAsia" w:ascii="宋体" w:hAnsi="宋体" w:eastAsia="宋体" w:cs="宋体"/>
          <w:b/>
          <w:color w:val="auto"/>
          <w:kern w:val="0"/>
          <w:sz w:val="21"/>
          <w:szCs w:val="21"/>
          <w:highlight w:val="none"/>
          <w:shd w:val="clear" w:color="auto" w:fill="FFFFFF"/>
          <w:lang w:val="en-US" w:eastAsia="zh-CN" w:bidi="ar-SA"/>
        </w:rPr>
      </w:pPr>
      <w:r>
        <w:rPr>
          <w:rFonts w:hint="eastAsia" w:ascii="宋体" w:hAnsi="宋体" w:eastAsia="宋体" w:cs="宋体"/>
          <w:b/>
          <w:color w:val="auto"/>
          <w:kern w:val="0"/>
          <w:sz w:val="21"/>
          <w:szCs w:val="21"/>
          <w:highlight w:val="none"/>
          <w:shd w:val="clear" w:color="auto" w:fill="FFFFFF"/>
          <w:lang w:val="en-US" w:eastAsia="zh-CN" w:bidi="ar-SA"/>
        </w:rPr>
        <w:t>2.2.2 标段划分：</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904"/>
        <w:gridCol w:w="1650"/>
        <w:gridCol w:w="1416"/>
      </w:tblGrid>
      <w:tr w14:paraId="733D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48" w:type="dxa"/>
            <w:noWrap/>
            <w:vAlign w:val="center"/>
          </w:tcPr>
          <w:p w14:paraId="3DEAFCB8">
            <w:pPr>
              <w:pStyle w:val="9"/>
              <w:jc w:val="center"/>
              <w:rPr>
                <w:rFonts w:hint="eastAsia"/>
                <w:color w:val="auto"/>
                <w:highlight w:val="none"/>
              </w:rPr>
            </w:pPr>
            <w:r>
              <w:rPr>
                <w:rFonts w:hint="eastAsia"/>
                <w:color w:val="auto"/>
                <w:highlight w:val="none"/>
              </w:rPr>
              <w:t>标段</w:t>
            </w:r>
          </w:p>
          <w:p w14:paraId="7AEDEE6A">
            <w:pPr>
              <w:pStyle w:val="9"/>
              <w:jc w:val="center"/>
              <w:rPr>
                <w:rFonts w:hint="eastAsia"/>
                <w:color w:val="auto"/>
                <w:highlight w:val="none"/>
              </w:rPr>
            </w:pPr>
            <w:r>
              <w:rPr>
                <w:rFonts w:hint="eastAsia"/>
                <w:color w:val="auto"/>
                <w:highlight w:val="none"/>
              </w:rPr>
              <w:t>序号</w:t>
            </w:r>
          </w:p>
        </w:tc>
        <w:tc>
          <w:tcPr>
            <w:tcW w:w="5904" w:type="dxa"/>
            <w:noWrap/>
            <w:vAlign w:val="center"/>
          </w:tcPr>
          <w:p w14:paraId="14E054F7">
            <w:pPr>
              <w:pStyle w:val="9"/>
              <w:jc w:val="center"/>
              <w:rPr>
                <w:rFonts w:hint="eastAsia"/>
                <w:color w:val="auto"/>
                <w:highlight w:val="none"/>
              </w:rPr>
            </w:pPr>
            <w:r>
              <w:rPr>
                <w:rFonts w:hint="eastAsia"/>
                <w:color w:val="auto"/>
                <w:highlight w:val="none"/>
              </w:rPr>
              <w:t>招标内容</w:t>
            </w:r>
          </w:p>
        </w:tc>
        <w:tc>
          <w:tcPr>
            <w:tcW w:w="1650" w:type="dxa"/>
            <w:noWrap/>
            <w:vAlign w:val="center"/>
          </w:tcPr>
          <w:p w14:paraId="7D285654">
            <w:pPr>
              <w:pStyle w:val="9"/>
              <w:jc w:val="center"/>
              <w:rPr>
                <w:rFonts w:hint="eastAsia"/>
                <w:color w:val="auto"/>
                <w:highlight w:val="none"/>
              </w:rPr>
            </w:pPr>
            <w:r>
              <w:rPr>
                <w:rFonts w:hint="eastAsia"/>
                <w:color w:val="auto"/>
                <w:highlight w:val="none"/>
              </w:rPr>
              <w:t>投资控制价(元)</w:t>
            </w:r>
          </w:p>
        </w:tc>
        <w:tc>
          <w:tcPr>
            <w:tcW w:w="1416" w:type="dxa"/>
            <w:noWrap/>
            <w:vAlign w:val="center"/>
          </w:tcPr>
          <w:p w14:paraId="0F84C31D">
            <w:pPr>
              <w:pStyle w:val="9"/>
              <w:jc w:val="center"/>
              <w:rPr>
                <w:rFonts w:hint="eastAsia"/>
                <w:color w:val="auto"/>
                <w:highlight w:val="none"/>
              </w:rPr>
            </w:pPr>
            <w:r>
              <w:rPr>
                <w:rFonts w:hint="eastAsia"/>
                <w:color w:val="auto"/>
                <w:highlight w:val="none"/>
              </w:rPr>
              <w:t>投标保证金（万元）</w:t>
            </w:r>
          </w:p>
        </w:tc>
      </w:tr>
      <w:tr w14:paraId="4AC5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48" w:type="dxa"/>
            <w:noWrap/>
            <w:vAlign w:val="center"/>
          </w:tcPr>
          <w:p w14:paraId="28D0350A">
            <w:pPr>
              <w:pStyle w:val="9"/>
              <w:jc w:val="center"/>
              <w:rPr>
                <w:rFonts w:hint="eastAsia"/>
                <w:color w:val="auto"/>
                <w:highlight w:val="none"/>
              </w:rPr>
            </w:pPr>
            <w:r>
              <w:rPr>
                <w:rFonts w:hint="eastAsia"/>
                <w:color w:val="auto"/>
                <w:highlight w:val="none"/>
              </w:rPr>
              <w:t>1</w:t>
            </w:r>
          </w:p>
        </w:tc>
        <w:tc>
          <w:tcPr>
            <w:tcW w:w="5904" w:type="dxa"/>
            <w:noWrap/>
            <w:vAlign w:val="center"/>
          </w:tcPr>
          <w:p w14:paraId="568F83B1">
            <w:pPr>
              <w:jc w:val="left"/>
              <w:rPr>
                <w:b/>
                <w:color w:val="auto"/>
                <w:highlight w:val="none"/>
                <w:u w:val="single"/>
                <w:shd w:val="clear" w:color="auto" w:fill="FFFFFF"/>
              </w:rPr>
            </w:pPr>
            <w:r>
              <w:rPr>
                <w:rFonts w:hint="eastAsia"/>
                <w:color w:val="auto"/>
                <w:highlight w:val="none"/>
              </w:rPr>
              <w:t>渠道、</w:t>
            </w:r>
            <w:r>
              <w:rPr>
                <w:rFonts w:ascii="宋体" w:hAnsi="宋体" w:cs="宋体"/>
                <w:color w:val="auto"/>
                <w:highlight w:val="none"/>
              </w:rPr>
              <w:t>配套渠系建筑物</w:t>
            </w:r>
            <w:r>
              <w:rPr>
                <w:rFonts w:hint="eastAsia" w:ascii="宋体" w:hAnsi="宋体" w:cs="宋体"/>
                <w:color w:val="auto"/>
                <w:highlight w:val="none"/>
              </w:rPr>
              <w:t>、</w:t>
            </w:r>
            <w:r>
              <w:rPr>
                <w:rFonts w:hint="eastAsia"/>
                <w:color w:val="auto"/>
                <w:highlight w:val="none"/>
              </w:rPr>
              <w:t>田间道路</w:t>
            </w:r>
            <w:r>
              <w:rPr>
                <w:rStyle w:val="13"/>
                <w:rFonts w:hint="eastAsia" w:cs="宋体" w:asciiTheme="minorHAnsi" w:hAnsiTheme="minorHAnsi" w:eastAsiaTheme="minorEastAsia"/>
                <w:b w:val="0"/>
                <w:color w:val="auto"/>
                <w:highlight w:val="none"/>
              </w:rPr>
              <w:t>等</w:t>
            </w:r>
            <w:r>
              <w:rPr>
                <w:rFonts w:hint="eastAsia"/>
                <w:color w:val="auto"/>
                <w:highlight w:val="none"/>
              </w:rPr>
              <w:t>工程</w:t>
            </w:r>
            <w:r>
              <w:rPr>
                <w:rStyle w:val="13"/>
                <w:rFonts w:hint="eastAsia" w:cs="宋体" w:asciiTheme="minorHAnsi" w:hAnsiTheme="minorHAnsi" w:eastAsiaTheme="minorEastAsia"/>
                <w:b w:val="0"/>
                <w:color w:val="auto"/>
                <w:highlight w:val="none"/>
              </w:rPr>
              <w:t>（详见工程量清单）</w:t>
            </w:r>
          </w:p>
        </w:tc>
        <w:tc>
          <w:tcPr>
            <w:tcW w:w="1650" w:type="dxa"/>
            <w:noWrap/>
            <w:vAlign w:val="center"/>
          </w:tcPr>
          <w:p w14:paraId="5ABC0CF1">
            <w:pPr>
              <w:pStyle w:val="9"/>
              <w:jc w:val="center"/>
              <w:rPr>
                <w:rFonts w:hint="eastAsia"/>
                <w:color w:val="auto"/>
                <w:highlight w:val="none"/>
              </w:rPr>
            </w:pPr>
            <w:r>
              <w:rPr>
                <w:rFonts w:hint="eastAsia"/>
                <w:color w:val="auto"/>
                <w:highlight w:val="none"/>
              </w:rPr>
              <w:t>2933069.53</w:t>
            </w:r>
          </w:p>
        </w:tc>
        <w:tc>
          <w:tcPr>
            <w:tcW w:w="1416" w:type="dxa"/>
            <w:noWrap/>
            <w:vAlign w:val="center"/>
          </w:tcPr>
          <w:p w14:paraId="7B496C1D">
            <w:pPr>
              <w:pStyle w:val="9"/>
              <w:jc w:val="center"/>
              <w:rPr>
                <w:rFonts w:hint="eastAsia"/>
                <w:color w:val="auto"/>
                <w:highlight w:val="none"/>
              </w:rPr>
            </w:pPr>
            <w:r>
              <w:rPr>
                <w:rFonts w:hint="eastAsia"/>
                <w:color w:val="auto"/>
                <w:highlight w:val="none"/>
              </w:rPr>
              <w:t>5.80</w:t>
            </w:r>
          </w:p>
        </w:tc>
      </w:tr>
    </w:tbl>
    <w:p w14:paraId="17585A50">
      <w:pPr>
        <w:pStyle w:val="9"/>
        <w:rPr>
          <w:rFonts w:hint="eastAsia"/>
          <w:color w:val="auto"/>
          <w:highlight w:val="none"/>
        </w:rPr>
      </w:pPr>
      <w:r>
        <w:rPr>
          <w:rFonts w:hint="eastAsia"/>
          <w:color w:val="auto"/>
          <w:highlight w:val="none"/>
        </w:rPr>
        <w:t>2.2 计划工期90日历天。</w:t>
      </w:r>
    </w:p>
    <w:p w14:paraId="338D5F78">
      <w:pPr>
        <w:pStyle w:val="9"/>
        <w:rPr>
          <w:rFonts w:hint="eastAsia"/>
          <w:color w:val="auto"/>
          <w:highlight w:val="none"/>
        </w:rPr>
      </w:pPr>
      <w:r>
        <w:rPr>
          <w:rFonts w:hint="eastAsia"/>
          <w:color w:val="auto"/>
          <w:highlight w:val="none"/>
        </w:rPr>
        <w:t>2.3 质量目标：施工质量目标要求为合格等级。</w:t>
      </w:r>
    </w:p>
    <w:p w14:paraId="51943F1B">
      <w:pPr>
        <w:pStyle w:val="9"/>
        <w:rPr>
          <w:rFonts w:hint="eastAsia"/>
          <w:color w:val="auto"/>
          <w:highlight w:val="none"/>
        </w:rPr>
      </w:pPr>
      <w:r>
        <w:rPr>
          <w:rFonts w:hint="eastAsia"/>
          <w:color w:val="auto"/>
          <w:highlight w:val="none"/>
        </w:rPr>
        <w:t>2.4 工程总概算投资为：/。</w:t>
      </w:r>
    </w:p>
    <w:p w14:paraId="3F45D7B5">
      <w:pPr>
        <w:pStyle w:val="9"/>
        <w:rPr>
          <w:rFonts w:hint="eastAsia"/>
          <w:color w:val="auto"/>
          <w:highlight w:val="none"/>
        </w:rPr>
      </w:pPr>
      <w:r>
        <w:rPr>
          <w:rFonts w:hint="eastAsia"/>
          <w:color w:val="auto"/>
          <w:highlight w:val="none"/>
        </w:rPr>
        <w:t>2.5</w:t>
      </w:r>
      <w:r>
        <w:rPr>
          <w:rFonts w:hint="eastAsia"/>
          <w:color w:val="auto"/>
          <w:highlight w:val="none"/>
          <w:lang w:eastAsia="zh-CN"/>
        </w:rPr>
        <w:t>特别提醒</w:t>
      </w:r>
      <w:r>
        <w:rPr>
          <w:rFonts w:hint="eastAsia"/>
          <w:color w:val="auto"/>
          <w:highlight w:val="none"/>
        </w:rPr>
        <w:t>1：因该项目计划竣工工期在2025年6月5日以后，招标人要求施工单位进场施工后在5月30日前必须完成灌溉渠道施工，以保证该项目范围内及周边农田正常灌溉用水，若施工中未达到该要求，招标人将视为未正常履约。请投标单位投标时综合考虑公司施工队伍配置。</w:t>
      </w:r>
    </w:p>
    <w:p w14:paraId="75711FFB">
      <w:pPr>
        <w:pStyle w:val="9"/>
        <w:rPr>
          <w:rFonts w:hint="eastAsia"/>
          <w:color w:val="auto"/>
          <w:highlight w:val="none"/>
        </w:rPr>
      </w:pPr>
      <w:r>
        <w:rPr>
          <w:rFonts w:hint="eastAsia"/>
          <w:color w:val="auto"/>
          <w:highlight w:val="none"/>
        </w:rPr>
        <w:t>2.6</w:t>
      </w:r>
      <w:r>
        <w:rPr>
          <w:rFonts w:hint="eastAsia"/>
          <w:color w:val="auto"/>
          <w:highlight w:val="none"/>
          <w:lang w:eastAsia="zh-CN"/>
        </w:rPr>
        <w:t>特别提醒</w:t>
      </w:r>
      <w:r>
        <w:rPr>
          <w:rFonts w:hint="eastAsia"/>
          <w:color w:val="auto"/>
          <w:highlight w:val="none"/>
        </w:rPr>
        <w:t>2：因该项目为农田性质，水稻种植后将会有近3个月不具备施工条件，施工单位必须随时调整施工作业时间，但总实际施工作业工期为90天，竣工日期不能晚于2025年12月30日。</w:t>
      </w:r>
    </w:p>
    <w:p w14:paraId="0FE4C93D">
      <w:pPr>
        <w:pStyle w:val="9"/>
        <w:rPr>
          <w:rFonts w:hint="eastAsia"/>
          <w:color w:val="auto"/>
          <w:highlight w:val="none"/>
        </w:rPr>
      </w:pPr>
      <w:r>
        <w:rPr>
          <w:rFonts w:hint="eastAsia"/>
          <w:color w:val="auto"/>
          <w:highlight w:val="none"/>
        </w:rPr>
        <w:t>2.7</w:t>
      </w:r>
      <w:r>
        <w:rPr>
          <w:rFonts w:hint="eastAsia"/>
          <w:color w:val="auto"/>
          <w:highlight w:val="none"/>
          <w:lang w:eastAsia="zh-CN"/>
        </w:rPr>
        <w:t>特别提醒</w:t>
      </w:r>
      <w:r>
        <w:rPr>
          <w:rFonts w:hint="eastAsia"/>
          <w:color w:val="auto"/>
          <w:highlight w:val="none"/>
        </w:rPr>
        <w:t>3：因为2.5、2.6条款因素，可能导致材料、人工等施工成本变化，招标人将不予调整，请投标人投标时予以综合考虑其风险。</w:t>
      </w:r>
    </w:p>
    <w:p w14:paraId="5708CFBF">
      <w:pPr>
        <w:pStyle w:val="9"/>
        <w:rPr>
          <w:rFonts w:hint="eastAsia"/>
          <w:bCs/>
          <w:color w:val="auto"/>
          <w:highlight w:val="none"/>
        </w:rPr>
      </w:pPr>
      <w:r>
        <w:rPr>
          <w:rStyle w:val="13"/>
          <w:rFonts w:hint="eastAsia" w:cs="宋体"/>
          <w:bCs w:val="0"/>
          <w:color w:val="auto"/>
          <w:highlight w:val="none"/>
        </w:rPr>
        <w:t>3</w:t>
      </w:r>
      <w:r>
        <w:rPr>
          <w:rFonts w:hint="eastAsia"/>
          <w:bCs/>
          <w:color w:val="auto"/>
          <w:highlight w:val="none"/>
        </w:rPr>
        <w:t>.</w:t>
      </w:r>
      <w:r>
        <w:rPr>
          <w:rStyle w:val="13"/>
          <w:rFonts w:hint="eastAsia" w:cs="宋体"/>
          <w:bCs w:val="0"/>
          <w:color w:val="auto"/>
          <w:highlight w:val="none"/>
        </w:rPr>
        <w:t>投标人资格要求</w:t>
      </w:r>
    </w:p>
    <w:p w14:paraId="0816C122">
      <w:pPr>
        <w:pStyle w:val="9"/>
        <w:rPr>
          <w:rFonts w:hint="eastAsia"/>
          <w:color w:val="auto"/>
          <w:highlight w:val="none"/>
        </w:rPr>
      </w:pPr>
      <w:r>
        <w:rPr>
          <w:rFonts w:hint="eastAsia"/>
          <w:color w:val="auto"/>
          <w:highlight w:val="none"/>
        </w:rPr>
        <w:t>3.1 投标人资格要求如下：</w:t>
      </w:r>
    </w:p>
    <w:p w14:paraId="6BFBFAA8">
      <w:pPr>
        <w:pStyle w:val="9"/>
        <w:rPr>
          <w:rFonts w:hint="eastAsia"/>
          <w:color w:val="auto"/>
          <w:highlight w:val="none"/>
        </w:rPr>
      </w:pPr>
      <w:r>
        <w:rPr>
          <w:rFonts w:hint="eastAsia"/>
          <w:color w:val="auto"/>
          <w:highlight w:val="none"/>
        </w:rPr>
        <w:t>3.1.1 投标人资质类别、等级:具备水利水电工程施工总承包三级及以上资质；</w:t>
      </w:r>
    </w:p>
    <w:p w14:paraId="3CCBFFE9">
      <w:pPr>
        <w:pStyle w:val="9"/>
        <w:rPr>
          <w:rFonts w:hint="eastAsia"/>
          <w:color w:val="auto"/>
          <w:highlight w:val="none"/>
        </w:rPr>
      </w:pPr>
      <w:r>
        <w:rPr>
          <w:rFonts w:hint="eastAsia"/>
          <w:color w:val="auto"/>
          <w:highlight w:val="none"/>
        </w:rPr>
        <w:t>3.1.2 项目负责人专业、等级:水利水电工程注册建造师二级及以上（无在建工程），须由投标单位及项目经理自行作出承诺，格式自拟，并加盖投标单位公章及项目经理本人签名；</w:t>
      </w:r>
    </w:p>
    <w:p w14:paraId="7925514D">
      <w:pPr>
        <w:pStyle w:val="9"/>
        <w:rPr>
          <w:rFonts w:hint="eastAsia"/>
          <w:color w:val="auto"/>
          <w:highlight w:val="none"/>
        </w:rPr>
      </w:pPr>
      <w:r>
        <w:rPr>
          <w:rFonts w:hint="eastAsia"/>
          <w:color w:val="auto"/>
          <w:highlight w:val="none"/>
        </w:rPr>
        <w:t>注：项目负责人无在建工程认定：拟任项目负责人有在建工程时，符合以下情形之一的，经该在建工程建设单位同意，并完善有关手续后，可以参加其他工程项目的投标。</w:t>
      </w:r>
    </w:p>
    <w:p w14:paraId="27ACF800">
      <w:pPr>
        <w:pStyle w:val="9"/>
        <w:rPr>
          <w:rFonts w:hint="eastAsia"/>
          <w:color w:val="auto"/>
          <w:highlight w:val="none"/>
        </w:rPr>
      </w:pPr>
      <w:r>
        <w:rPr>
          <w:rFonts w:hint="eastAsia"/>
          <w:color w:val="auto"/>
          <w:highlight w:val="none"/>
        </w:rPr>
        <w:t>3.1.2.1合同工程量已完成80%以上，且主体工程已完成。</w:t>
      </w:r>
    </w:p>
    <w:p w14:paraId="31B2E9BF">
      <w:pPr>
        <w:pStyle w:val="9"/>
        <w:rPr>
          <w:rFonts w:hint="eastAsia"/>
          <w:color w:val="auto"/>
          <w:highlight w:val="none"/>
        </w:rPr>
      </w:pPr>
      <w:r>
        <w:rPr>
          <w:rFonts w:hint="eastAsia"/>
          <w:color w:val="auto"/>
          <w:highlight w:val="none"/>
        </w:rPr>
        <w:t>3.1.2.2通过水下（泵站机组启动、河道通水）验收。</w:t>
      </w:r>
    </w:p>
    <w:p w14:paraId="37BE24BF">
      <w:pPr>
        <w:pStyle w:val="9"/>
        <w:rPr>
          <w:rFonts w:hint="eastAsia"/>
          <w:color w:val="auto"/>
          <w:highlight w:val="none"/>
        </w:rPr>
      </w:pPr>
      <w:r>
        <w:rPr>
          <w:rFonts w:hint="eastAsia"/>
          <w:color w:val="auto"/>
          <w:highlight w:val="none"/>
        </w:rPr>
        <w:t>3.1.2.3通过合同完工验收。</w:t>
      </w:r>
    </w:p>
    <w:p w14:paraId="14947D7E">
      <w:pPr>
        <w:pStyle w:val="9"/>
        <w:rPr>
          <w:rFonts w:hint="eastAsia"/>
          <w:color w:val="auto"/>
          <w:highlight w:val="none"/>
        </w:rPr>
      </w:pPr>
      <w:r>
        <w:rPr>
          <w:rFonts w:hint="eastAsia"/>
          <w:color w:val="auto"/>
          <w:highlight w:val="none"/>
        </w:rPr>
        <w:t>3.1.2.4工程具备合同完工验收条件，已向建设单位提出合同完工验收申请，并经建设单位确认。</w:t>
      </w:r>
    </w:p>
    <w:p w14:paraId="1F9F16E7">
      <w:pPr>
        <w:pStyle w:val="9"/>
        <w:rPr>
          <w:rFonts w:hint="eastAsia"/>
          <w:color w:val="auto"/>
          <w:highlight w:val="none"/>
        </w:rPr>
      </w:pPr>
      <w:r>
        <w:rPr>
          <w:rFonts w:hint="eastAsia"/>
          <w:color w:val="auto"/>
          <w:highlight w:val="none"/>
        </w:rPr>
        <w:t>3.1.2.5因非承包方原因致使工程项目停工超过120天（含）。</w:t>
      </w:r>
    </w:p>
    <w:p w14:paraId="353E6460">
      <w:pPr>
        <w:pStyle w:val="9"/>
        <w:rPr>
          <w:rFonts w:hint="eastAsia"/>
          <w:color w:val="auto"/>
          <w:highlight w:val="none"/>
        </w:rPr>
      </w:pPr>
      <w:r>
        <w:rPr>
          <w:rFonts w:hint="eastAsia"/>
          <w:color w:val="auto"/>
          <w:highlight w:val="none"/>
        </w:rPr>
        <w:t>3.1.3 驻工地技术负责人要求：水利工程专业中级及以上职称。</w:t>
      </w:r>
    </w:p>
    <w:p w14:paraId="359D8327">
      <w:pPr>
        <w:pStyle w:val="9"/>
        <w:rPr>
          <w:rFonts w:hint="eastAsia"/>
          <w:color w:val="auto"/>
          <w:highlight w:val="none"/>
        </w:rPr>
      </w:pPr>
      <w:r>
        <w:rPr>
          <w:rFonts w:hint="eastAsia"/>
          <w:color w:val="auto"/>
          <w:highlight w:val="none"/>
        </w:rPr>
        <w:t>3.1.4 投标人业绩：</w:t>
      </w:r>
      <w:r>
        <w:rPr>
          <w:rFonts w:hint="eastAsia"/>
          <w:bCs/>
          <w:color w:val="auto"/>
          <w:highlight w:val="none"/>
        </w:rPr>
        <w:t>无</w:t>
      </w:r>
    </w:p>
    <w:p w14:paraId="76BD458F">
      <w:pPr>
        <w:pStyle w:val="9"/>
        <w:rPr>
          <w:rFonts w:hint="eastAsia"/>
          <w:color w:val="auto"/>
          <w:highlight w:val="none"/>
        </w:rPr>
      </w:pPr>
      <w:r>
        <w:rPr>
          <w:rFonts w:hint="eastAsia"/>
          <w:color w:val="auto"/>
          <w:highlight w:val="none"/>
        </w:rPr>
        <w:t>3.2 本次招标不接受联合体投标。</w:t>
      </w:r>
    </w:p>
    <w:p w14:paraId="56226959">
      <w:pPr>
        <w:pStyle w:val="9"/>
        <w:rPr>
          <w:rFonts w:hint="eastAsia"/>
          <w:color w:val="auto"/>
          <w:highlight w:val="none"/>
        </w:rPr>
      </w:pPr>
      <w:r>
        <w:rPr>
          <w:rFonts w:hint="eastAsia"/>
          <w:color w:val="auto"/>
          <w:highlight w:val="none"/>
        </w:rPr>
        <w:t>3.3 资格审查方法：本工程招标采用</w:t>
      </w:r>
      <w:r>
        <w:rPr>
          <w:rFonts w:hint="eastAsia"/>
          <w:color w:val="auto"/>
          <w:highlight w:val="none"/>
          <w:u w:val="single"/>
        </w:rPr>
        <w:t>公开招标</w:t>
      </w:r>
      <w:r>
        <w:rPr>
          <w:rFonts w:hint="eastAsia"/>
          <w:color w:val="auto"/>
          <w:highlight w:val="none"/>
        </w:rPr>
        <w:t>，资格审查方法：</w:t>
      </w:r>
      <w:r>
        <w:rPr>
          <w:rFonts w:hint="eastAsia"/>
          <w:color w:val="auto"/>
          <w:highlight w:val="none"/>
          <w:u w:val="single"/>
        </w:rPr>
        <w:t>资格后审</w:t>
      </w:r>
      <w:r>
        <w:rPr>
          <w:rFonts w:hint="eastAsia"/>
          <w:color w:val="auto"/>
          <w:highlight w:val="none"/>
        </w:rPr>
        <w:t>。资格审查不合格的投标人，投标文件将不参与后面的评审。</w:t>
      </w:r>
    </w:p>
    <w:p w14:paraId="0130527A">
      <w:pPr>
        <w:pStyle w:val="9"/>
        <w:rPr>
          <w:rFonts w:hint="eastAsia"/>
          <w:color w:val="auto"/>
          <w:highlight w:val="none"/>
        </w:rPr>
      </w:pPr>
      <w:r>
        <w:rPr>
          <w:rFonts w:hint="eastAsia"/>
          <w:color w:val="auto"/>
          <w:highlight w:val="none"/>
        </w:rPr>
        <w:t>3.4 投标人未因行贿犯罪被有关机关限制目前投标（投标人自行出具承诺函，格式详见招标文件）。</w:t>
      </w:r>
    </w:p>
    <w:p w14:paraId="35D8CF50">
      <w:pPr>
        <w:pStyle w:val="9"/>
        <w:rPr>
          <w:rFonts w:hint="eastAsia"/>
          <w:color w:val="auto"/>
          <w:highlight w:val="none"/>
        </w:rPr>
      </w:pPr>
      <w:r>
        <w:rPr>
          <w:rFonts w:hint="eastAsia"/>
          <w:color w:val="auto"/>
          <w:highlight w:val="none"/>
        </w:rPr>
        <w:t>3.5 投标人具有省部级建设行政主管部门颁发的安全生产许可证。持有省级及以上水利行政主管部门颁发的企业主要负责人安全生产考核合格证书（A类）、项目负责人安全生产考核合格证书（B类）和专职安全生产管理人员安全生产考核合格证书（C类）。</w:t>
      </w:r>
    </w:p>
    <w:p w14:paraId="5996045B">
      <w:pPr>
        <w:pStyle w:val="9"/>
        <w:rPr>
          <w:rStyle w:val="13"/>
          <w:rFonts w:hint="eastAsia" w:cs="宋体"/>
          <w:b w:val="0"/>
          <w:color w:val="auto"/>
          <w:highlight w:val="none"/>
        </w:rPr>
      </w:pPr>
      <w:r>
        <w:rPr>
          <w:rFonts w:hint="eastAsia"/>
          <w:color w:val="auto"/>
          <w:highlight w:val="none"/>
        </w:rPr>
        <w:t xml:space="preserve">3.6 </w:t>
      </w:r>
      <w:r>
        <w:rPr>
          <w:rStyle w:val="13"/>
          <w:rFonts w:hint="eastAsia" w:cs="宋体"/>
          <w:b w:val="0"/>
          <w:color w:val="auto"/>
          <w:highlight w:val="none"/>
        </w:rPr>
        <w:t>被政府信用管理部门公布的失信被执行人（包括自然人和单位），在失信记录解除前，不得参加本项目的招标投标活动（不同网站公布的失信被执行人信息存在差异的，以“信用中国”www.creditchina.gov.cn公布的信息为准）。</w:t>
      </w:r>
    </w:p>
    <w:p w14:paraId="6B32099F">
      <w:pPr>
        <w:pStyle w:val="9"/>
        <w:rPr>
          <w:rFonts w:hint="eastAsia"/>
          <w:bCs/>
          <w:color w:val="auto"/>
          <w:highlight w:val="none"/>
        </w:rPr>
      </w:pPr>
      <w:r>
        <w:rPr>
          <w:rStyle w:val="13"/>
          <w:rFonts w:hint="eastAsia" w:cs="宋体"/>
          <w:bCs w:val="0"/>
          <w:color w:val="auto"/>
          <w:highlight w:val="none"/>
        </w:rPr>
        <w:t>4</w:t>
      </w:r>
      <w:r>
        <w:rPr>
          <w:rFonts w:hint="eastAsia"/>
          <w:bCs/>
          <w:color w:val="auto"/>
          <w:highlight w:val="none"/>
        </w:rPr>
        <w:t>.</w:t>
      </w:r>
      <w:r>
        <w:rPr>
          <w:rStyle w:val="13"/>
          <w:rFonts w:hint="eastAsia" w:cs="宋体"/>
          <w:bCs w:val="0"/>
          <w:color w:val="auto"/>
          <w:highlight w:val="none"/>
        </w:rPr>
        <w:t>招标文件的获取</w:t>
      </w:r>
    </w:p>
    <w:p w14:paraId="79A80E8C">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4.1 凡有意参加投标并满足上述资格要求的潜在投标人，请派人于</w:t>
      </w:r>
      <w:r>
        <w:rPr>
          <w:rStyle w:val="13"/>
          <w:rFonts w:hint="eastAsia" w:cs="宋体"/>
          <w:b w:val="0"/>
          <w:bCs w:val="0"/>
          <w:color w:val="auto"/>
          <w:kern w:val="0"/>
          <w:highlight w:val="none"/>
          <w:u w:val="single"/>
          <w:shd w:val="clear" w:color="auto" w:fill="FFFFFF"/>
        </w:rPr>
        <w:t>2025年3月27日～2025年3月31日</w:t>
      </w:r>
      <w:r>
        <w:rPr>
          <w:rStyle w:val="13"/>
          <w:rFonts w:hint="eastAsia" w:cs="宋体"/>
          <w:b w:val="0"/>
          <w:bCs w:val="0"/>
          <w:color w:val="auto"/>
          <w:kern w:val="0"/>
          <w:highlight w:val="none"/>
          <w:shd w:val="clear" w:color="auto" w:fill="FFFFFF"/>
        </w:rPr>
        <w:t>9:00—11:30，13:30—16:00时（北京时间，下同）到奔牛镇招标办公室（镇政府大院西三楼302室、304室）报名。报名时需递交以下资料：报名表（详见附件）、资质证书、营业执照、安全生产许可证，建造师证书（水利水电专业二级及以上），由水行政主管部门颁发的企业法定代表人、建造师、专职安全员的安全生产考核合格证书，驻工地技术负责人职称证书（水利工程专业中级及以上），以上材料均提供复印件（复印件加盖单位公章）。报名人必须持有法定代表人授权委托书，并出示本人身份证。</w:t>
      </w:r>
    </w:p>
    <w:p w14:paraId="3F42FF61">
      <w:pPr>
        <w:adjustRightInd w:val="0"/>
        <w:spacing w:line="400" w:lineRule="exact"/>
        <w:rPr>
          <w:rStyle w:val="13"/>
          <w:rFonts w:cs="宋体" w:asciiTheme="minorHAnsi" w:hAnsiTheme="minorHAnsi" w:eastAsiaTheme="minorEastAsia"/>
          <w:b w:val="0"/>
          <w:bCs w:val="0"/>
          <w:color w:val="auto"/>
          <w:kern w:val="0"/>
          <w:highlight w:val="none"/>
          <w:shd w:val="clear" w:color="auto" w:fill="FFFFFF"/>
        </w:rPr>
      </w:pPr>
      <w:r>
        <w:rPr>
          <w:rStyle w:val="13"/>
          <w:rFonts w:hint="eastAsia" w:cs="宋体" w:asciiTheme="minorHAnsi" w:hAnsiTheme="minorHAnsi" w:eastAsiaTheme="minorEastAsia"/>
          <w:b w:val="0"/>
          <w:bCs w:val="0"/>
          <w:color w:val="auto"/>
          <w:kern w:val="0"/>
          <w:highlight w:val="none"/>
          <w:shd w:val="clear" w:color="auto" w:fill="FFFFFF"/>
        </w:rPr>
        <w:t>4.2获取方式：招标文件、工程量清单、招标控制价的获取方式：报名成功后，①纸质版招标文件资料现场领取;②若需电子版招标文件，报名截止后由招标代理机构统一发送至报名邮箱地址（见报名表），请仔细核对邮箱地址，如因投标人所留信息错误导致未收到招标文件等相关招标资料，则后果自负。</w:t>
      </w:r>
    </w:p>
    <w:p w14:paraId="084C0315">
      <w:pPr>
        <w:adjustRightInd w:val="0"/>
        <w:spacing w:line="400" w:lineRule="exact"/>
        <w:rPr>
          <w:rStyle w:val="13"/>
          <w:rFonts w:cs="宋体"/>
          <w:b w:val="0"/>
          <w:bCs w:val="0"/>
          <w:color w:val="auto"/>
          <w:kern w:val="0"/>
          <w:highlight w:val="none"/>
          <w:shd w:val="clear" w:color="auto" w:fill="FFFFFF"/>
        </w:rPr>
      </w:pPr>
      <w:r>
        <w:rPr>
          <w:rStyle w:val="13"/>
          <w:rFonts w:hint="eastAsia" w:cs="宋体" w:asciiTheme="minorHAnsi" w:hAnsiTheme="minorHAnsi" w:eastAsiaTheme="minorEastAsia"/>
          <w:b w:val="0"/>
          <w:bCs w:val="0"/>
          <w:color w:val="auto"/>
          <w:kern w:val="0"/>
          <w:highlight w:val="none"/>
          <w:shd w:val="clear" w:color="auto" w:fill="FFFFFF"/>
        </w:rPr>
        <w:t>4.3招标文件（纸质材料）费收取：报名资料递交成功后，现场缴纳200元/标段（只接受现金，不接受其他方式的缴纳）。</w:t>
      </w:r>
    </w:p>
    <w:p w14:paraId="671F041C">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4.3 本次招标不接受邮购招标文件。</w:t>
      </w:r>
    </w:p>
    <w:p w14:paraId="2BED8AF4">
      <w:pPr>
        <w:adjustRightInd w:val="0"/>
        <w:spacing w:line="400" w:lineRule="exact"/>
        <w:rPr>
          <w:rStyle w:val="13"/>
          <w:rFonts w:cs="宋体"/>
          <w:color w:val="auto"/>
          <w:kern w:val="0"/>
          <w:highlight w:val="none"/>
          <w:shd w:val="clear" w:color="auto" w:fill="FFFFFF"/>
        </w:rPr>
      </w:pPr>
      <w:r>
        <w:rPr>
          <w:rStyle w:val="13"/>
          <w:rFonts w:hint="eastAsia" w:cs="宋体"/>
          <w:b w:val="0"/>
          <w:bCs w:val="0"/>
          <w:color w:val="auto"/>
          <w:kern w:val="0"/>
          <w:highlight w:val="none"/>
          <w:shd w:val="clear" w:color="auto" w:fill="FFFFFF"/>
        </w:rPr>
        <w:t>4.4 报名资料只作为报名条件，不作为资审合格条件。</w:t>
      </w:r>
    </w:p>
    <w:p w14:paraId="52F871E1">
      <w:pPr>
        <w:pStyle w:val="9"/>
        <w:rPr>
          <w:rFonts w:hint="eastAsia"/>
          <w:bCs/>
          <w:color w:val="auto"/>
          <w:highlight w:val="none"/>
        </w:rPr>
      </w:pPr>
      <w:r>
        <w:rPr>
          <w:rStyle w:val="13"/>
          <w:rFonts w:hint="eastAsia" w:cs="宋体"/>
          <w:bCs w:val="0"/>
          <w:color w:val="auto"/>
          <w:highlight w:val="none"/>
        </w:rPr>
        <w:t>5</w:t>
      </w:r>
      <w:r>
        <w:rPr>
          <w:rFonts w:hint="eastAsia"/>
          <w:bCs/>
          <w:color w:val="auto"/>
          <w:highlight w:val="none"/>
        </w:rPr>
        <w:t>.</w:t>
      </w:r>
      <w:r>
        <w:rPr>
          <w:rStyle w:val="13"/>
          <w:rFonts w:hint="eastAsia" w:cs="宋体"/>
          <w:bCs w:val="0"/>
          <w:color w:val="auto"/>
          <w:highlight w:val="none"/>
        </w:rPr>
        <w:t>投标文件的递交</w:t>
      </w:r>
    </w:p>
    <w:p w14:paraId="2035AA45">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5.1 投标文件递交的截止时间（投标截止时间，下同）为</w:t>
      </w:r>
      <w:r>
        <w:rPr>
          <w:rStyle w:val="13"/>
          <w:rFonts w:hint="eastAsia" w:cs="宋体"/>
          <w:color w:val="auto"/>
          <w:kern w:val="0"/>
          <w:highlight w:val="none"/>
          <w:u w:val="single"/>
          <w:shd w:val="clear" w:color="auto" w:fill="FFFFFF"/>
        </w:rPr>
        <w:t>2025年4月10日</w:t>
      </w:r>
      <w:bookmarkStart w:id="16" w:name="_GoBack"/>
      <w:bookmarkEnd w:id="16"/>
      <w:r>
        <w:rPr>
          <w:rStyle w:val="13"/>
          <w:rFonts w:hint="eastAsia" w:cs="宋体"/>
          <w:color w:val="auto"/>
          <w:kern w:val="0"/>
          <w:highlight w:val="none"/>
          <w:u w:val="single"/>
          <w:shd w:val="clear" w:color="auto" w:fill="FFFFFF"/>
        </w:rPr>
        <w:t>14:00时</w:t>
      </w:r>
      <w:r>
        <w:rPr>
          <w:rStyle w:val="13"/>
          <w:rFonts w:hint="eastAsia" w:cs="宋体"/>
          <w:b w:val="0"/>
          <w:bCs w:val="0"/>
          <w:color w:val="auto"/>
          <w:kern w:val="0"/>
          <w:highlight w:val="none"/>
          <w:shd w:val="clear" w:color="auto" w:fill="FFFFFF"/>
        </w:rPr>
        <w:t>。 地点为: 奔牛镇招标办公室（镇政府大院西三楼302室）。</w:t>
      </w:r>
    </w:p>
    <w:p w14:paraId="45D1D143">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5.2 本工程开标：与投标文件递交的截止时间和地点相同。</w:t>
      </w:r>
    </w:p>
    <w:p w14:paraId="1D55DA06">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5.3 逾期送达的或者未送达指定地点的投标文件，招标人不予受理。</w:t>
      </w:r>
    </w:p>
    <w:p w14:paraId="0199D420">
      <w:pPr>
        <w:pStyle w:val="9"/>
        <w:rPr>
          <w:rFonts w:hint="eastAsia"/>
          <w:bCs/>
          <w:color w:val="auto"/>
          <w:highlight w:val="none"/>
        </w:rPr>
      </w:pPr>
      <w:r>
        <w:rPr>
          <w:rStyle w:val="13"/>
          <w:rFonts w:hint="eastAsia" w:cs="宋体"/>
          <w:bCs w:val="0"/>
          <w:color w:val="auto"/>
          <w:highlight w:val="none"/>
        </w:rPr>
        <w:t>6</w:t>
      </w:r>
      <w:r>
        <w:rPr>
          <w:rFonts w:hint="eastAsia"/>
          <w:bCs/>
          <w:color w:val="auto"/>
          <w:highlight w:val="none"/>
        </w:rPr>
        <w:t>.</w:t>
      </w:r>
      <w:r>
        <w:rPr>
          <w:rStyle w:val="13"/>
          <w:rFonts w:hint="eastAsia" w:cs="宋体"/>
          <w:bCs w:val="0"/>
          <w:color w:val="auto"/>
          <w:highlight w:val="none"/>
        </w:rPr>
        <w:t>踏勘现场</w:t>
      </w:r>
    </w:p>
    <w:p w14:paraId="056B8F18">
      <w:pPr>
        <w:pStyle w:val="9"/>
        <w:rPr>
          <w:rStyle w:val="13"/>
          <w:rFonts w:hint="eastAsia" w:cs="宋体"/>
          <w:b w:val="0"/>
          <w:color w:val="auto"/>
          <w:highlight w:val="none"/>
        </w:rPr>
      </w:pPr>
      <w:r>
        <w:rPr>
          <w:rStyle w:val="13"/>
          <w:rFonts w:hint="eastAsia" w:cs="宋体"/>
          <w:b w:val="0"/>
          <w:color w:val="auto"/>
          <w:highlight w:val="none"/>
        </w:rPr>
        <w:t>招标人不组织现场踏勘，投标人自行对工程施工现场和周围环境进行勘察，费用自理。</w:t>
      </w:r>
    </w:p>
    <w:p w14:paraId="0A5D396E">
      <w:pPr>
        <w:pStyle w:val="9"/>
        <w:rPr>
          <w:rStyle w:val="13"/>
          <w:rFonts w:hint="eastAsia" w:cs="宋体"/>
          <w:bCs w:val="0"/>
          <w:color w:val="auto"/>
          <w:highlight w:val="none"/>
        </w:rPr>
      </w:pPr>
      <w:r>
        <w:rPr>
          <w:rStyle w:val="13"/>
          <w:rFonts w:hint="eastAsia" w:cs="宋体"/>
          <w:bCs w:val="0"/>
          <w:color w:val="auto"/>
          <w:highlight w:val="none"/>
        </w:rPr>
        <w:t>7. 发布公告的媒介</w:t>
      </w:r>
    </w:p>
    <w:p w14:paraId="3570E84B">
      <w:pPr>
        <w:pStyle w:val="9"/>
        <w:rPr>
          <w:rStyle w:val="13"/>
          <w:rFonts w:ascii="Times New Roman" w:hAnsi="Times New Roman" w:cs="宋体"/>
          <w:color w:val="auto"/>
          <w:highlight w:val="none"/>
        </w:rPr>
      </w:pPr>
      <w:r>
        <w:rPr>
          <w:rStyle w:val="13"/>
          <w:rFonts w:hint="eastAsia" w:cs="宋体"/>
          <w:b w:val="0"/>
          <w:bCs w:val="0"/>
          <w:color w:val="auto"/>
          <w:highlight w:val="none"/>
        </w:rPr>
        <w:t>本次招</w:t>
      </w:r>
      <w:r>
        <w:rPr>
          <w:rStyle w:val="13"/>
          <w:rFonts w:hint="eastAsia" w:ascii="Times New Roman" w:hAnsi="Times New Roman" w:cs="宋体"/>
          <w:b w:val="0"/>
          <w:bCs w:val="0"/>
          <w:color w:val="auto"/>
          <w:highlight w:val="none"/>
        </w:rPr>
        <w:t>标公告在常州国家高新区管委会网站上发布</w:t>
      </w:r>
      <w:r>
        <w:rPr>
          <w:rStyle w:val="13"/>
          <w:rFonts w:hint="eastAsia" w:ascii="Times New Roman" w:hAnsi="Times New Roman" w:cs="宋体"/>
          <w:color w:val="auto"/>
          <w:highlight w:val="none"/>
        </w:rPr>
        <w:t>。</w:t>
      </w:r>
    </w:p>
    <w:p w14:paraId="478C49B6">
      <w:pPr>
        <w:pStyle w:val="9"/>
        <w:rPr>
          <w:rStyle w:val="13"/>
          <w:rFonts w:ascii="Times New Roman" w:hAnsi="Times New Roman" w:cs="宋体"/>
          <w:color w:val="auto"/>
          <w:highlight w:val="none"/>
        </w:rPr>
      </w:pPr>
      <w:r>
        <w:rPr>
          <w:rStyle w:val="13"/>
          <w:rFonts w:hint="eastAsia" w:ascii="Times New Roman" w:hAnsi="Times New Roman" w:cs="宋体"/>
          <w:color w:val="auto"/>
          <w:highlight w:val="none"/>
        </w:rPr>
        <w:t>公告发布时间：</w:t>
      </w:r>
      <w:r>
        <w:rPr>
          <w:rStyle w:val="13"/>
          <w:rFonts w:hint="eastAsia" w:cs="宋体"/>
          <w:b w:val="0"/>
          <w:bCs w:val="0"/>
          <w:color w:val="auto"/>
          <w:highlight w:val="none"/>
        </w:rPr>
        <w:t>2025年3月27 日至2025年3月31日</w:t>
      </w:r>
    </w:p>
    <w:p w14:paraId="6BF4AD92">
      <w:pPr>
        <w:pStyle w:val="9"/>
        <w:rPr>
          <w:rStyle w:val="13"/>
          <w:rFonts w:ascii="Times New Roman" w:hAnsi="Times New Roman" w:cs="宋体"/>
          <w:bCs w:val="0"/>
          <w:color w:val="auto"/>
          <w:highlight w:val="none"/>
        </w:rPr>
      </w:pPr>
      <w:r>
        <w:rPr>
          <w:rStyle w:val="13"/>
          <w:rFonts w:hint="eastAsia" w:cs="宋体"/>
          <w:bCs w:val="0"/>
          <w:color w:val="auto"/>
          <w:highlight w:val="none"/>
        </w:rPr>
        <w:t>8.评标办法：</w:t>
      </w:r>
      <w:r>
        <w:rPr>
          <w:rStyle w:val="13"/>
          <w:rFonts w:hint="eastAsia" w:ascii="Times New Roman" w:hAnsi="Times New Roman" w:cs="宋体"/>
          <w:bCs w:val="0"/>
          <w:color w:val="auto"/>
          <w:highlight w:val="none"/>
        </w:rPr>
        <w:t>本工程采用综合评分法，详见招标文件；</w:t>
      </w:r>
    </w:p>
    <w:p w14:paraId="24B3ADCE">
      <w:pPr>
        <w:pStyle w:val="9"/>
        <w:rPr>
          <w:rStyle w:val="13"/>
          <w:rFonts w:ascii="Times New Roman" w:hAnsi="Times New Roman" w:cs="宋体"/>
          <w:b w:val="0"/>
          <w:bCs w:val="0"/>
          <w:color w:val="auto"/>
          <w:highlight w:val="none"/>
        </w:rPr>
      </w:pPr>
      <w:r>
        <w:rPr>
          <w:rStyle w:val="13"/>
          <w:rFonts w:hint="eastAsia" w:cs="宋体"/>
          <w:bCs w:val="0"/>
          <w:color w:val="auto"/>
          <w:highlight w:val="none"/>
        </w:rPr>
        <w:t>9.备注： </w:t>
      </w:r>
      <w:r>
        <w:rPr>
          <w:rStyle w:val="13"/>
          <w:rFonts w:hint="eastAsia" w:cs="宋体"/>
          <w:bCs w:val="0"/>
          <w:color w:val="auto"/>
          <w:highlight w:val="none"/>
        </w:rPr>
        <w:br w:type="textWrapping"/>
      </w:r>
      <w:r>
        <w:rPr>
          <w:rStyle w:val="13"/>
          <w:rFonts w:hint="eastAsia" w:cs="宋体"/>
          <w:b w:val="0"/>
          <w:color w:val="auto"/>
          <w:highlight w:val="none"/>
        </w:rPr>
        <w:t>9.</w:t>
      </w:r>
      <w:r>
        <w:rPr>
          <w:rFonts w:hint="eastAsia"/>
          <w:color w:val="auto"/>
          <w:highlight w:val="none"/>
        </w:rPr>
        <w:t xml:space="preserve">1 </w:t>
      </w:r>
      <w:r>
        <w:rPr>
          <w:rStyle w:val="13"/>
          <w:rFonts w:hint="eastAsia" w:ascii="Times New Roman" w:hAnsi="Times New Roman" w:cs="宋体"/>
          <w:b w:val="0"/>
          <w:bCs w:val="0"/>
          <w:color w:val="auto"/>
          <w:highlight w:val="none"/>
        </w:rPr>
        <w:t>本项目只接受现场报名，不接受其他形式的报名。</w:t>
      </w:r>
    </w:p>
    <w:p w14:paraId="1C1F83BE">
      <w:pPr>
        <w:pStyle w:val="9"/>
        <w:numPr>
          <w:ilvl w:val="0"/>
          <w:numId w:val="2"/>
        </w:numPr>
        <w:rPr>
          <w:rFonts w:hint="eastAsia"/>
          <w:bCs/>
          <w:color w:val="auto"/>
          <w:highlight w:val="none"/>
        </w:rPr>
      </w:pPr>
      <w:r>
        <w:rPr>
          <w:rStyle w:val="13"/>
          <w:rFonts w:hint="eastAsia" w:cs="宋体"/>
          <w:bCs w:val="0"/>
          <w:color w:val="auto"/>
          <w:highlight w:val="none"/>
        </w:rPr>
        <w:t>联系方式</w:t>
      </w:r>
    </w:p>
    <w:p w14:paraId="000DC394">
      <w:pPr>
        <w:adjustRightInd w:val="0"/>
        <w:spacing w:line="400" w:lineRule="exact"/>
        <w:rPr>
          <w:rStyle w:val="13"/>
          <w:rFonts w:hint="eastAsia" w:ascii="宋体" w:hAnsi="宋体" w:cs="宋体"/>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招标人：</w:t>
      </w:r>
      <w:r>
        <w:rPr>
          <w:rStyle w:val="13"/>
          <w:rFonts w:hint="eastAsia" w:ascii="宋体" w:hAnsi="宋体" w:cs="宋体" w:eastAsiaTheme="minorEastAsia"/>
          <w:b w:val="0"/>
          <w:color w:val="auto"/>
          <w:kern w:val="0"/>
          <w:highlight w:val="none"/>
          <w:shd w:val="clear" w:color="auto" w:fill="FFFFFF"/>
        </w:rPr>
        <w:t>奔牛镇人民政府（农村工作办公室）</w:t>
      </w:r>
    </w:p>
    <w:p w14:paraId="2B14B70B">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招标平台地址：常州市新北区奔牛镇政府大院西302室、304室</w:t>
      </w:r>
    </w:p>
    <w:p w14:paraId="54BEF644">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邮政编码：213000</w:t>
      </w:r>
    </w:p>
    <w:p w14:paraId="3CFA6AF1">
      <w:pPr>
        <w:adjustRightInd w:val="0"/>
        <w:spacing w:line="400" w:lineRule="exact"/>
        <w:rPr>
          <w:rStyle w:val="13"/>
          <w:rFonts w:hint="eastAsia" w:ascii="宋体" w:hAnsi="宋体" w:cs="宋体"/>
          <w:b w:val="0"/>
          <w:bCs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联系人</w:t>
      </w:r>
      <w:r>
        <w:rPr>
          <w:rStyle w:val="13"/>
          <w:rFonts w:hint="eastAsia" w:ascii="宋体" w:hAnsi="宋体" w:cs="宋体"/>
          <w:b w:val="0"/>
          <w:bCs w:val="0"/>
          <w:color w:val="auto"/>
          <w:kern w:val="0"/>
          <w:highlight w:val="none"/>
          <w:shd w:val="clear" w:color="auto" w:fill="FFFFFF"/>
        </w:rPr>
        <w:t>：叶科、周科</w:t>
      </w:r>
    </w:p>
    <w:p w14:paraId="6DE56A07">
      <w:pPr>
        <w:adjustRightInd w:val="0"/>
        <w:spacing w:line="400" w:lineRule="exact"/>
        <w:rPr>
          <w:rStyle w:val="13"/>
          <w:rFonts w:hint="eastAsia" w:ascii="宋体" w:hAnsi="宋体" w:cs="宋体"/>
          <w:b w:val="0"/>
          <w:bCs w:val="0"/>
          <w:color w:val="auto"/>
          <w:kern w:val="0"/>
          <w:highlight w:val="none"/>
          <w:shd w:val="clear" w:color="auto" w:fill="FFFFFF"/>
        </w:rPr>
      </w:pPr>
      <w:r>
        <w:rPr>
          <w:rStyle w:val="13"/>
          <w:rFonts w:hint="eastAsia" w:ascii="宋体" w:hAnsi="宋体" w:cs="宋体"/>
          <w:b w:val="0"/>
          <w:bCs w:val="0"/>
          <w:color w:val="auto"/>
          <w:kern w:val="0"/>
          <w:highlight w:val="none"/>
          <w:shd w:val="clear" w:color="auto" w:fill="FFFFFF"/>
        </w:rPr>
        <w:t>电话：0519-83217918</w:t>
      </w:r>
      <w:r>
        <w:rPr>
          <w:rStyle w:val="13"/>
          <w:rFonts w:hint="eastAsia" w:ascii="宋体" w:hAnsi="宋体" w:cs="宋体" w:eastAsiaTheme="minorEastAsia"/>
          <w:b w:val="0"/>
          <w:bCs w:val="0"/>
          <w:color w:val="auto"/>
          <w:kern w:val="0"/>
          <w:highlight w:val="none"/>
          <w:shd w:val="clear" w:color="auto" w:fill="FFFFFF"/>
        </w:rPr>
        <w:t>、0519-83212819</w:t>
      </w:r>
    </w:p>
    <w:p w14:paraId="15217D84">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招标代理机构：江苏建安造价师事务所有限公司</w:t>
      </w:r>
    </w:p>
    <w:p w14:paraId="40D8E4E1">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地址：常州市钟楼区五星街道景尚路1号</w:t>
      </w:r>
    </w:p>
    <w:p w14:paraId="5BD160DB">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邮政编码：213022</w:t>
      </w:r>
    </w:p>
    <w:p w14:paraId="0A7D9897">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联系人：姜先生</w:t>
      </w:r>
    </w:p>
    <w:p w14:paraId="0F5382F8">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电话：0519-86801355</w:t>
      </w:r>
      <w:bookmarkEnd w:id="3"/>
      <w:bookmarkEnd w:id="4"/>
      <w:bookmarkEnd w:id="5"/>
      <w:bookmarkEnd w:id="6"/>
      <w:bookmarkEnd w:id="7"/>
    </w:p>
    <w:p w14:paraId="11D41AB8">
      <w:pPr>
        <w:adjustRightInd w:val="0"/>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上述个人信息由于工作需要经机构或本人同意对外公布。</w:t>
      </w:r>
    </w:p>
    <w:p w14:paraId="1111C848">
      <w:pPr>
        <w:rPr>
          <w:rStyle w:val="13"/>
          <w:rFonts w:hint="eastAsia" w:ascii="宋体" w:hAnsi="宋体" w:cs="宋体" w:eastAsiaTheme="minorEastAsia"/>
          <w:b w:val="0"/>
          <w:color w:val="auto"/>
          <w:kern w:val="0"/>
          <w:highlight w:val="none"/>
          <w:shd w:val="clear" w:color="auto" w:fill="FFFFFF"/>
        </w:rPr>
      </w:pPr>
      <w:r>
        <w:rPr>
          <w:rStyle w:val="13"/>
          <w:rFonts w:hint="eastAsia" w:ascii="宋体" w:hAnsi="宋体" w:cs="宋体" w:eastAsiaTheme="minorEastAsia"/>
          <w:b w:val="0"/>
          <w:color w:val="auto"/>
          <w:kern w:val="0"/>
          <w:highlight w:val="none"/>
          <w:shd w:val="clear" w:color="auto" w:fill="FFFFFF"/>
        </w:rPr>
        <w:br w:type="page"/>
      </w:r>
    </w:p>
    <w:p w14:paraId="723D37E9">
      <w:pPr>
        <w:rPr>
          <w:rStyle w:val="13"/>
          <w:rFonts w:hint="eastAsia" w:ascii="宋体" w:hAnsi="宋体" w:cs="宋体" w:eastAsiaTheme="minorEastAsia"/>
          <w:b w:val="0"/>
          <w:color w:val="auto"/>
          <w:kern w:val="0"/>
          <w:highlight w:val="none"/>
          <w:shd w:val="clear" w:color="auto" w:fill="FFFFFF"/>
        </w:rPr>
      </w:pPr>
    </w:p>
    <w:p w14:paraId="3196E9F8">
      <w:pPr>
        <w:spacing w:line="600" w:lineRule="exact"/>
        <w:rPr>
          <w:rFonts w:hint="eastAsia" w:ascii="宋体" w:hAnsi="宋体" w:cs="宋体"/>
          <w:b/>
          <w:bCs/>
          <w:color w:val="auto"/>
          <w:highlight w:val="none"/>
        </w:rPr>
      </w:pPr>
      <w:r>
        <w:rPr>
          <w:rFonts w:hint="eastAsia" w:ascii="宋体" w:hAnsi="宋体" w:cs="宋体"/>
          <w:b/>
          <w:bCs/>
          <w:color w:val="auto"/>
          <w:highlight w:val="none"/>
        </w:rPr>
        <w:t>附件1：</w:t>
      </w:r>
    </w:p>
    <w:p w14:paraId="059AA08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评分细则标准</w:t>
      </w:r>
    </w:p>
    <w:p w14:paraId="180DB8FC">
      <w:pPr>
        <w:tabs>
          <w:tab w:val="left" w:pos="0"/>
          <w:tab w:val="left" w:pos="993"/>
          <w:tab w:val="left" w:pos="1134"/>
        </w:tabs>
        <w:adjustRightInd w:val="0"/>
        <w:snapToGrid w:val="0"/>
        <w:spacing w:line="360" w:lineRule="auto"/>
        <w:ind w:firstLine="361" w:firstLineChars="200"/>
        <w:rPr>
          <w:color w:val="auto"/>
          <w:sz w:val="18"/>
          <w:szCs w:val="18"/>
          <w:highlight w:val="none"/>
        </w:rPr>
      </w:pPr>
      <w:r>
        <w:rPr>
          <w:rFonts w:hint="eastAsia" w:ascii="宋体" w:hAnsi="宋体" w:cs="宋体"/>
          <w:b/>
          <w:bCs/>
          <w:color w:val="auto"/>
          <w:sz w:val="18"/>
          <w:szCs w:val="18"/>
          <w:highlight w:val="none"/>
        </w:rPr>
        <w:t xml:space="preserve">本着公平、公正、公开的原则对各投标单位的投标文件中商务标等方面进行评分。具体办法如下： (共计 100 分) </w:t>
      </w:r>
    </w:p>
    <w:p w14:paraId="617E4FC5">
      <w:pPr>
        <w:tabs>
          <w:tab w:val="left" w:pos="0"/>
          <w:tab w:val="left" w:pos="993"/>
          <w:tab w:val="left" w:pos="1134"/>
        </w:tabs>
        <w:adjustRightInd w:val="0"/>
        <w:snapToGrid w:val="0"/>
        <w:spacing w:line="360" w:lineRule="auto"/>
        <w:rPr>
          <w:rFonts w:hint="eastAsia" w:ascii="宋体" w:hAnsi="宋体" w:cs="宋体"/>
          <w:b/>
          <w:bCs/>
          <w:color w:val="auto"/>
          <w:highlight w:val="none"/>
        </w:rPr>
      </w:pPr>
    </w:p>
    <w:tbl>
      <w:tblPr>
        <w:tblStyle w:val="10"/>
        <w:tblpPr w:leftFromText="180" w:rightFromText="180" w:vertAnchor="text" w:horzAnchor="page" w:tblpX="743" w:tblpY="-10"/>
        <w:tblOverlap w:val="never"/>
        <w:tblW w:w="10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2250"/>
        <w:gridCol w:w="1052"/>
        <w:gridCol w:w="5736"/>
        <w:gridCol w:w="750"/>
      </w:tblGrid>
      <w:tr w14:paraId="764E0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blHeader/>
        </w:trPr>
        <w:tc>
          <w:tcPr>
            <w:tcW w:w="775" w:type="dxa"/>
            <w:tcBorders>
              <w:bottom w:val="single" w:color="auto" w:sz="4" w:space="0"/>
            </w:tcBorders>
            <w:noWrap/>
            <w:vAlign w:val="center"/>
          </w:tcPr>
          <w:p w14:paraId="45C7298F">
            <w:pPr>
              <w:keepNext/>
              <w:jc w:val="center"/>
              <w:rPr>
                <w:rFonts w:hint="eastAsia" w:ascii="宋体" w:hAnsi="宋体" w:cs="宋体"/>
                <w:color w:val="auto"/>
                <w:kern w:val="0"/>
                <w:highlight w:val="none"/>
              </w:rPr>
            </w:pPr>
            <w:r>
              <w:rPr>
                <w:rFonts w:hint="eastAsia" w:ascii="宋体" w:hAnsi="宋体" w:cs="宋体"/>
                <w:color w:val="auto"/>
                <w:kern w:val="0"/>
                <w:highlight w:val="none"/>
              </w:rPr>
              <w:t>序号</w:t>
            </w:r>
          </w:p>
        </w:tc>
        <w:tc>
          <w:tcPr>
            <w:tcW w:w="2250" w:type="dxa"/>
            <w:tcBorders>
              <w:bottom w:val="single" w:color="auto" w:sz="4" w:space="0"/>
            </w:tcBorders>
            <w:noWrap/>
            <w:vAlign w:val="center"/>
          </w:tcPr>
          <w:p w14:paraId="0492297F">
            <w:pPr>
              <w:keepNext/>
              <w:jc w:val="center"/>
              <w:rPr>
                <w:rFonts w:hint="eastAsia" w:ascii="宋体" w:hAnsi="宋体" w:cs="宋体"/>
                <w:color w:val="auto"/>
                <w:kern w:val="0"/>
                <w:highlight w:val="none"/>
              </w:rPr>
            </w:pPr>
            <w:r>
              <w:rPr>
                <w:rFonts w:hint="eastAsia" w:ascii="宋体" w:hAnsi="宋体" w:cs="宋体"/>
                <w:color w:val="auto"/>
                <w:kern w:val="0"/>
                <w:highlight w:val="none"/>
              </w:rPr>
              <w:t>评分因素</w:t>
            </w:r>
          </w:p>
        </w:tc>
        <w:tc>
          <w:tcPr>
            <w:tcW w:w="1052" w:type="dxa"/>
            <w:tcBorders>
              <w:bottom w:val="single" w:color="auto" w:sz="4" w:space="0"/>
            </w:tcBorders>
            <w:noWrap/>
            <w:vAlign w:val="center"/>
          </w:tcPr>
          <w:p w14:paraId="764E98BE">
            <w:pPr>
              <w:keepNext/>
              <w:jc w:val="center"/>
              <w:rPr>
                <w:rFonts w:hint="eastAsia" w:ascii="宋体" w:hAnsi="宋体" w:cs="宋体"/>
                <w:color w:val="auto"/>
                <w:kern w:val="0"/>
                <w:highlight w:val="none"/>
              </w:rPr>
            </w:pPr>
            <w:r>
              <w:rPr>
                <w:rFonts w:hint="eastAsia" w:ascii="宋体" w:hAnsi="宋体" w:cs="宋体"/>
                <w:color w:val="auto"/>
                <w:kern w:val="0"/>
                <w:highlight w:val="none"/>
              </w:rPr>
              <w:t>分值</w:t>
            </w:r>
          </w:p>
        </w:tc>
        <w:tc>
          <w:tcPr>
            <w:tcW w:w="5736" w:type="dxa"/>
            <w:tcBorders>
              <w:bottom w:val="single" w:color="auto" w:sz="4" w:space="0"/>
            </w:tcBorders>
            <w:noWrap/>
            <w:vAlign w:val="center"/>
          </w:tcPr>
          <w:p w14:paraId="4046A649">
            <w:pPr>
              <w:keepNext/>
              <w:jc w:val="center"/>
              <w:rPr>
                <w:rFonts w:hint="eastAsia" w:ascii="宋体" w:hAnsi="宋体" w:cs="宋体"/>
                <w:color w:val="auto"/>
                <w:kern w:val="0"/>
                <w:highlight w:val="none"/>
              </w:rPr>
            </w:pPr>
            <w:r>
              <w:rPr>
                <w:rFonts w:hint="eastAsia" w:ascii="宋体" w:hAnsi="宋体" w:cs="宋体"/>
                <w:color w:val="auto"/>
                <w:kern w:val="0"/>
                <w:highlight w:val="none"/>
              </w:rPr>
              <w:t>评分标准</w:t>
            </w:r>
          </w:p>
        </w:tc>
        <w:tc>
          <w:tcPr>
            <w:tcW w:w="750" w:type="dxa"/>
            <w:tcBorders>
              <w:bottom w:val="single" w:color="auto" w:sz="4" w:space="0"/>
            </w:tcBorders>
            <w:noWrap/>
            <w:vAlign w:val="center"/>
          </w:tcPr>
          <w:p w14:paraId="716622B2">
            <w:pPr>
              <w:keepNext/>
              <w:jc w:val="center"/>
              <w:rPr>
                <w:rFonts w:hint="eastAsia" w:ascii="宋体" w:hAnsi="宋体" w:cs="宋体"/>
                <w:color w:val="auto"/>
                <w:kern w:val="0"/>
                <w:highlight w:val="none"/>
              </w:rPr>
            </w:pPr>
            <w:r>
              <w:rPr>
                <w:rFonts w:hint="eastAsia" w:ascii="宋体" w:hAnsi="宋体" w:cs="宋体"/>
                <w:color w:val="auto"/>
                <w:kern w:val="0"/>
                <w:highlight w:val="none"/>
              </w:rPr>
              <w:t>赋分</w:t>
            </w:r>
          </w:p>
        </w:tc>
      </w:tr>
      <w:tr w14:paraId="6C757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blHeader/>
        </w:trPr>
        <w:tc>
          <w:tcPr>
            <w:tcW w:w="775" w:type="dxa"/>
            <w:tcBorders>
              <w:top w:val="single" w:color="auto" w:sz="4" w:space="0"/>
              <w:bottom w:val="single" w:color="auto" w:sz="4" w:space="0"/>
            </w:tcBorders>
            <w:noWrap/>
            <w:vAlign w:val="center"/>
          </w:tcPr>
          <w:p w14:paraId="2992AE05">
            <w:pPr>
              <w:keepNext/>
              <w:jc w:val="center"/>
              <w:rPr>
                <w:rFonts w:hint="eastAsia" w:ascii="宋体" w:hAnsi="宋体" w:cs="宋体"/>
                <w:b/>
                <w:color w:val="auto"/>
                <w:kern w:val="0"/>
                <w:highlight w:val="none"/>
              </w:rPr>
            </w:pPr>
            <w:r>
              <w:rPr>
                <w:rFonts w:hint="eastAsia" w:ascii="宋体" w:hAnsi="宋体" w:cs="宋体"/>
                <w:b/>
                <w:color w:val="auto"/>
                <w:kern w:val="0"/>
                <w:highlight w:val="none"/>
              </w:rPr>
              <w:t>一</w:t>
            </w:r>
          </w:p>
        </w:tc>
        <w:tc>
          <w:tcPr>
            <w:tcW w:w="2250" w:type="dxa"/>
            <w:tcBorders>
              <w:top w:val="single" w:color="auto" w:sz="4" w:space="0"/>
              <w:bottom w:val="single" w:color="auto" w:sz="4" w:space="0"/>
            </w:tcBorders>
            <w:noWrap/>
            <w:vAlign w:val="center"/>
          </w:tcPr>
          <w:p w14:paraId="7B2AD173">
            <w:pPr>
              <w:keepNext/>
              <w:jc w:val="center"/>
              <w:rPr>
                <w:rFonts w:hint="eastAsia" w:ascii="宋体" w:hAnsi="宋体" w:cs="宋体"/>
                <w:b/>
                <w:color w:val="auto"/>
                <w:kern w:val="0"/>
                <w:highlight w:val="none"/>
              </w:rPr>
            </w:pPr>
            <w:r>
              <w:rPr>
                <w:rFonts w:hint="eastAsia" w:ascii="宋体" w:hAnsi="宋体" w:cs="宋体"/>
                <w:b/>
                <w:color w:val="auto"/>
                <w:kern w:val="0"/>
                <w:highlight w:val="none"/>
              </w:rPr>
              <w:t>投标报价</w:t>
            </w:r>
          </w:p>
        </w:tc>
        <w:tc>
          <w:tcPr>
            <w:tcW w:w="1052" w:type="dxa"/>
            <w:tcBorders>
              <w:top w:val="single" w:color="auto" w:sz="4" w:space="0"/>
              <w:bottom w:val="single" w:color="auto" w:sz="4" w:space="0"/>
            </w:tcBorders>
            <w:noWrap/>
            <w:vAlign w:val="center"/>
          </w:tcPr>
          <w:p w14:paraId="34B22E9A">
            <w:pPr>
              <w:keepNext/>
              <w:jc w:val="center"/>
              <w:rPr>
                <w:rFonts w:hint="eastAsia" w:ascii="宋体" w:hAnsi="宋体" w:cs="宋体"/>
                <w:b/>
                <w:color w:val="auto"/>
                <w:kern w:val="0"/>
                <w:highlight w:val="none"/>
              </w:rPr>
            </w:pPr>
            <w:r>
              <w:rPr>
                <w:rFonts w:hint="eastAsia" w:ascii="宋体" w:hAnsi="宋体" w:cs="宋体"/>
                <w:b/>
                <w:color w:val="auto"/>
                <w:kern w:val="0"/>
                <w:highlight w:val="none"/>
              </w:rPr>
              <w:t>72</w:t>
            </w:r>
          </w:p>
        </w:tc>
        <w:tc>
          <w:tcPr>
            <w:tcW w:w="5736" w:type="dxa"/>
            <w:tcBorders>
              <w:top w:val="single" w:color="auto" w:sz="4" w:space="0"/>
              <w:bottom w:val="single" w:color="auto" w:sz="4" w:space="0"/>
            </w:tcBorders>
            <w:noWrap/>
            <w:vAlign w:val="center"/>
          </w:tcPr>
          <w:p w14:paraId="32B28D4F">
            <w:pPr>
              <w:keepNext/>
              <w:jc w:val="center"/>
              <w:rPr>
                <w:rFonts w:hint="eastAsia" w:ascii="宋体" w:hAnsi="宋体" w:cs="宋体"/>
                <w:color w:val="auto"/>
                <w:kern w:val="0"/>
                <w:highlight w:val="none"/>
              </w:rPr>
            </w:pPr>
          </w:p>
        </w:tc>
        <w:tc>
          <w:tcPr>
            <w:tcW w:w="750" w:type="dxa"/>
            <w:tcBorders>
              <w:top w:val="single" w:color="auto" w:sz="4" w:space="0"/>
              <w:bottom w:val="single" w:color="auto" w:sz="4" w:space="0"/>
            </w:tcBorders>
            <w:noWrap/>
            <w:vAlign w:val="center"/>
          </w:tcPr>
          <w:p w14:paraId="06E3CE7E">
            <w:pPr>
              <w:keepNext/>
              <w:jc w:val="center"/>
              <w:rPr>
                <w:rFonts w:hint="eastAsia" w:ascii="宋体" w:hAnsi="宋体" w:cs="宋体"/>
                <w:color w:val="auto"/>
                <w:kern w:val="0"/>
                <w:highlight w:val="none"/>
              </w:rPr>
            </w:pPr>
          </w:p>
        </w:tc>
      </w:tr>
      <w:tr w14:paraId="54DAA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775" w:type="dxa"/>
            <w:tcBorders>
              <w:top w:val="single" w:color="auto" w:sz="4" w:space="0"/>
            </w:tcBorders>
            <w:noWrap/>
            <w:vAlign w:val="center"/>
          </w:tcPr>
          <w:p w14:paraId="70DC79B1">
            <w:pPr>
              <w:keepNext/>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2250" w:type="dxa"/>
            <w:tcBorders>
              <w:top w:val="single" w:color="auto" w:sz="4" w:space="0"/>
            </w:tcBorders>
            <w:noWrap/>
            <w:vAlign w:val="center"/>
          </w:tcPr>
          <w:p w14:paraId="55358219">
            <w:pPr>
              <w:keepNext/>
              <w:jc w:val="center"/>
              <w:rPr>
                <w:rFonts w:hint="eastAsia" w:ascii="宋体" w:hAnsi="宋体" w:cs="宋体"/>
                <w:color w:val="auto"/>
                <w:kern w:val="0"/>
                <w:highlight w:val="none"/>
              </w:rPr>
            </w:pPr>
            <w:r>
              <w:rPr>
                <w:rFonts w:hint="eastAsia" w:ascii="宋体" w:hAnsi="宋体" w:cs="宋体"/>
                <w:color w:val="auto"/>
                <w:kern w:val="0"/>
                <w:highlight w:val="none"/>
              </w:rPr>
              <w:t>投标总价</w:t>
            </w:r>
          </w:p>
        </w:tc>
        <w:tc>
          <w:tcPr>
            <w:tcW w:w="1052" w:type="dxa"/>
            <w:tcBorders>
              <w:top w:val="single" w:color="auto" w:sz="4" w:space="0"/>
            </w:tcBorders>
            <w:noWrap/>
            <w:vAlign w:val="center"/>
          </w:tcPr>
          <w:p w14:paraId="00CCCA3C">
            <w:pPr>
              <w:keepNext/>
              <w:jc w:val="center"/>
              <w:rPr>
                <w:rFonts w:hint="eastAsia" w:ascii="宋体" w:hAnsi="宋体" w:cs="宋体"/>
                <w:color w:val="auto"/>
                <w:kern w:val="0"/>
                <w:highlight w:val="none"/>
              </w:rPr>
            </w:pPr>
            <w:r>
              <w:rPr>
                <w:rFonts w:hint="eastAsia" w:ascii="宋体" w:hAnsi="宋体" w:cs="宋体"/>
                <w:color w:val="auto"/>
                <w:kern w:val="0"/>
                <w:highlight w:val="none"/>
              </w:rPr>
              <w:t>72</w:t>
            </w:r>
          </w:p>
        </w:tc>
        <w:tc>
          <w:tcPr>
            <w:tcW w:w="5736" w:type="dxa"/>
            <w:tcBorders>
              <w:top w:val="single" w:color="auto" w:sz="4" w:space="0"/>
            </w:tcBorders>
            <w:noWrap/>
            <w:vAlign w:val="center"/>
          </w:tcPr>
          <w:p w14:paraId="4B770868">
            <w:pPr>
              <w:pStyle w:val="24"/>
              <w:framePr w:hSpace="0" w:wrap="auto" w:vAnchor="margin" w:hAnchor="text" w:xAlign="left" w:yAlign="inline"/>
              <w:rPr>
                <w:rFonts w:hint="eastAsia"/>
                <w:color w:val="auto"/>
                <w:highlight w:val="none"/>
              </w:rPr>
            </w:pPr>
            <w:r>
              <w:rPr>
                <w:rFonts w:hint="eastAsia"/>
                <w:color w:val="auto"/>
                <w:highlight w:val="none"/>
              </w:rPr>
              <w:t>1、本工程采用最高投标限价，超过最高投标限价的投标文件将被否决。最高投标限价为</w:t>
            </w:r>
            <w:r>
              <w:rPr>
                <w:rFonts w:hint="eastAsia"/>
                <w:color w:val="auto"/>
                <w:highlight w:val="none"/>
                <w:shd w:val="clear" w:color="auto" w:fill="FFFFFF"/>
              </w:rPr>
              <w:t>2933069.53</w:t>
            </w:r>
            <w:r>
              <w:rPr>
                <w:rFonts w:hint="eastAsia"/>
                <w:color w:val="auto"/>
                <w:highlight w:val="none"/>
              </w:rPr>
              <w:t>元。</w:t>
            </w:r>
          </w:p>
          <w:p w14:paraId="308A68DB">
            <w:pPr>
              <w:pStyle w:val="24"/>
              <w:framePr w:hSpace="0" w:wrap="auto" w:vAnchor="margin" w:hAnchor="text" w:xAlign="left" w:yAlign="inline"/>
              <w:rPr>
                <w:rFonts w:hint="eastAsia"/>
                <w:color w:val="auto"/>
                <w:highlight w:val="none"/>
              </w:rPr>
            </w:pPr>
            <w:r>
              <w:rPr>
                <w:rFonts w:hint="eastAsia"/>
                <w:color w:val="auto"/>
                <w:highlight w:val="none"/>
              </w:rPr>
              <w:t>2、确定有效投标报价</w:t>
            </w:r>
          </w:p>
          <w:p w14:paraId="48E56E27">
            <w:pPr>
              <w:pStyle w:val="24"/>
              <w:framePr w:hSpace="0" w:wrap="auto" w:vAnchor="margin" w:hAnchor="text" w:xAlign="left" w:yAlign="inline"/>
              <w:rPr>
                <w:rFonts w:hint="eastAsia"/>
                <w:color w:val="auto"/>
                <w:highlight w:val="none"/>
              </w:rPr>
            </w:pPr>
            <w:r>
              <w:rPr>
                <w:rFonts w:hint="eastAsia"/>
                <w:color w:val="auto"/>
                <w:highlight w:val="none"/>
              </w:rPr>
              <w:t>投标报价的规定范围为：低于最高投标限价，高于【(本次所有投标报价的平均值×0.3+本次招标项目最高投标限价×0.7)×0.85】的报价为有效投标报价。</w:t>
            </w:r>
          </w:p>
          <w:p w14:paraId="24BFAAC8">
            <w:pPr>
              <w:pStyle w:val="24"/>
              <w:framePr w:hSpace="0" w:wrap="auto" w:vAnchor="margin" w:hAnchor="text" w:xAlign="left" w:yAlign="inline"/>
              <w:rPr>
                <w:rFonts w:hint="eastAsia"/>
                <w:color w:val="auto"/>
                <w:highlight w:val="none"/>
              </w:rPr>
            </w:pPr>
            <w:bookmarkStart w:id="11" w:name="OLE_LINK2"/>
            <w:bookmarkStart w:id="12" w:name="OLE_LINK3"/>
            <w:r>
              <w:rPr>
                <w:rFonts w:hint="eastAsia"/>
                <w:color w:val="auto"/>
                <w:highlight w:val="none"/>
              </w:rPr>
              <w:t>3、C=A×Q+B×（1-Q），C:评标基准价；A：各有效投标报价的算术平均值，(当有效投标数≤5 时，取所有有效投标报价的算术平均值；10≥当有效投标数＞5 时，取剔除一个最高价和一个最低价后的算术平均值，20≥当有效投标数＞10 时，取剔除有效投标报价中两个最高价和两个最低价后的算术平均值，30≥当有效投标数＞20 时，取有效报价中剔除三个最高价和三个最低价后的算术平均值，当有效投标数＞30 时，取有效报价中剔除五个最高价和五个最低价后的算术平均值)；Q：45%、50%、55%三者其一；B 最高限价；Q 由招标人代表随机进行抽取确定，行政监督人员旁站监督；投标价（算术修正后，下同）与评标基准价相同得最高分</w:t>
            </w:r>
            <w:r>
              <w:rPr>
                <w:rFonts w:hint="eastAsia"/>
                <w:color w:val="auto"/>
                <w:highlight w:val="none"/>
                <w:lang w:eastAsia="zh-CN"/>
              </w:rPr>
              <w:t>72</w:t>
            </w:r>
            <w:r>
              <w:rPr>
                <w:rFonts w:hint="eastAsia"/>
                <w:color w:val="auto"/>
                <w:highlight w:val="none"/>
              </w:rPr>
              <w:t>分，并以此为基数，进行下面各项的打分；每高 1％，在</w:t>
            </w:r>
            <w:r>
              <w:rPr>
                <w:rFonts w:hint="eastAsia"/>
                <w:color w:val="auto"/>
                <w:highlight w:val="none"/>
                <w:lang w:eastAsia="zh-CN"/>
              </w:rPr>
              <w:t>72</w:t>
            </w:r>
            <w:r>
              <w:rPr>
                <w:rFonts w:hint="eastAsia"/>
                <w:color w:val="auto"/>
                <w:highlight w:val="none"/>
              </w:rPr>
              <w:t>分基础上扣1分；每低 1％，在</w:t>
            </w:r>
            <w:r>
              <w:rPr>
                <w:rFonts w:hint="eastAsia"/>
                <w:color w:val="auto"/>
                <w:highlight w:val="none"/>
                <w:lang w:eastAsia="zh-CN"/>
              </w:rPr>
              <w:t>72</w:t>
            </w:r>
            <w:r>
              <w:rPr>
                <w:rFonts w:hint="eastAsia"/>
                <w:color w:val="auto"/>
                <w:highlight w:val="none"/>
              </w:rPr>
              <w:t>分基础上扣0.5分；保留小数点后2位数字，小数点后第3位数字“四舍五入”，采用内插法计算。</w:t>
            </w:r>
            <w:bookmarkEnd w:id="11"/>
          </w:p>
          <w:p w14:paraId="6807819C">
            <w:pPr>
              <w:pStyle w:val="24"/>
              <w:framePr w:hSpace="0" w:wrap="auto" w:vAnchor="margin" w:hAnchor="text" w:xAlign="left" w:yAlign="inline"/>
              <w:rPr>
                <w:rFonts w:hint="eastAsia" w:cs="宋体"/>
                <w:color w:val="auto"/>
                <w:sz w:val="21"/>
                <w:highlight w:val="none"/>
              </w:rPr>
            </w:pPr>
            <w:r>
              <w:rPr>
                <w:rFonts w:hint="eastAsia"/>
                <w:color w:val="auto"/>
                <w:highlight w:val="none"/>
              </w:rPr>
              <w:t>4、评标委员会在评标报告上签字后，评标基准价不因招投标当事人质疑、投诉、复议以及其它任何情形而改变，评标过程中的计算错误调整除外。</w:t>
            </w:r>
            <w:bookmarkEnd w:id="12"/>
          </w:p>
        </w:tc>
        <w:tc>
          <w:tcPr>
            <w:tcW w:w="750" w:type="dxa"/>
            <w:tcBorders>
              <w:top w:val="single" w:color="auto" w:sz="4" w:space="0"/>
            </w:tcBorders>
            <w:noWrap/>
            <w:vAlign w:val="center"/>
          </w:tcPr>
          <w:p w14:paraId="03043E67">
            <w:pPr>
              <w:keepNext/>
              <w:jc w:val="center"/>
              <w:rPr>
                <w:rFonts w:hint="eastAsia" w:ascii="宋体" w:hAnsi="宋体" w:cs="宋体"/>
                <w:color w:val="auto"/>
                <w:kern w:val="0"/>
                <w:sz w:val="28"/>
                <w:szCs w:val="28"/>
                <w:highlight w:val="none"/>
              </w:rPr>
            </w:pPr>
          </w:p>
        </w:tc>
      </w:tr>
      <w:tr w14:paraId="38B16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blHeader/>
        </w:trPr>
        <w:tc>
          <w:tcPr>
            <w:tcW w:w="775" w:type="dxa"/>
            <w:tcBorders>
              <w:top w:val="single" w:color="auto" w:sz="4" w:space="0"/>
            </w:tcBorders>
            <w:noWrap/>
            <w:vAlign w:val="center"/>
          </w:tcPr>
          <w:p w14:paraId="63E466FC">
            <w:pPr>
              <w:keepNext/>
              <w:jc w:val="center"/>
              <w:rPr>
                <w:rFonts w:hint="eastAsia" w:ascii="宋体" w:hAnsi="宋体" w:cs="宋体"/>
                <w:b/>
                <w:color w:val="auto"/>
                <w:kern w:val="0"/>
                <w:highlight w:val="none"/>
              </w:rPr>
            </w:pPr>
            <w:r>
              <w:rPr>
                <w:rFonts w:hint="eastAsia" w:ascii="宋体" w:hAnsi="宋体" w:cs="宋体"/>
                <w:b/>
                <w:color w:val="auto"/>
                <w:kern w:val="0"/>
                <w:highlight w:val="none"/>
              </w:rPr>
              <w:t>二</w:t>
            </w:r>
          </w:p>
        </w:tc>
        <w:tc>
          <w:tcPr>
            <w:tcW w:w="2250" w:type="dxa"/>
            <w:tcBorders>
              <w:top w:val="single" w:color="auto" w:sz="4" w:space="0"/>
            </w:tcBorders>
            <w:noWrap/>
            <w:vAlign w:val="center"/>
          </w:tcPr>
          <w:p w14:paraId="4C4FB966">
            <w:pPr>
              <w:keepNext/>
              <w:rPr>
                <w:rFonts w:hint="eastAsia" w:ascii="宋体" w:hAnsi="宋体" w:cs="宋体"/>
                <w:b/>
                <w:color w:val="auto"/>
                <w:kern w:val="0"/>
                <w:highlight w:val="none"/>
              </w:rPr>
            </w:pPr>
            <w:r>
              <w:rPr>
                <w:rFonts w:hint="eastAsia" w:ascii="宋体" w:hAnsi="宋体" w:cs="宋体"/>
                <w:b/>
                <w:color w:val="auto"/>
                <w:kern w:val="0"/>
                <w:highlight w:val="none"/>
              </w:rPr>
              <w:t>施工组织设计</w:t>
            </w:r>
          </w:p>
        </w:tc>
        <w:tc>
          <w:tcPr>
            <w:tcW w:w="1052" w:type="dxa"/>
            <w:tcBorders>
              <w:top w:val="single" w:color="auto" w:sz="4" w:space="0"/>
            </w:tcBorders>
            <w:noWrap/>
            <w:vAlign w:val="center"/>
          </w:tcPr>
          <w:p w14:paraId="29884E74">
            <w:pPr>
              <w:keepNext/>
              <w:jc w:val="center"/>
              <w:rPr>
                <w:rFonts w:hint="eastAsia" w:ascii="宋体" w:hAnsi="宋体" w:cs="宋体"/>
                <w:color w:val="auto"/>
                <w:kern w:val="0"/>
                <w:highlight w:val="none"/>
              </w:rPr>
            </w:pPr>
            <w:r>
              <w:rPr>
                <w:rFonts w:hint="eastAsia" w:ascii="宋体" w:hAnsi="宋体" w:cs="宋体"/>
                <w:color w:val="auto"/>
                <w:kern w:val="0"/>
                <w:highlight w:val="none"/>
              </w:rPr>
              <w:t>23</w:t>
            </w:r>
          </w:p>
        </w:tc>
        <w:tc>
          <w:tcPr>
            <w:tcW w:w="5736" w:type="dxa"/>
            <w:tcBorders>
              <w:top w:val="single" w:color="auto" w:sz="4" w:space="0"/>
            </w:tcBorders>
            <w:noWrap/>
            <w:vAlign w:val="center"/>
          </w:tcPr>
          <w:p w14:paraId="6D368E28">
            <w:pPr>
              <w:keepNext/>
              <w:rPr>
                <w:rFonts w:hint="eastAsia" w:ascii="宋体" w:hAnsi="宋体" w:cs="宋体"/>
                <w:color w:val="auto"/>
                <w:kern w:val="0"/>
                <w:highlight w:val="none"/>
              </w:rPr>
            </w:pPr>
          </w:p>
        </w:tc>
        <w:tc>
          <w:tcPr>
            <w:tcW w:w="750" w:type="dxa"/>
            <w:tcBorders>
              <w:top w:val="single" w:color="auto" w:sz="4" w:space="0"/>
            </w:tcBorders>
            <w:noWrap/>
            <w:vAlign w:val="center"/>
          </w:tcPr>
          <w:p w14:paraId="60F88273">
            <w:pPr>
              <w:keepNext/>
              <w:jc w:val="center"/>
              <w:rPr>
                <w:rFonts w:hint="eastAsia" w:ascii="宋体" w:hAnsi="宋体" w:cs="宋体"/>
                <w:color w:val="auto"/>
                <w:kern w:val="0"/>
                <w:highlight w:val="none"/>
              </w:rPr>
            </w:pPr>
          </w:p>
        </w:tc>
      </w:tr>
      <w:tr w14:paraId="33BF9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blHeader/>
        </w:trPr>
        <w:tc>
          <w:tcPr>
            <w:tcW w:w="775" w:type="dxa"/>
            <w:tcBorders>
              <w:top w:val="single" w:color="auto" w:sz="4" w:space="0"/>
            </w:tcBorders>
            <w:noWrap/>
            <w:vAlign w:val="center"/>
          </w:tcPr>
          <w:p w14:paraId="07FA1309">
            <w:pPr>
              <w:pStyle w:val="24"/>
              <w:framePr w:hSpace="0" w:wrap="auto" w:vAnchor="margin" w:hAnchor="text" w:xAlign="left" w:yAlign="inline"/>
              <w:rPr>
                <w:rFonts w:hint="eastAsia"/>
                <w:color w:val="auto"/>
                <w:highlight w:val="none"/>
              </w:rPr>
            </w:pPr>
            <w:r>
              <w:rPr>
                <w:rFonts w:hint="eastAsia"/>
                <w:color w:val="auto"/>
                <w:highlight w:val="none"/>
              </w:rPr>
              <w:t>1</w:t>
            </w:r>
          </w:p>
        </w:tc>
        <w:tc>
          <w:tcPr>
            <w:tcW w:w="2250" w:type="dxa"/>
            <w:tcBorders>
              <w:top w:val="single" w:color="auto" w:sz="4" w:space="0"/>
            </w:tcBorders>
            <w:noWrap/>
            <w:vAlign w:val="center"/>
          </w:tcPr>
          <w:p w14:paraId="1FB8FBB1">
            <w:pPr>
              <w:pStyle w:val="24"/>
              <w:framePr w:hSpace="0" w:wrap="auto" w:vAnchor="margin" w:hAnchor="text" w:xAlign="left" w:yAlign="inline"/>
              <w:rPr>
                <w:rFonts w:hint="eastAsia"/>
                <w:color w:val="auto"/>
                <w:highlight w:val="none"/>
              </w:rPr>
            </w:pPr>
            <w:r>
              <w:rPr>
                <w:rFonts w:hint="eastAsia"/>
                <w:color w:val="auto"/>
                <w:highlight w:val="none"/>
              </w:rPr>
              <w:t>施工工场布置和其它临时设施</w:t>
            </w:r>
          </w:p>
        </w:tc>
        <w:tc>
          <w:tcPr>
            <w:tcW w:w="1052" w:type="dxa"/>
            <w:tcBorders>
              <w:top w:val="single" w:color="auto" w:sz="4" w:space="0"/>
            </w:tcBorders>
            <w:noWrap/>
            <w:vAlign w:val="center"/>
          </w:tcPr>
          <w:p w14:paraId="169C6A5A">
            <w:pPr>
              <w:pStyle w:val="24"/>
              <w:framePr w:hSpace="0" w:wrap="auto" w:vAnchor="margin" w:hAnchor="text" w:xAlign="left" w:yAlign="inline"/>
              <w:jc w:val="center"/>
              <w:rPr>
                <w:rFonts w:hint="eastAsia"/>
                <w:color w:val="auto"/>
                <w:highlight w:val="none"/>
              </w:rPr>
            </w:pPr>
            <w:r>
              <w:rPr>
                <w:rFonts w:hint="eastAsia"/>
                <w:color w:val="auto"/>
                <w:highlight w:val="none"/>
              </w:rPr>
              <w:t>2</w:t>
            </w:r>
          </w:p>
        </w:tc>
        <w:tc>
          <w:tcPr>
            <w:tcW w:w="5736" w:type="dxa"/>
            <w:tcBorders>
              <w:top w:val="single" w:color="auto" w:sz="4" w:space="0"/>
            </w:tcBorders>
            <w:noWrap/>
            <w:vAlign w:val="center"/>
          </w:tcPr>
          <w:p w14:paraId="09A8C941">
            <w:pPr>
              <w:pStyle w:val="24"/>
              <w:framePr w:hSpace="0" w:wrap="auto" w:vAnchor="margin" w:hAnchor="text" w:xAlign="left" w:yAlign="inline"/>
              <w:rPr>
                <w:rFonts w:hint="eastAsia"/>
                <w:color w:val="auto"/>
                <w:highlight w:val="none"/>
              </w:rPr>
            </w:pPr>
            <w:r>
              <w:rPr>
                <w:rFonts w:hint="eastAsia"/>
                <w:color w:val="auto"/>
                <w:highlight w:val="none"/>
              </w:rPr>
              <w:t>工场布置、临时设施设计合理，契合现场场地设置，布置得当。</w:t>
            </w:r>
          </w:p>
          <w:p w14:paraId="2B3D6BD3">
            <w:pPr>
              <w:pStyle w:val="24"/>
              <w:framePr w:hSpace="0" w:wrap="auto" w:vAnchor="margin" w:hAnchor="text" w:xAlign="left" w:yAlign="inline"/>
              <w:rPr>
                <w:rFonts w:hint="eastAsia"/>
                <w:color w:val="auto"/>
                <w:highlight w:val="none"/>
              </w:rPr>
            </w:pPr>
            <w:r>
              <w:rPr>
                <w:rFonts w:hint="eastAsia"/>
                <w:color w:val="auto"/>
                <w:highlight w:val="none"/>
              </w:rPr>
              <w:t>优秀得1.6（含）</w:t>
            </w:r>
            <w:r>
              <w:rPr>
                <w:rFonts w:ascii="Arial" w:hAnsi="Arial" w:eastAsia="等线" w:cs="Arial"/>
                <w:color w:val="auto"/>
                <w:sz w:val="20"/>
                <w:szCs w:val="20"/>
                <w:highlight w:val="none"/>
                <w:shd w:val="clear" w:color="auto" w:fill="FFFFFF"/>
              </w:rPr>
              <w:t>~</w:t>
            </w:r>
            <w:r>
              <w:rPr>
                <w:rFonts w:hint="eastAsia"/>
                <w:color w:val="auto"/>
                <w:highlight w:val="none"/>
              </w:rPr>
              <w:t>2（含）分；良好得1.2（含）</w:t>
            </w:r>
            <w:r>
              <w:rPr>
                <w:rFonts w:ascii="Arial" w:hAnsi="Arial" w:eastAsia="等线" w:cs="Arial"/>
                <w:color w:val="auto"/>
                <w:sz w:val="20"/>
                <w:szCs w:val="20"/>
                <w:highlight w:val="none"/>
                <w:shd w:val="clear" w:color="auto" w:fill="FFFFFF"/>
              </w:rPr>
              <w:t>~</w:t>
            </w:r>
            <w:r>
              <w:rPr>
                <w:rFonts w:hint="eastAsia"/>
                <w:color w:val="auto"/>
                <w:highlight w:val="none"/>
              </w:rPr>
              <w:t>1.6（不含）分；一般得0.8（含）</w:t>
            </w:r>
            <w:r>
              <w:rPr>
                <w:rFonts w:ascii="Arial" w:hAnsi="Arial" w:eastAsia="等线" w:cs="Arial"/>
                <w:color w:val="auto"/>
                <w:sz w:val="20"/>
                <w:szCs w:val="20"/>
                <w:highlight w:val="none"/>
                <w:shd w:val="clear" w:color="auto" w:fill="FFFFFF"/>
              </w:rPr>
              <w:t>~</w:t>
            </w:r>
            <w:r>
              <w:rPr>
                <w:rFonts w:hint="eastAsia"/>
                <w:color w:val="auto"/>
                <w:highlight w:val="none"/>
              </w:rPr>
              <w:t>1.2（不含）分；没有不得分。</w:t>
            </w:r>
          </w:p>
        </w:tc>
        <w:tc>
          <w:tcPr>
            <w:tcW w:w="750" w:type="dxa"/>
            <w:tcBorders>
              <w:top w:val="single" w:color="auto" w:sz="4" w:space="0"/>
            </w:tcBorders>
            <w:noWrap/>
            <w:vAlign w:val="center"/>
          </w:tcPr>
          <w:p w14:paraId="6E5E53BE">
            <w:pPr>
              <w:keepNext/>
              <w:jc w:val="center"/>
              <w:rPr>
                <w:rFonts w:hint="eastAsia" w:ascii="宋体" w:hAnsi="宋体" w:cs="宋体"/>
                <w:color w:val="auto"/>
                <w:kern w:val="0"/>
                <w:highlight w:val="none"/>
              </w:rPr>
            </w:pPr>
          </w:p>
        </w:tc>
      </w:tr>
      <w:tr w14:paraId="0423A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blHeader/>
        </w:trPr>
        <w:tc>
          <w:tcPr>
            <w:tcW w:w="775" w:type="dxa"/>
            <w:tcBorders>
              <w:top w:val="single" w:color="auto" w:sz="4" w:space="0"/>
            </w:tcBorders>
            <w:noWrap/>
            <w:vAlign w:val="center"/>
          </w:tcPr>
          <w:p w14:paraId="57C09645">
            <w:pPr>
              <w:pStyle w:val="24"/>
              <w:framePr w:hSpace="0" w:wrap="auto" w:vAnchor="margin" w:hAnchor="text" w:xAlign="left" w:yAlign="inline"/>
              <w:rPr>
                <w:rFonts w:hint="eastAsia"/>
                <w:color w:val="auto"/>
                <w:highlight w:val="none"/>
              </w:rPr>
            </w:pPr>
            <w:r>
              <w:rPr>
                <w:rFonts w:hint="eastAsia"/>
                <w:color w:val="auto"/>
                <w:highlight w:val="none"/>
              </w:rPr>
              <w:t>2</w:t>
            </w:r>
          </w:p>
        </w:tc>
        <w:tc>
          <w:tcPr>
            <w:tcW w:w="2250" w:type="dxa"/>
            <w:tcBorders>
              <w:top w:val="single" w:color="auto" w:sz="4" w:space="0"/>
            </w:tcBorders>
            <w:noWrap/>
            <w:vAlign w:val="center"/>
          </w:tcPr>
          <w:p w14:paraId="1251B6ED">
            <w:pPr>
              <w:pStyle w:val="24"/>
              <w:framePr w:hSpace="0" w:wrap="auto" w:vAnchor="margin" w:hAnchor="text" w:xAlign="left" w:yAlign="inline"/>
              <w:rPr>
                <w:rFonts w:hint="eastAsia"/>
                <w:color w:val="auto"/>
                <w:highlight w:val="none"/>
              </w:rPr>
            </w:pPr>
            <w:r>
              <w:rPr>
                <w:rFonts w:hint="eastAsia"/>
                <w:color w:val="auto"/>
                <w:highlight w:val="none"/>
              </w:rPr>
              <w:t>施工机具设备及劳动力配置</w:t>
            </w:r>
          </w:p>
        </w:tc>
        <w:tc>
          <w:tcPr>
            <w:tcW w:w="1052" w:type="dxa"/>
            <w:tcBorders>
              <w:top w:val="single" w:color="auto" w:sz="4" w:space="0"/>
            </w:tcBorders>
            <w:noWrap/>
            <w:vAlign w:val="center"/>
          </w:tcPr>
          <w:p w14:paraId="63E35E1D">
            <w:pPr>
              <w:pStyle w:val="24"/>
              <w:framePr w:hSpace="0" w:wrap="auto" w:vAnchor="margin" w:hAnchor="text" w:xAlign="left" w:yAlign="inline"/>
              <w:jc w:val="center"/>
              <w:rPr>
                <w:rFonts w:hint="eastAsia"/>
                <w:color w:val="auto"/>
                <w:highlight w:val="none"/>
              </w:rPr>
            </w:pPr>
            <w:r>
              <w:rPr>
                <w:rFonts w:hint="eastAsia"/>
                <w:color w:val="auto"/>
                <w:highlight w:val="none"/>
              </w:rPr>
              <w:t>2</w:t>
            </w:r>
          </w:p>
        </w:tc>
        <w:tc>
          <w:tcPr>
            <w:tcW w:w="5736" w:type="dxa"/>
            <w:tcBorders>
              <w:top w:val="single" w:color="auto" w:sz="4" w:space="0"/>
            </w:tcBorders>
            <w:noWrap/>
            <w:vAlign w:val="center"/>
          </w:tcPr>
          <w:p w14:paraId="249E6B55">
            <w:pPr>
              <w:rPr>
                <w:color w:val="auto"/>
                <w:highlight w:val="none"/>
              </w:rPr>
            </w:pPr>
            <w:r>
              <w:rPr>
                <w:rFonts w:hint="eastAsia"/>
                <w:color w:val="auto"/>
                <w:highlight w:val="none"/>
              </w:rPr>
              <w:t>（1）施工机具设备配置合理；</w:t>
            </w:r>
          </w:p>
          <w:p w14:paraId="6C886BD3">
            <w:pPr>
              <w:rPr>
                <w:color w:val="auto"/>
                <w:highlight w:val="none"/>
              </w:rPr>
            </w:pPr>
            <w:r>
              <w:rPr>
                <w:rFonts w:hint="eastAsia"/>
                <w:color w:val="auto"/>
                <w:highlight w:val="none"/>
              </w:rPr>
              <w:t>（2）劳动力配置合理。</w:t>
            </w:r>
          </w:p>
          <w:p w14:paraId="489D7696">
            <w:pPr>
              <w:pStyle w:val="24"/>
              <w:framePr w:hSpace="0" w:wrap="auto" w:vAnchor="margin" w:hAnchor="text" w:xAlign="left" w:yAlign="inline"/>
              <w:rPr>
                <w:rFonts w:hint="eastAsia"/>
                <w:color w:val="auto"/>
                <w:highlight w:val="none"/>
              </w:rPr>
            </w:pPr>
            <w:r>
              <w:rPr>
                <w:rFonts w:hint="eastAsia"/>
                <w:color w:val="auto"/>
                <w:highlight w:val="none"/>
              </w:rPr>
              <w:t>优秀得1.6（含）</w:t>
            </w:r>
            <w:r>
              <w:rPr>
                <w:rFonts w:ascii="Arial" w:hAnsi="Arial" w:eastAsia="等线" w:cs="Arial"/>
                <w:color w:val="auto"/>
                <w:sz w:val="20"/>
                <w:szCs w:val="20"/>
                <w:highlight w:val="none"/>
                <w:shd w:val="clear" w:color="auto" w:fill="FFFFFF"/>
              </w:rPr>
              <w:t>~</w:t>
            </w:r>
            <w:r>
              <w:rPr>
                <w:rFonts w:hint="eastAsia"/>
                <w:color w:val="auto"/>
                <w:highlight w:val="none"/>
              </w:rPr>
              <w:t>2（含）分；良好得1.2（含）</w:t>
            </w:r>
            <w:r>
              <w:rPr>
                <w:rFonts w:ascii="Arial" w:hAnsi="Arial" w:eastAsia="等线" w:cs="Arial"/>
                <w:color w:val="auto"/>
                <w:sz w:val="20"/>
                <w:szCs w:val="20"/>
                <w:highlight w:val="none"/>
                <w:shd w:val="clear" w:color="auto" w:fill="FFFFFF"/>
              </w:rPr>
              <w:t>~</w:t>
            </w:r>
            <w:r>
              <w:rPr>
                <w:rFonts w:hint="eastAsia"/>
                <w:color w:val="auto"/>
                <w:highlight w:val="none"/>
              </w:rPr>
              <w:t>1.6（不含）分；一般得0.8（含）</w:t>
            </w:r>
            <w:r>
              <w:rPr>
                <w:rFonts w:ascii="Arial" w:hAnsi="Arial" w:eastAsia="等线" w:cs="Arial"/>
                <w:color w:val="auto"/>
                <w:sz w:val="20"/>
                <w:szCs w:val="20"/>
                <w:highlight w:val="none"/>
                <w:shd w:val="clear" w:color="auto" w:fill="FFFFFF"/>
              </w:rPr>
              <w:t>~</w:t>
            </w:r>
            <w:r>
              <w:rPr>
                <w:rFonts w:hint="eastAsia"/>
                <w:color w:val="auto"/>
                <w:highlight w:val="none"/>
              </w:rPr>
              <w:t>1.2（不含）分；没有不得分。</w:t>
            </w:r>
          </w:p>
        </w:tc>
        <w:tc>
          <w:tcPr>
            <w:tcW w:w="750" w:type="dxa"/>
            <w:tcBorders>
              <w:top w:val="single" w:color="auto" w:sz="4" w:space="0"/>
            </w:tcBorders>
            <w:noWrap/>
            <w:vAlign w:val="center"/>
          </w:tcPr>
          <w:p w14:paraId="5BDB38EC">
            <w:pPr>
              <w:keepNext/>
              <w:jc w:val="center"/>
              <w:rPr>
                <w:rFonts w:hint="eastAsia" w:ascii="宋体" w:hAnsi="宋体" w:cs="宋体"/>
                <w:color w:val="auto"/>
                <w:kern w:val="0"/>
                <w:highlight w:val="none"/>
              </w:rPr>
            </w:pPr>
          </w:p>
        </w:tc>
      </w:tr>
      <w:tr w14:paraId="53257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blHeader/>
        </w:trPr>
        <w:tc>
          <w:tcPr>
            <w:tcW w:w="775" w:type="dxa"/>
            <w:tcBorders>
              <w:top w:val="single" w:color="auto" w:sz="4" w:space="0"/>
            </w:tcBorders>
            <w:noWrap/>
            <w:vAlign w:val="center"/>
          </w:tcPr>
          <w:p w14:paraId="67B738FD">
            <w:pPr>
              <w:pStyle w:val="24"/>
              <w:framePr w:hSpace="0" w:wrap="auto" w:vAnchor="margin" w:hAnchor="text" w:xAlign="left" w:yAlign="inline"/>
              <w:rPr>
                <w:rFonts w:hint="eastAsia"/>
                <w:color w:val="auto"/>
                <w:highlight w:val="none"/>
              </w:rPr>
            </w:pPr>
            <w:r>
              <w:rPr>
                <w:rFonts w:hint="eastAsia"/>
                <w:color w:val="auto"/>
                <w:highlight w:val="none"/>
              </w:rPr>
              <w:t>3</w:t>
            </w:r>
          </w:p>
        </w:tc>
        <w:tc>
          <w:tcPr>
            <w:tcW w:w="2250" w:type="dxa"/>
            <w:tcBorders>
              <w:top w:val="single" w:color="auto" w:sz="4" w:space="0"/>
            </w:tcBorders>
            <w:noWrap/>
            <w:vAlign w:val="center"/>
          </w:tcPr>
          <w:p w14:paraId="7B12311A">
            <w:pPr>
              <w:pStyle w:val="24"/>
              <w:framePr w:hSpace="0" w:wrap="auto" w:vAnchor="margin" w:hAnchor="text" w:xAlign="left" w:yAlign="inline"/>
              <w:rPr>
                <w:rFonts w:hint="eastAsia"/>
                <w:color w:val="auto"/>
                <w:highlight w:val="none"/>
              </w:rPr>
            </w:pPr>
            <w:r>
              <w:rPr>
                <w:rFonts w:hint="eastAsia"/>
                <w:color w:val="auto"/>
                <w:highlight w:val="none"/>
              </w:rPr>
              <w:t>施工方案可行，措施合理</w:t>
            </w:r>
          </w:p>
        </w:tc>
        <w:tc>
          <w:tcPr>
            <w:tcW w:w="1052" w:type="dxa"/>
            <w:tcBorders>
              <w:top w:val="single" w:color="auto" w:sz="4" w:space="0"/>
            </w:tcBorders>
            <w:noWrap/>
            <w:vAlign w:val="center"/>
          </w:tcPr>
          <w:p w14:paraId="03F2A191">
            <w:pPr>
              <w:pStyle w:val="24"/>
              <w:framePr w:hSpace="0" w:wrap="auto" w:vAnchor="margin" w:hAnchor="text" w:xAlign="left" w:yAlign="inline"/>
              <w:jc w:val="center"/>
              <w:rPr>
                <w:rFonts w:hint="eastAsia"/>
                <w:color w:val="auto"/>
                <w:highlight w:val="none"/>
              </w:rPr>
            </w:pPr>
            <w:r>
              <w:rPr>
                <w:rFonts w:hint="eastAsia"/>
                <w:color w:val="auto"/>
                <w:highlight w:val="none"/>
              </w:rPr>
              <w:t>5</w:t>
            </w:r>
          </w:p>
        </w:tc>
        <w:tc>
          <w:tcPr>
            <w:tcW w:w="5736" w:type="dxa"/>
            <w:tcBorders>
              <w:top w:val="single" w:color="auto" w:sz="4" w:space="0"/>
            </w:tcBorders>
            <w:noWrap/>
            <w:vAlign w:val="center"/>
          </w:tcPr>
          <w:p w14:paraId="0E2CF98B">
            <w:pPr>
              <w:rPr>
                <w:color w:val="auto"/>
                <w:highlight w:val="none"/>
              </w:rPr>
            </w:pPr>
            <w:r>
              <w:rPr>
                <w:rFonts w:hint="eastAsia"/>
                <w:color w:val="auto"/>
                <w:highlight w:val="none"/>
              </w:rPr>
              <w:t>包括但不限于：渠道、</w:t>
            </w:r>
            <w:r>
              <w:rPr>
                <w:rFonts w:ascii="宋体" w:hAnsi="宋体" w:cs="宋体"/>
                <w:color w:val="auto"/>
                <w:highlight w:val="none"/>
              </w:rPr>
              <w:t>配套渠系建筑物</w:t>
            </w:r>
            <w:r>
              <w:rPr>
                <w:rFonts w:hint="eastAsia" w:ascii="宋体" w:hAnsi="宋体" w:cs="宋体"/>
                <w:color w:val="auto"/>
                <w:highlight w:val="none"/>
              </w:rPr>
              <w:t>、</w:t>
            </w:r>
            <w:r>
              <w:rPr>
                <w:rFonts w:hint="eastAsia"/>
                <w:color w:val="auto"/>
                <w:highlight w:val="none"/>
              </w:rPr>
              <w:t>田间道路等工程的施工方案可行、措施合理、具体针对性强。</w:t>
            </w:r>
          </w:p>
          <w:p w14:paraId="6E6DF002">
            <w:pPr>
              <w:pStyle w:val="24"/>
              <w:framePr w:hSpace="0" w:wrap="auto" w:vAnchor="margin" w:hAnchor="text" w:xAlign="left" w:yAlign="inline"/>
              <w:rPr>
                <w:rFonts w:hint="eastAsia"/>
                <w:color w:val="auto"/>
                <w:highlight w:val="none"/>
              </w:rPr>
            </w:pPr>
            <w:r>
              <w:rPr>
                <w:rFonts w:hint="eastAsia"/>
                <w:color w:val="auto"/>
                <w:highlight w:val="none"/>
              </w:rPr>
              <w:t>优秀得4.0（含）</w:t>
            </w:r>
            <w:r>
              <w:rPr>
                <w:rFonts w:ascii="Arial" w:hAnsi="Arial" w:eastAsia="等线" w:cs="Arial"/>
                <w:color w:val="auto"/>
                <w:sz w:val="20"/>
                <w:szCs w:val="20"/>
                <w:highlight w:val="none"/>
                <w:shd w:val="clear" w:color="auto" w:fill="FFFFFF"/>
              </w:rPr>
              <w:t>~</w:t>
            </w:r>
            <w:r>
              <w:rPr>
                <w:rFonts w:hint="eastAsia"/>
                <w:color w:val="auto"/>
                <w:highlight w:val="none"/>
              </w:rPr>
              <w:t>5.0（含）分；良好得3.0（含）</w:t>
            </w:r>
            <w:r>
              <w:rPr>
                <w:rFonts w:ascii="Arial" w:hAnsi="Arial" w:eastAsia="等线" w:cs="Arial"/>
                <w:color w:val="auto"/>
                <w:sz w:val="20"/>
                <w:szCs w:val="20"/>
                <w:highlight w:val="none"/>
                <w:shd w:val="clear" w:color="auto" w:fill="FFFFFF"/>
              </w:rPr>
              <w:t>~</w:t>
            </w:r>
            <w:r>
              <w:rPr>
                <w:rFonts w:hint="eastAsia"/>
                <w:color w:val="auto"/>
                <w:highlight w:val="none"/>
              </w:rPr>
              <w:t>4.0（不含）分；一般得2.0（含）</w:t>
            </w:r>
            <w:r>
              <w:rPr>
                <w:rFonts w:ascii="Arial" w:hAnsi="Arial" w:eastAsia="等线" w:cs="Arial"/>
                <w:color w:val="auto"/>
                <w:sz w:val="20"/>
                <w:szCs w:val="20"/>
                <w:highlight w:val="none"/>
                <w:shd w:val="clear" w:color="auto" w:fill="FFFFFF"/>
              </w:rPr>
              <w:t>~</w:t>
            </w:r>
            <w:r>
              <w:rPr>
                <w:rFonts w:hint="eastAsia"/>
                <w:color w:val="auto"/>
                <w:highlight w:val="none"/>
              </w:rPr>
              <w:t>3.0（不含）分；没有不得分。</w:t>
            </w:r>
          </w:p>
        </w:tc>
        <w:tc>
          <w:tcPr>
            <w:tcW w:w="750" w:type="dxa"/>
            <w:tcBorders>
              <w:top w:val="single" w:color="auto" w:sz="4" w:space="0"/>
            </w:tcBorders>
            <w:noWrap/>
            <w:vAlign w:val="center"/>
          </w:tcPr>
          <w:p w14:paraId="0A9D6481">
            <w:pPr>
              <w:keepNext/>
              <w:jc w:val="center"/>
              <w:rPr>
                <w:rFonts w:hint="eastAsia" w:ascii="宋体" w:hAnsi="宋体" w:cs="宋体"/>
                <w:color w:val="auto"/>
                <w:kern w:val="0"/>
                <w:highlight w:val="none"/>
              </w:rPr>
            </w:pPr>
          </w:p>
        </w:tc>
      </w:tr>
      <w:tr w14:paraId="69A3D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blHeader/>
        </w:trPr>
        <w:tc>
          <w:tcPr>
            <w:tcW w:w="775" w:type="dxa"/>
            <w:tcBorders>
              <w:top w:val="single" w:color="auto" w:sz="4" w:space="0"/>
            </w:tcBorders>
            <w:noWrap/>
            <w:vAlign w:val="center"/>
          </w:tcPr>
          <w:p w14:paraId="5EA16141">
            <w:pPr>
              <w:pStyle w:val="24"/>
              <w:framePr w:hSpace="0" w:wrap="auto" w:vAnchor="margin" w:hAnchor="text" w:xAlign="left" w:yAlign="inline"/>
              <w:rPr>
                <w:rFonts w:hint="eastAsia"/>
                <w:color w:val="auto"/>
                <w:highlight w:val="none"/>
              </w:rPr>
            </w:pPr>
            <w:r>
              <w:rPr>
                <w:rFonts w:hint="eastAsia"/>
                <w:color w:val="auto"/>
                <w:highlight w:val="none"/>
              </w:rPr>
              <w:t>4</w:t>
            </w:r>
          </w:p>
        </w:tc>
        <w:tc>
          <w:tcPr>
            <w:tcW w:w="2250" w:type="dxa"/>
            <w:tcBorders>
              <w:top w:val="single" w:color="auto" w:sz="4" w:space="0"/>
            </w:tcBorders>
            <w:noWrap/>
            <w:vAlign w:val="center"/>
          </w:tcPr>
          <w:p w14:paraId="701CE409">
            <w:pPr>
              <w:pStyle w:val="24"/>
              <w:framePr w:hSpace="0" w:wrap="auto" w:vAnchor="margin" w:hAnchor="text" w:xAlign="left" w:yAlign="inline"/>
              <w:rPr>
                <w:rFonts w:hint="eastAsia"/>
                <w:color w:val="auto"/>
                <w:highlight w:val="none"/>
              </w:rPr>
            </w:pPr>
            <w:r>
              <w:rPr>
                <w:rFonts w:hint="eastAsia"/>
                <w:color w:val="auto"/>
                <w:highlight w:val="none"/>
              </w:rPr>
              <w:t>施工进度计划及工期保证措施</w:t>
            </w:r>
          </w:p>
        </w:tc>
        <w:tc>
          <w:tcPr>
            <w:tcW w:w="1052" w:type="dxa"/>
            <w:tcBorders>
              <w:top w:val="single" w:color="auto" w:sz="4" w:space="0"/>
            </w:tcBorders>
            <w:noWrap/>
            <w:vAlign w:val="center"/>
          </w:tcPr>
          <w:p w14:paraId="1F651CEA">
            <w:pPr>
              <w:pStyle w:val="24"/>
              <w:framePr w:hSpace="0" w:wrap="auto" w:vAnchor="margin" w:hAnchor="text" w:xAlign="left" w:yAlign="inline"/>
              <w:jc w:val="center"/>
              <w:rPr>
                <w:rFonts w:hint="eastAsia"/>
                <w:color w:val="auto"/>
                <w:highlight w:val="none"/>
              </w:rPr>
            </w:pPr>
            <w:r>
              <w:rPr>
                <w:rFonts w:hint="eastAsia"/>
                <w:color w:val="auto"/>
                <w:highlight w:val="none"/>
              </w:rPr>
              <w:t>5</w:t>
            </w:r>
          </w:p>
        </w:tc>
        <w:tc>
          <w:tcPr>
            <w:tcW w:w="5736" w:type="dxa"/>
            <w:tcBorders>
              <w:top w:val="single" w:color="auto" w:sz="4" w:space="0"/>
            </w:tcBorders>
            <w:noWrap/>
            <w:vAlign w:val="center"/>
          </w:tcPr>
          <w:p w14:paraId="0513095D">
            <w:pPr>
              <w:rPr>
                <w:color w:val="auto"/>
                <w:highlight w:val="none"/>
              </w:rPr>
            </w:pPr>
            <w:r>
              <w:rPr>
                <w:rFonts w:hint="eastAsia"/>
                <w:color w:val="auto"/>
                <w:highlight w:val="none"/>
              </w:rPr>
              <w:t>（</w:t>
            </w:r>
            <w:bookmarkStart w:id="13" w:name="OLE_LINK9"/>
            <w:r>
              <w:rPr>
                <w:rFonts w:hint="eastAsia"/>
                <w:color w:val="auto"/>
                <w:highlight w:val="none"/>
              </w:rPr>
              <w:t>1）施工进度计划合理，工期保证措施可行；</w:t>
            </w:r>
          </w:p>
          <w:p w14:paraId="465AEBC8">
            <w:pPr>
              <w:rPr>
                <w:color w:val="auto"/>
                <w:highlight w:val="none"/>
              </w:rPr>
            </w:pPr>
            <w:r>
              <w:rPr>
                <w:rFonts w:hint="eastAsia"/>
                <w:color w:val="auto"/>
                <w:highlight w:val="none"/>
              </w:rPr>
              <w:t>（2）有完整的网络计划图。</w:t>
            </w:r>
          </w:p>
          <w:bookmarkEnd w:id="13"/>
          <w:p w14:paraId="29143DEF">
            <w:pPr>
              <w:pStyle w:val="24"/>
              <w:framePr w:hSpace="0" w:wrap="auto" w:vAnchor="margin" w:hAnchor="text" w:xAlign="left" w:yAlign="inline"/>
              <w:rPr>
                <w:rFonts w:hint="eastAsia"/>
                <w:color w:val="auto"/>
                <w:highlight w:val="none"/>
              </w:rPr>
            </w:pPr>
            <w:r>
              <w:rPr>
                <w:rFonts w:hint="eastAsia"/>
                <w:color w:val="auto"/>
                <w:highlight w:val="none"/>
              </w:rPr>
              <w:t>优秀得4.0（含）</w:t>
            </w:r>
            <w:r>
              <w:rPr>
                <w:rFonts w:ascii="Arial" w:hAnsi="Arial" w:eastAsia="等线" w:cs="Arial"/>
                <w:color w:val="auto"/>
                <w:sz w:val="20"/>
                <w:szCs w:val="20"/>
                <w:highlight w:val="none"/>
                <w:shd w:val="clear" w:color="auto" w:fill="FFFFFF"/>
              </w:rPr>
              <w:t>~</w:t>
            </w:r>
            <w:r>
              <w:rPr>
                <w:rFonts w:hint="eastAsia"/>
                <w:color w:val="auto"/>
                <w:highlight w:val="none"/>
              </w:rPr>
              <w:t>5.0（含）分；良好得3.0（含）</w:t>
            </w:r>
            <w:r>
              <w:rPr>
                <w:rFonts w:ascii="Arial" w:hAnsi="Arial" w:eastAsia="等线" w:cs="Arial"/>
                <w:color w:val="auto"/>
                <w:sz w:val="20"/>
                <w:szCs w:val="20"/>
                <w:highlight w:val="none"/>
                <w:shd w:val="clear" w:color="auto" w:fill="FFFFFF"/>
              </w:rPr>
              <w:t>~</w:t>
            </w:r>
            <w:r>
              <w:rPr>
                <w:rFonts w:hint="eastAsia"/>
                <w:color w:val="auto"/>
                <w:highlight w:val="none"/>
              </w:rPr>
              <w:t>4.0（不含）分；一般得2.0（含）</w:t>
            </w:r>
            <w:r>
              <w:rPr>
                <w:rFonts w:ascii="Arial" w:hAnsi="Arial" w:eastAsia="等线" w:cs="Arial"/>
                <w:color w:val="auto"/>
                <w:sz w:val="20"/>
                <w:szCs w:val="20"/>
                <w:highlight w:val="none"/>
                <w:shd w:val="clear" w:color="auto" w:fill="FFFFFF"/>
              </w:rPr>
              <w:t>~</w:t>
            </w:r>
            <w:r>
              <w:rPr>
                <w:rFonts w:hint="eastAsia"/>
                <w:color w:val="auto"/>
                <w:highlight w:val="none"/>
              </w:rPr>
              <w:t>3.0（不含）分；没有不得分。</w:t>
            </w:r>
          </w:p>
        </w:tc>
        <w:tc>
          <w:tcPr>
            <w:tcW w:w="750" w:type="dxa"/>
            <w:tcBorders>
              <w:top w:val="single" w:color="auto" w:sz="4" w:space="0"/>
            </w:tcBorders>
            <w:noWrap/>
            <w:vAlign w:val="center"/>
          </w:tcPr>
          <w:p w14:paraId="0898D158">
            <w:pPr>
              <w:keepNext/>
              <w:jc w:val="center"/>
              <w:rPr>
                <w:rFonts w:hint="eastAsia" w:ascii="宋体" w:hAnsi="宋体" w:cs="宋体"/>
                <w:color w:val="auto"/>
                <w:kern w:val="0"/>
                <w:highlight w:val="none"/>
              </w:rPr>
            </w:pPr>
          </w:p>
        </w:tc>
      </w:tr>
      <w:tr w14:paraId="789A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blHeader/>
        </w:trPr>
        <w:tc>
          <w:tcPr>
            <w:tcW w:w="775" w:type="dxa"/>
            <w:tcBorders>
              <w:top w:val="single" w:color="auto" w:sz="4" w:space="0"/>
            </w:tcBorders>
            <w:noWrap/>
            <w:vAlign w:val="center"/>
          </w:tcPr>
          <w:p w14:paraId="4D666CBD">
            <w:pPr>
              <w:pStyle w:val="24"/>
              <w:framePr w:hSpace="0" w:wrap="auto" w:vAnchor="margin" w:hAnchor="text" w:xAlign="left" w:yAlign="inline"/>
              <w:rPr>
                <w:rFonts w:hint="eastAsia"/>
                <w:color w:val="auto"/>
                <w:highlight w:val="none"/>
              </w:rPr>
            </w:pPr>
            <w:r>
              <w:rPr>
                <w:rFonts w:hint="eastAsia"/>
                <w:color w:val="auto"/>
                <w:highlight w:val="none"/>
              </w:rPr>
              <w:t>5</w:t>
            </w:r>
          </w:p>
        </w:tc>
        <w:tc>
          <w:tcPr>
            <w:tcW w:w="2250" w:type="dxa"/>
            <w:tcBorders>
              <w:top w:val="single" w:color="auto" w:sz="4" w:space="0"/>
            </w:tcBorders>
            <w:noWrap/>
            <w:vAlign w:val="center"/>
          </w:tcPr>
          <w:p w14:paraId="6D6677A2">
            <w:pPr>
              <w:pStyle w:val="24"/>
              <w:framePr w:hSpace="0" w:wrap="auto" w:vAnchor="margin" w:hAnchor="text" w:xAlign="left" w:yAlign="inline"/>
              <w:rPr>
                <w:rFonts w:hint="eastAsia"/>
                <w:color w:val="auto"/>
                <w:highlight w:val="none"/>
              </w:rPr>
            </w:pPr>
            <w:r>
              <w:rPr>
                <w:rFonts w:hint="eastAsia"/>
                <w:color w:val="auto"/>
                <w:highlight w:val="none"/>
              </w:rPr>
              <w:t>施工质量体系及保证措施</w:t>
            </w:r>
          </w:p>
        </w:tc>
        <w:tc>
          <w:tcPr>
            <w:tcW w:w="1052" w:type="dxa"/>
            <w:tcBorders>
              <w:top w:val="single" w:color="auto" w:sz="4" w:space="0"/>
            </w:tcBorders>
            <w:noWrap/>
            <w:vAlign w:val="center"/>
          </w:tcPr>
          <w:p w14:paraId="0F086E0D">
            <w:pPr>
              <w:pStyle w:val="24"/>
              <w:framePr w:hSpace="0" w:wrap="auto" w:vAnchor="margin" w:hAnchor="text" w:xAlign="left" w:yAlign="inline"/>
              <w:jc w:val="center"/>
              <w:rPr>
                <w:rFonts w:hint="eastAsia"/>
                <w:color w:val="auto"/>
                <w:highlight w:val="none"/>
              </w:rPr>
            </w:pPr>
            <w:r>
              <w:rPr>
                <w:rFonts w:hint="eastAsia"/>
                <w:color w:val="auto"/>
                <w:highlight w:val="none"/>
              </w:rPr>
              <w:t>3</w:t>
            </w:r>
          </w:p>
        </w:tc>
        <w:tc>
          <w:tcPr>
            <w:tcW w:w="5736" w:type="dxa"/>
            <w:tcBorders>
              <w:top w:val="single" w:color="auto" w:sz="4" w:space="0"/>
            </w:tcBorders>
            <w:noWrap/>
            <w:vAlign w:val="center"/>
          </w:tcPr>
          <w:p w14:paraId="5172A749">
            <w:pPr>
              <w:rPr>
                <w:color w:val="auto"/>
                <w:highlight w:val="none"/>
              </w:rPr>
            </w:pPr>
            <w:r>
              <w:rPr>
                <w:rFonts w:hint="eastAsia"/>
                <w:color w:val="auto"/>
                <w:highlight w:val="none"/>
              </w:rPr>
              <w:t>（1）质保体系健全；</w:t>
            </w:r>
          </w:p>
          <w:p w14:paraId="36888F0F">
            <w:pPr>
              <w:rPr>
                <w:color w:val="auto"/>
                <w:highlight w:val="none"/>
              </w:rPr>
            </w:pPr>
            <w:r>
              <w:rPr>
                <w:rFonts w:hint="eastAsia"/>
                <w:color w:val="auto"/>
                <w:highlight w:val="none"/>
              </w:rPr>
              <w:t>（2）质量保证方案可行、措施得力、有针对性。</w:t>
            </w:r>
          </w:p>
          <w:p w14:paraId="2FE50FBC">
            <w:pPr>
              <w:pStyle w:val="24"/>
              <w:framePr w:hSpace="0" w:wrap="auto" w:vAnchor="margin" w:hAnchor="text" w:xAlign="left" w:yAlign="inline"/>
              <w:rPr>
                <w:rFonts w:hint="eastAsia"/>
                <w:color w:val="auto"/>
                <w:highlight w:val="none"/>
              </w:rPr>
            </w:pPr>
            <w:r>
              <w:rPr>
                <w:rFonts w:hint="eastAsia"/>
                <w:color w:val="auto"/>
                <w:highlight w:val="none"/>
              </w:rPr>
              <w:t>优秀得2.7（含）</w:t>
            </w:r>
            <w:r>
              <w:rPr>
                <w:rFonts w:ascii="Arial" w:hAnsi="Arial" w:eastAsia="等线" w:cs="Arial"/>
                <w:color w:val="auto"/>
                <w:sz w:val="20"/>
                <w:szCs w:val="20"/>
                <w:highlight w:val="none"/>
                <w:shd w:val="clear" w:color="auto" w:fill="FFFFFF"/>
              </w:rPr>
              <w:t>~</w:t>
            </w:r>
            <w:r>
              <w:rPr>
                <w:rFonts w:hint="eastAsia"/>
                <w:color w:val="auto"/>
                <w:highlight w:val="none"/>
              </w:rPr>
              <w:t>3（含）分；良好得2.4（含）</w:t>
            </w:r>
            <w:r>
              <w:rPr>
                <w:rFonts w:ascii="Arial" w:hAnsi="Arial" w:eastAsia="等线" w:cs="Arial"/>
                <w:color w:val="auto"/>
                <w:sz w:val="20"/>
                <w:szCs w:val="20"/>
                <w:highlight w:val="none"/>
                <w:shd w:val="clear" w:color="auto" w:fill="FFFFFF"/>
              </w:rPr>
              <w:t>~</w:t>
            </w:r>
            <w:r>
              <w:rPr>
                <w:rFonts w:hint="eastAsia"/>
                <w:color w:val="auto"/>
                <w:highlight w:val="none"/>
              </w:rPr>
              <w:t>2.7（不含）分；一般得2.1（含）</w:t>
            </w:r>
            <w:r>
              <w:rPr>
                <w:rFonts w:ascii="Arial" w:hAnsi="Arial" w:eastAsia="等线" w:cs="Arial"/>
                <w:color w:val="auto"/>
                <w:sz w:val="20"/>
                <w:szCs w:val="20"/>
                <w:highlight w:val="none"/>
                <w:shd w:val="clear" w:color="auto" w:fill="FFFFFF"/>
              </w:rPr>
              <w:t>~</w:t>
            </w:r>
            <w:r>
              <w:rPr>
                <w:rFonts w:hint="eastAsia"/>
                <w:color w:val="auto"/>
                <w:highlight w:val="none"/>
              </w:rPr>
              <w:t>2.4（不含）分；没有不得分。</w:t>
            </w:r>
          </w:p>
        </w:tc>
        <w:tc>
          <w:tcPr>
            <w:tcW w:w="750" w:type="dxa"/>
            <w:tcBorders>
              <w:top w:val="single" w:color="auto" w:sz="4" w:space="0"/>
            </w:tcBorders>
            <w:noWrap/>
            <w:vAlign w:val="center"/>
          </w:tcPr>
          <w:p w14:paraId="01997E9C">
            <w:pPr>
              <w:keepNext/>
              <w:jc w:val="center"/>
              <w:rPr>
                <w:rFonts w:hint="eastAsia" w:ascii="宋体" w:hAnsi="宋体" w:cs="宋体"/>
                <w:color w:val="auto"/>
                <w:kern w:val="0"/>
                <w:highlight w:val="none"/>
              </w:rPr>
            </w:pPr>
          </w:p>
        </w:tc>
      </w:tr>
      <w:tr w14:paraId="47F24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blHeader/>
        </w:trPr>
        <w:tc>
          <w:tcPr>
            <w:tcW w:w="775" w:type="dxa"/>
            <w:tcBorders>
              <w:top w:val="single" w:color="auto" w:sz="4" w:space="0"/>
            </w:tcBorders>
            <w:noWrap/>
            <w:vAlign w:val="center"/>
          </w:tcPr>
          <w:p w14:paraId="67F4B25F">
            <w:pPr>
              <w:pStyle w:val="24"/>
              <w:framePr w:hSpace="0" w:wrap="auto" w:vAnchor="margin" w:hAnchor="text" w:xAlign="left" w:yAlign="inline"/>
              <w:rPr>
                <w:rFonts w:hint="eastAsia"/>
                <w:color w:val="auto"/>
                <w:highlight w:val="none"/>
              </w:rPr>
            </w:pPr>
            <w:r>
              <w:rPr>
                <w:rFonts w:hint="eastAsia"/>
                <w:color w:val="auto"/>
                <w:highlight w:val="none"/>
              </w:rPr>
              <w:t>6</w:t>
            </w:r>
          </w:p>
        </w:tc>
        <w:tc>
          <w:tcPr>
            <w:tcW w:w="2250" w:type="dxa"/>
            <w:tcBorders>
              <w:top w:val="single" w:color="auto" w:sz="4" w:space="0"/>
            </w:tcBorders>
            <w:noWrap/>
            <w:vAlign w:val="center"/>
          </w:tcPr>
          <w:p w14:paraId="316BDBA0">
            <w:pPr>
              <w:pStyle w:val="24"/>
              <w:framePr w:hSpace="0" w:wrap="auto" w:vAnchor="margin" w:hAnchor="text" w:xAlign="left" w:yAlign="inline"/>
              <w:rPr>
                <w:rFonts w:hint="eastAsia"/>
                <w:color w:val="auto"/>
                <w:highlight w:val="none"/>
              </w:rPr>
            </w:pPr>
            <w:r>
              <w:rPr>
                <w:rFonts w:hint="eastAsia"/>
                <w:color w:val="auto"/>
                <w:highlight w:val="none"/>
              </w:rPr>
              <w:t>安全生产、文明施工体系措施</w:t>
            </w:r>
          </w:p>
        </w:tc>
        <w:tc>
          <w:tcPr>
            <w:tcW w:w="1052" w:type="dxa"/>
            <w:tcBorders>
              <w:top w:val="single" w:color="auto" w:sz="4" w:space="0"/>
            </w:tcBorders>
            <w:noWrap/>
            <w:vAlign w:val="center"/>
          </w:tcPr>
          <w:p w14:paraId="11D55F4C">
            <w:pPr>
              <w:pStyle w:val="24"/>
              <w:framePr w:hSpace="0" w:wrap="auto" w:vAnchor="margin" w:hAnchor="text" w:xAlign="left" w:yAlign="inline"/>
              <w:jc w:val="center"/>
              <w:rPr>
                <w:rFonts w:hint="eastAsia"/>
                <w:color w:val="auto"/>
                <w:highlight w:val="none"/>
              </w:rPr>
            </w:pPr>
            <w:r>
              <w:rPr>
                <w:rFonts w:hint="eastAsia"/>
                <w:color w:val="auto"/>
                <w:highlight w:val="none"/>
              </w:rPr>
              <w:t>3</w:t>
            </w:r>
          </w:p>
        </w:tc>
        <w:tc>
          <w:tcPr>
            <w:tcW w:w="5736" w:type="dxa"/>
            <w:tcBorders>
              <w:top w:val="single" w:color="auto" w:sz="4" w:space="0"/>
            </w:tcBorders>
            <w:noWrap/>
            <w:vAlign w:val="center"/>
          </w:tcPr>
          <w:p w14:paraId="41B595BD">
            <w:pPr>
              <w:rPr>
                <w:color w:val="auto"/>
                <w:highlight w:val="none"/>
              </w:rPr>
            </w:pPr>
            <w:r>
              <w:rPr>
                <w:rFonts w:hint="eastAsia"/>
                <w:color w:val="auto"/>
                <w:highlight w:val="none"/>
              </w:rPr>
              <w:t>安全生产、文明施工体系健全，安全施工、文明施工方案可行、措施合理且安全措施费有保障。</w:t>
            </w:r>
          </w:p>
          <w:p w14:paraId="6E3E572A">
            <w:pPr>
              <w:pStyle w:val="24"/>
              <w:framePr w:hSpace="0" w:wrap="auto" w:vAnchor="margin" w:hAnchor="text" w:xAlign="left" w:yAlign="inline"/>
              <w:rPr>
                <w:rFonts w:hint="eastAsia"/>
                <w:color w:val="auto"/>
                <w:highlight w:val="none"/>
              </w:rPr>
            </w:pPr>
            <w:r>
              <w:rPr>
                <w:rFonts w:hint="eastAsia"/>
                <w:color w:val="auto"/>
                <w:highlight w:val="none"/>
              </w:rPr>
              <w:t>优秀得2.7（含）</w:t>
            </w:r>
            <w:r>
              <w:rPr>
                <w:rFonts w:ascii="Arial" w:hAnsi="Arial" w:eastAsia="等线" w:cs="Arial"/>
                <w:color w:val="auto"/>
                <w:sz w:val="20"/>
                <w:szCs w:val="20"/>
                <w:highlight w:val="none"/>
                <w:shd w:val="clear" w:color="auto" w:fill="FFFFFF"/>
              </w:rPr>
              <w:t>~</w:t>
            </w:r>
            <w:r>
              <w:rPr>
                <w:rFonts w:hint="eastAsia"/>
                <w:color w:val="auto"/>
                <w:highlight w:val="none"/>
              </w:rPr>
              <w:t>3（含）分；良好得2.4（含）</w:t>
            </w:r>
            <w:r>
              <w:rPr>
                <w:rFonts w:ascii="Arial" w:hAnsi="Arial" w:eastAsia="等线" w:cs="Arial"/>
                <w:color w:val="auto"/>
                <w:sz w:val="20"/>
                <w:szCs w:val="20"/>
                <w:highlight w:val="none"/>
                <w:shd w:val="clear" w:color="auto" w:fill="FFFFFF"/>
              </w:rPr>
              <w:t>~</w:t>
            </w:r>
            <w:r>
              <w:rPr>
                <w:rFonts w:hint="eastAsia"/>
                <w:color w:val="auto"/>
                <w:highlight w:val="none"/>
              </w:rPr>
              <w:t>2.7（不含）分；一般得2.1（含）</w:t>
            </w:r>
            <w:r>
              <w:rPr>
                <w:rFonts w:ascii="Arial" w:hAnsi="Arial" w:eastAsia="等线" w:cs="Arial"/>
                <w:color w:val="auto"/>
                <w:sz w:val="20"/>
                <w:szCs w:val="20"/>
                <w:highlight w:val="none"/>
                <w:shd w:val="clear" w:color="auto" w:fill="FFFFFF"/>
              </w:rPr>
              <w:t>~</w:t>
            </w:r>
            <w:r>
              <w:rPr>
                <w:rFonts w:hint="eastAsia"/>
                <w:color w:val="auto"/>
                <w:highlight w:val="none"/>
              </w:rPr>
              <w:t>2.4（不含）分；没有不得分。</w:t>
            </w:r>
          </w:p>
        </w:tc>
        <w:tc>
          <w:tcPr>
            <w:tcW w:w="750" w:type="dxa"/>
            <w:tcBorders>
              <w:top w:val="single" w:color="auto" w:sz="4" w:space="0"/>
            </w:tcBorders>
            <w:noWrap/>
            <w:vAlign w:val="center"/>
          </w:tcPr>
          <w:p w14:paraId="68A2C87D">
            <w:pPr>
              <w:keepNext/>
              <w:jc w:val="center"/>
              <w:rPr>
                <w:rFonts w:hint="eastAsia" w:ascii="宋体" w:hAnsi="宋体" w:cs="宋体"/>
                <w:color w:val="auto"/>
                <w:kern w:val="0"/>
                <w:highlight w:val="none"/>
              </w:rPr>
            </w:pPr>
          </w:p>
        </w:tc>
      </w:tr>
      <w:tr w14:paraId="51DF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blHeader/>
        </w:trPr>
        <w:tc>
          <w:tcPr>
            <w:tcW w:w="775" w:type="dxa"/>
            <w:tcBorders>
              <w:top w:val="single" w:color="auto" w:sz="4" w:space="0"/>
            </w:tcBorders>
            <w:noWrap/>
            <w:vAlign w:val="center"/>
          </w:tcPr>
          <w:p w14:paraId="33E80921">
            <w:pPr>
              <w:pStyle w:val="24"/>
              <w:framePr w:hSpace="0" w:wrap="auto" w:vAnchor="margin" w:hAnchor="text" w:xAlign="left" w:yAlign="inline"/>
              <w:rPr>
                <w:rFonts w:hint="eastAsia"/>
                <w:color w:val="auto"/>
                <w:highlight w:val="none"/>
              </w:rPr>
            </w:pPr>
            <w:r>
              <w:rPr>
                <w:rFonts w:hint="eastAsia"/>
                <w:color w:val="auto"/>
                <w:highlight w:val="none"/>
              </w:rPr>
              <w:t>7</w:t>
            </w:r>
          </w:p>
        </w:tc>
        <w:tc>
          <w:tcPr>
            <w:tcW w:w="2250" w:type="dxa"/>
            <w:tcBorders>
              <w:top w:val="single" w:color="auto" w:sz="4" w:space="0"/>
            </w:tcBorders>
            <w:noWrap/>
            <w:vAlign w:val="center"/>
          </w:tcPr>
          <w:p w14:paraId="67B304B0">
            <w:pPr>
              <w:pStyle w:val="24"/>
              <w:framePr w:hSpace="0" w:wrap="auto" w:vAnchor="margin" w:hAnchor="text" w:xAlign="left" w:yAlign="inline"/>
              <w:rPr>
                <w:rFonts w:hint="eastAsia"/>
                <w:color w:val="auto"/>
                <w:highlight w:val="none"/>
              </w:rPr>
            </w:pPr>
            <w:r>
              <w:rPr>
                <w:rFonts w:hint="eastAsia"/>
                <w:color w:val="auto"/>
                <w:highlight w:val="none"/>
              </w:rPr>
              <w:t>环境保护管理体系及措施</w:t>
            </w:r>
          </w:p>
        </w:tc>
        <w:tc>
          <w:tcPr>
            <w:tcW w:w="1052" w:type="dxa"/>
            <w:tcBorders>
              <w:top w:val="single" w:color="auto" w:sz="4" w:space="0"/>
            </w:tcBorders>
            <w:noWrap/>
            <w:vAlign w:val="center"/>
          </w:tcPr>
          <w:p w14:paraId="59C7BBA3">
            <w:pPr>
              <w:pStyle w:val="24"/>
              <w:framePr w:hSpace="0" w:wrap="auto" w:vAnchor="margin" w:hAnchor="text" w:xAlign="left" w:yAlign="inline"/>
              <w:jc w:val="center"/>
              <w:rPr>
                <w:rFonts w:hint="eastAsia"/>
                <w:color w:val="auto"/>
                <w:highlight w:val="none"/>
              </w:rPr>
            </w:pPr>
            <w:r>
              <w:rPr>
                <w:rFonts w:hint="eastAsia"/>
                <w:color w:val="auto"/>
                <w:highlight w:val="none"/>
              </w:rPr>
              <w:t>2</w:t>
            </w:r>
          </w:p>
        </w:tc>
        <w:tc>
          <w:tcPr>
            <w:tcW w:w="5736" w:type="dxa"/>
            <w:tcBorders>
              <w:top w:val="single" w:color="auto" w:sz="4" w:space="0"/>
            </w:tcBorders>
            <w:noWrap/>
            <w:vAlign w:val="center"/>
          </w:tcPr>
          <w:p w14:paraId="5E76450A">
            <w:pPr>
              <w:rPr>
                <w:color w:val="auto"/>
                <w:highlight w:val="none"/>
              </w:rPr>
            </w:pPr>
            <w:r>
              <w:rPr>
                <w:rFonts w:hint="eastAsia"/>
                <w:color w:val="auto"/>
                <w:highlight w:val="none"/>
              </w:rPr>
              <w:t>废污水的处理、噪声控制、扬尘控制等有合理的管控措施专项方案，有明确的管控责任制度，并有相应的承诺，无承诺不得分；</w:t>
            </w:r>
          </w:p>
          <w:p w14:paraId="7A436EE4">
            <w:pPr>
              <w:pStyle w:val="24"/>
              <w:framePr w:hSpace="0" w:wrap="auto" w:vAnchor="margin" w:hAnchor="text" w:xAlign="left" w:yAlign="inline"/>
              <w:rPr>
                <w:rFonts w:hint="eastAsia"/>
                <w:color w:val="auto"/>
                <w:highlight w:val="none"/>
              </w:rPr>
            </w:pPr>
            <w:r>
              <w:rPr>
                <w:rFonts w:hint="eastAsia"/>
                <w:color w:val="auto"/>
                <w:highlight w:val="none"/>
              </w:rPr>
              <w:t>优秀得1.6（含）</w:t>
            </w:r>
            <w:r>
              <w:rPr>
                <w:rFonts w:ascii="Arial" w:hAnsi="Arial" w:eastAsia="等线" w:cs="Arial"/>
                <w:color w:val="auto"/>
                <w:sz w:val="20"/>
                <w:szCs w:val="20"/>
                <w:highlight w:val="none"/>
                <w:shd w:val="clear" w:color="auto" w:fill="FFFFFF"/>
              </w:rPr>
              <w:t>~</w:t>
            </w:r>
            <w:r>
              <w:rPr>
                <w:rFonts w:hint="eastAsia"/>
                <w:color w:val="auto"/>
                <w:highlight w:val="none"/>
              </w:rPr>
              <w:t>2（含）分；良好得1.2（含）</w:t>
            </w:r>
            <w:r>
              <w:rPr>
                <w:rFonts w:ascii="Arial" w:hAnsi="Arial" w:eastAsia="等线" w:cs="Arial"/>
                <w:color w:val="auto"/>
                <w:sz w:val="20"/>
                <w:szCs w:val="20"/>
                <w:highlight w:val="none"/>
                <w:shd w:val="clear" w:color="auto" w:fill="FFFFFF"/>
              </w:rPr>
              <w:t>~</w:t>
            </w:r>
            <w:r>
              <w:rPr>
                <w:rFonts w:hint="eastAsia"/>
                <w:color w:val="auto"/>
                <w:highlight w:val="none"/>
              </w:rPr>
              <w:t>1.6（不含）分；一般得0.8（含）</w:t>
            </w:r>
            <w:r>
              <w:rPr>
                <w:rFonts w:ascii="Arial" w:hAnsi="Arial" w:eastAsia="等线" w:cs="Arial"/>
                <w:color w:val="auto"/>
                <w:sz w:val="20"/>
                <w:szCs w:val="20"/>
                <w:highlight w:val="none"/>
                <w:shd w:val="clear" w:color="auto" w:fill="FFFFFF"/>
              </w:rPr>
              <w:t>~</w:t>
            </w:r>
            <w:r>
              <w:rPr>
                <w:rFonts w:hint="eastAsia"/>
                <w:color w:val="auto"/>
                <w:highlight w:val="none"/>
              </w:rPr>
              <w:t>1.2（不含）分；没有不得分。</w:t>
            </w:r>
          </w:p>
        </w:tc>
        <w:tc>
          <w:tcPr>
            <w:tcW w:w="750" w:type="dxa"/>
            <w:tcBorders>
              <w:top w:val="single" w:color="auto" w:sz="4" w:space="0"/>
            </w:tcBorders>
            <w:noWrap/>
            <w:vAlign w:val="center"/>
          </w:tcPr>
          <w:p w14:paraId="08020E01">
            <w:pPr>
              <w:keepNext/>
              <w:jc w:val="center"/>
              <w:rPr>
                <w:rFonts w:hint="eastAsia" w:ascii="宋体" w:hAnsi="宋体" w:cs="宋体"/>
                <w:color w:val="auto"/>
                <w:kern w:val="0"/>
                <w:highlight w:val="none"/>
              </w:rPr>
            </w:pPr>
          </w:p>
        </w:tc>
      </w:tr>
      <w:tr w14:paraId="55EBF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blHeader/>
        </w:trPr>
        <w:tc>
          <w:tcPr>
            <w:tcW w:w="775" w:type="dxa"/>
            <w:tcBorders>
              <w:top w:val="single" w:color="auto" w:sz="4" w:space="0"/>
            </w:tcBorders>
            <w:noWrap/>
            <w:vAlign w:val="center"/>
          </w:tcPr>
          <w:p w14:paraId="150133CD">
            <w:pPr>
              <w:pStyle w:val="24"/>
              <w:framePr w:hSpace="0" w:wrap="auto" w:vAnchor="margin" w:hAnchor="text" w:xAlign="left" w:yAlign="inline"/>
              <w:rPr>
                <w:rFonts w:hint="eastAsia"/>
                <w:color w:val="auto"/>
                <w:highlight w:val="none"/>
              </w:rPr>
            </w:pPr>
            <w:r>
              <w:rPr>
                <w:rFonts w:hint="eastAsia"/>
                <w:color w:val="auto"/>
                <w:highlight w:val="none"/>
              </w:rPr>
              <w:t>8</w:t>
            </w:r>
          </w:p>
        </w:tc>
        <w:tc>
          <w:tcPr>
            <w:tcW w:w="2250" w:type="dxa"/>
            <w:tcBorders>
              <w:top w:val="single" w:color="auto" w:sz="4" w:space="0"/>
            </w:tcBorders>
            <w:noWrap/>
            <w:vAlign w:val="center"/>
          </w:tcPr>
          <w:p w14:paraId="6A2CF724">
            <w:pPr>
              <w:pStyle w:val="24"/>
              <w:framePr w:hSpace="0" w:wrap="auto" w:vAnchor="margin" w:hAnchor="text" w:xAlign="left" w:yAlign="inline"/>
              <w:rPr>
                <w:rFonts w:hint="eastAsia"/>
                <w:color w:val="auto"/>
                <w:highlight w:val="none"/>
              </w:rPr>
            </w:pPr>
            <w:r>
              <w:rPr>
                <w:rFonts w:hint="eastAsia"/>
                <w:color w:val="auto"/>
                <w:highlight w:val="none"/>
              </w:rPr>
              <w:t>工程档案资料管理</w:t>
            </w:r>
          </w:p>
        </w:tc>
        <w:tc>
          <w:tcPr>
            <w:tcW w:w="1052" w:type="dxa"/>
            <w:tcBorders>
              <w:top w:val="single" w:color="auto" w:sz="4" w:space="0"/>
            </w:tcBorders>
            <w:noWrap/>
            <w:vAlign w:val="center"/>
          </w:tcPr>
          <w:p w14:paraId="5A121EB5">
            <w:pPr>
              <w:pStyle w:val="24"/>
              <w:framePr w:hSpace="0" w:wrap="auto" w:vAnchor="margin" w:hAnchor="text" w:xAlign="left" w:yAlign="inline"/>
              <w:jc w:val="center"/>
              <w:rPr>
                <w:rFonts w:hint="eastAsia"/>
                <w:color w:val="auto"/>
                <w:highlight w:val="none"/>
              </w:rPr>
            </w:pPr>
            <w:r>
              <w:rPr>
                <w:rFonts w:hint="eastAsia"/>
                <w:color w:val="auto"/>
                <w:highlight w:val="none"/>
              </w:rPr>
              <w:t>1</w:t>
            </w:r>
          </w:p>
        </w:tc>
        <w:tc>
          <w:tcPr>
            <w:tcW w:w="5736" w:type="dxa"/>
            <w:tcBorders>
              <w:top w:val="single" w:color="auto" w:sz="4" w:space="0"/>
            </w:tcBorders>
            <w:noWrap/>
            <w:vAlign w:val="center"/>
          </w:tcPr>
          <w:p w14:paraId="0430DE8C">
            <w:pPr>
              <w:rPr>
                <w:color w:val="auto"/>
                <w:highlight w:val="none"/>
              </w:rPr>
            </w:pPr>
            <w:r>
              <w:rPr>
                <w:rFonts w:hint="eastAsia"/>
                <w:color w:val="auto"/>
                <w:highlight w:val="none"/>
              </w:rPr>
              <w:t>工程资料有专人专职负责，岗位职责分明，工程档案室建设规范，配备的设备齐全，档案整理保障措施可行。</w:t>
            </w:r>
          </w:p>
          <w:p w14:paraId="61D65DB3">
            <w:pPr>
              <w:pStyle w:val="24"/>
              <w:framePr w:hSpace="0" w:wrap="auto" w:vAnchor="margin" w:hAnchor="text" w:xAlign="left" w:yAlign="inline"/>
              <w:rPr>
                <w:rFonts w:hint="eastAsia"/>
                <w:color w:val="auto"/>
                <w:highlight w:val="none"/>
              </w:rPr>
            </w:pPr>
            <w:r>
              <w:rPr>
                <w:rFonts w:hint="eastAsia"/>
                <w:color w:val="auto"/>
                <w:highlight w:val="none"/>
              </w:rPr>
              <w:t>优秀得0.9（含）</w:t>
            </w:r>
            <w:r>
              <w:rPr>
                <w:rFonts w:ascii="Arial" w:hAnsi="Arial" w:eastAsia="等线" w:cs="Arial"/>
                <w:color w:val="auto"/>
                <w:sz w:val="20"/>
                <w:szCs w:val="20"/>
                <w:highlight w:val="none"/>
                <w:shd w:val="clear" w:color="auto" w:fill="FFFFFF"/>
              </w:rPr>
              <w:t>~</w:t>
            </w:r>
            <w:r>
              <w:rPr>
                <w:rFonts w:hint="eastAsia"/>
                <w:color w:val="auto"/>
                <w:highlight w:val="none"/>
              </w:rPr>
              <w:t>1（含）分；良好得0.8（含）</w:t>
            </w:r>
            <w:r>
              <w:rPr>
                <w:rFonts w:ascii="Arial" w:hAnsi="Arial" w:eastAsia="等线" w:cs="Arial"/>
                <w:color w:val="auto"/>
                <w:sz w:val="20"/>
                <w:szCs w:val="20"/>
                <w:highlight w:val="none"/>
                <w:shd w:val="clear" w:color="auto" w:fill="FFFFFF"/>
              </w:rPr>
              <w:t>~</w:t>
            </w:r>
            <w:r>
              <w:rPr>
                <w:rFonts w:hint="eastAsia"/>
                <w:color w:val="auto"/>
                <w:highlight w:val="none"/>
              </w:rPr>
              <w:t>0.9（不含）分；一般得0.7（含）</w:t>
            </w:r>
            <w:r>
              <w:rPr>
                <w:rFonts w:ascii="Arial" w:hAnsi="Arial" w:eastAsia="等线" w:cs="Arial"/>
                <w:color w:val="auto"/>
                <w:sz w:val="20"/>
                <w:szCs w:val="20"/>
                <w:highlight w:val="none"/>
                <w:shd w:val="clear" w:color="auto" w:fill="FFFFFF"/>
              </w:rPr>
              <w:t>~</w:t>
            </w:r>
            <w:r>
              <w:rPr>
                <w:rFonts w:hint="eastAsia"/>
                <w:color w:val="auto"/>
                <w:highlight w:val="none"/>
              </w:rPr>
              <w:t>0.8（不含）分；没有不得分。</w:t>
            </w:r>
          </w:p>
        </w:tc>
        <w:tc>
          <w:tcPr>
            <w:tcW w:w="750" w:type="dxa"/>
            <w:tcBorders>
              <w:top w:val="single" w:color="auto" w:sz="4" w:space="0"/>
            </w:tcBorders>
            <w:noWrap/>
            <w:vAlign w:val="center"/>
          </w:tcPr>
          <w:p w14:paraId="77D588BF">
            <w:pPr>
              <w:keepNext/>
              <w:jc w:val="center"/>
              <w:rPr>
                <w:rFonts w:hint="eastAsia" w:ascii="宋体" w:hAnsi="宋体" w:cs="宋体"/>
                <w:color w:val="auto"/>
                <w:kern w:val="0"/>
                <w:highlight w:val="none"/>
              </w:rPr>
            </w:pPr>
          </w:p>
        </w:tc>
      </w:tr>
      <w:tr w14:paraId="7F0D1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trPr>
        <w:tc>
          <w:tcPr>
            <w:tcW w:w="775" w:type="dxa"/>
            <w:tcBorders>
              <w:top w:val="single" w:color="auto" w:sz="4" w:space="0"/>
              <w:bottom w:val="single" w:color="auto" w:sz="4" w:space="0"/>
            </w:tcBorders>
            <w:noWrap/>
            <w:vAlign w:val="center"/>
          </w:tcPr>
          <w:p w14:paraId="58653AC6">
            <w:pPr>
              <w:keepNext/>
              <w:jc w:val="center"/>
              <w:rPr>
                <w:rFonts w:hint="eastAsia" w:ascii="宋体" w:hAnsi="宋体" w:cs="宋体"/>
                <w:b/>
                <w:color w:val="auto"/>
                <w:kern w:val="0"/>
                <w:highlight w:val="none"/>
              </w:rPr>
            </w:pPr>
            <w:r>
              <w:rPr>
                <w:rFonts w:hint="eastAsia" w:ascii="宋体" w:hAnsi="宋体" w:cs="宋体"/>
                <w:b/>
                <w:color w:val="auto"/>
                <w:kern w:val="0"/>
                <w:highlight w:val="none"/>
              </w:rPr>
              <w:t>三</w:t>
            </w:r>
          </w:p>
        </w:tc>
        <w:tc>
          <w:tcPr>
            <w:tcW w:w="2250" w:type="dxa"/>
            <w:tcBorders>
              <w:top w:val="single" w:color="auto" w:sz="4" w:space="0"/>
              <w:bottom w:val="single" w:color="auto" w:sz="4" w:space="0"/>
            </w:tcBorders>
            <w:noWrap/>
            <w:vAlign w:val="center"/>
          </w:tcPr>
          <w:p w14:paraId="3E8CABC6">
            <w:pPr>
              <w:keepNext/>
              <w:jc w:val="center"/>
              <w:rPr>
                <w:rFonts w:hint="eastAsia" w:ascii="宋体" w:hAnsi="宋体" w:cs="宋体"/>
                <w:b/>
                <w:color w:val="auto"/>
                <w:kern w:val="0"/>
                <w:highlight w:val="none"/>
              </w:rPr>
            </w:pPr>
            <w:r>
              <w:rPr>
                <w:rFonts w:hint="eastAsia" w:ascii="宋体" w:hAnsi="宋体" w:cs="宋体"/>
                <w:b/>
                <w:color w:val="auto"/>
                <w:kern w:val="0"/>
                <w:highlight w:val="none"/>
              </w:rPr>
              <w:t>其它因素</w:t>
            </w:r>
          </w:p>
        </w:tc>
        <w:tc>
          <w:tcPr>
            <w:tcW w:w="1052" w:type="dxa"/>
            <w:tcBorders>
              <w:top w:val="single" w:color="auto" w:sz="4" w:space="0"/>
              <w:bottom w:val="single" w:color="auto" w:sz="4" w:space="0"/>
            </w:tcBorders>
            <w:noWrap/>
            <w:vAlign w:val="center"/>
          </w:tcPr>
          <w:p w14:paraId="35A6AFB6">
            <w:pPr>
              <w:keepNext/>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5</w:t>
            </w:r>
          </w:p>
        </w:tc>
        <w:tc>
          <w:tcPr>
            <w:tcW w:w="5736" w:type="dxa"/>
            <w:tcBorders>
              <w:top w:val="single" w:color="auto" w:sz="4" w:space="0"/>
              <w:bottom w:val="single" w:color="auto" w:sz="4" w:space="0"/>
            </w:tcBorders>
            <w:noWrap/>
            <w:vAlign w:val="center"/>
          </w:tcPr>
          <w:p w14:paraId="56AF985B">
            <w:pPr>
              <w:keepNext/>
              <w:rPr>
                <w:rFonts w:hint="eastAsia" w:ascii="宋体" w:hAnsi="宋体" w:cs="宋体"/>
                <w:color w:val="auto"/>
                <w:kern w:val="0"/>
                <w:highlight w:val="none"/>
              </w:rPr>
            </w:pPr>
          </w:p>
        </w:tc>
        <w:tc>
          <w:tcPr>
            <w:tcW w:w="750" w:type="dxa"/>
            <w:tcBorders>
              <w:top w:val="single" w:color="auto" w:sz="4" w:space="0"/>
              <w:bottom w:val="single" w:color="auto" w:sz="4" w:space="0"/>
            </w:tcBorders>
            <w:noWrap/>
            <w:vAlign w:val="center"/>
          </w:tcPr>
          <w:p w14:paraId="2974C097">
            <w:pPr>
              <w:keepNext/>
              <w:jc w:val="center"/>
              <w:rPr>
                <w:rFonts w:hint="eastAsia" w:ascii="宋体" w:hAnsi="宋体" w:cs="宋体"/>
                <w:color w:val="auto"/>
                <w:kern w:val="0"/>
                <w:highlight w:val="none"/>
              </w:rPr>
            </w:pPr>
          </w:p>
        </w:tc>
      </w:tr>
      <w:tr w14:paraId="51843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0" w:hRule="atLeast"/>
          <w:tblHeader/>
        </w:trPr>
        <w:tc>
          <w:tcPr>
            <w:tcW w:w="775" w:type="dxa"/>
            <w:tcBorders>
              <w:top w:val="single" w:color="auto" w:sz="4" w:space="0"/>
              <w:bottom w:val="single" w:color="auto" w:sz="4" w:space="0"/>
            </w:tcBorders>
            <w:noWrap/>
            <w:vAlign w:val="center"/>
          </w:tcPr>
          <w:p w14:paraId="3486EA67">
            <w:pPr>
              <w:keepNext/>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2250" w:type="dxa"/>
            <w:tcBorders>
              <w:top w:val="single" w:color="auto" w:sz="4" w:space="0"/>
              <w:bottom w:val="single" w:color="auto" w:sz="4" w:space="0"/>
            </w:tcBorders>
            <w:noWrap/>
            <w:vAlign w:val="center"/>
          </w:tcPr>
          <w:p w14:paraId="36DB53CD">
            <w:pPr>
              <w:keepNext/>
              <w:jc w:val="center"/>
              <w:rPr>
                <w:rFonts w:hint="eastAsia" w:ascii="宋体" w:hAnsi="宋体" w:cs="宋体"/>
                <w:color w:val="auto"/>
                <w:kern w:val="0"/>
                <w:highlight w:val="none"/>
              </w:rPr>
            </w:pPr>
            <w:r>
              <w:rPr>
                <w:rFonts w:hint="eastAsia" w:ascii="宋体" w:hAnsi="宋体" w:cs="宋体"/>
                <w:color w:val="auto"/>
                <w:kern w:val="0"/>
                <w:highlight w:val="none"/>
              </w:rPr>
              <w:t>企业业绩</w:t>
            </w:r>
          </w:p>
        </w:tc>
        <w:tc>
          <w:tcPr>
            <w:tcW w:w="1052" w:type="dxa"/>
            <w:tcBorders>
              <w:top w:val="single" w:color="auto" w:sz="4" w:space="0"/>
              <w:bottom w:val="single" w:color="auto" w:sz="4" w:space="0"/>
            </w:tcBorders>
            <w:noWrap/>
            <w:vAlign w:val="center"/>
          </w:tcPr>
          <w:p w14:paraId="172AA5E8">
            <w:pPr>
              <w:keepNext/>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5736" w:type="dxa"/>
            <w:tcBorders>
              <w:top w:val="single" w:color="auto" w:sz="4" w:space="0"/>
              <w:bottom w:val="single" w:color="auto" w:sz="4" w:space="0"/>
            </w:tcBorders>
            <w:noWrap/>
            <w:vAlign w:val="center"/>
          </w:tcPr>
          <w:p w14:paraId="5A2B853A">
            <w:pPr>
              <w:keepNext/>
              <w:rPr>
                <w:rFonts w:hint="eastAsia" w:ascii="宋体" w:hAnsi="宋体" w:cs="宋体"/>
                <w:color w:val="auto"/>
                <w:kern w:val="0"/>
                <w:highlight w:val="none"/>
              </w:rPr>
            </w:pPr>
            <w:r>
              <w:rPr>
                <w:rFonts w:hint="eastAsia"/>
                <w:color w:val="auto"/>
                <w:highlight w:val="none"/>
              </w:rPr>
              <w:t>投标企业</w:t>
            </w:r>
            <w:bookmarkStart w:id="14" w:name="OLE_LINK20"/>
            <w:r>
              <w:rPr>
                <w:rFonts w:hint="eastAsia"/>
                <w:color w:val="auto"/>
                <w:highlight w:val="none"/>
              </w:rPr>
              <w:t>近五年（从招标公告发布之日起倒算）完成过工程造价145万元及以上且已通过完工或竣工验收的水利工程、高标准农田施工业绩。【投标人业绩证明材料需提供中标通知书（或直接发包备案书）原件、施工合同原件、工程完工（竣工）验收鉴定书原件或由设计单位（若有）、监理单位（若有）、建设单位及施工单位四方签字并加盖公章完工（竣工）验收证明原件。工程造价以中标通知书（或直接发包备案书）或合同所载为准，时间以竣工或完工验收时间为准。】只有一个上述业绩不得分，具有上述二个及以上业绩得2分。（须提供有效证明材料原件，否则不得分）。</w:t>
            </w:r>
            <w:bookmarkEnd w:id="14"/>
          </w:p>
        </w:tc>
        <w:tc>
          <w:tcPr>
            <w:tcW w:w="750" w:type="dxa"/>
            <w:tcBorders>
              <w:top w:val="single" w:color="auto" w:sz="4" w:space="0"/>
              <w:bottom w:val="single" w:color="auto" w:sz="4" w:space="0"/>
            </w:tcBorders>
            <w:noWrap/>
            <w:vAlign w:val="center"/>
          </w:tcPr>
          <w:p w14:paraId="52A2FB01">
            <w:pPr>
              <w:keepNext/>
              <w:jc w:val="center"/>
              <w:rPr>
                <w:rFonts w:hint="eastAsia" w:ascii="宋体" w:hAnsi="宋体" w:cs="宋体"/>
                <w:color w:val="auto"/>
                <w:kern w:val="0"/>
                <w:highlight w:val="none"/>
              </w:rPr>
            </w:pPr>
          </w:p>
        </w:tc>
      </w:tr>
      <w:tr w14:paraId="57127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7" w:hRule="atLeast"/>
          <w:tblHeader/>
        </w:trPr>
        <w:tc>
          <w:tcPr>
            <w:tcW w:w="775" w:type="dxa"/>
            <w:tcBorders>
              <w:top w:val="single" w:color="auto" w:sz="4" w:space="0"/>
              <w:bottom w:val="single" w:color="auto" w:sz="4" w:space="0"/>
            </w:tcBorders>
            <w:noWrap/>
            <w:vAlign w:val="center"/>
          </w:tcPr>
          <w:p w14:paraId="580AE470">
            <w:pPr>
              <w:keepNext/>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2250" w:type="dxa"/>
            <w:tcBorders>
              <w:top w:val="single" w:color="auto" w:sz="4" w:space="0"/>
              <w:bottom w:val="single" w:color="auto" w:sz="4" w:space="0"/>
            </w:tcBorders>
            <w:noWrap/>
            <w:vAlign w:val="center"/>
          </w:tcPr>
          <w:p w14:paraId="34EA934D">
            <w:pPr>
              <w:keepNext/>
              <w:jc w:val="center"/>
              <w:rPr>
                <w:rFonts w:hint="eastAsia" w:ascii="宋体" w:hAnsi="宋体" w:cs="宋体"/>
                <w:color w:val="auto"/>
                <w:kern w:val="0"/>
                <w:highlight w:val="none"/>
              </w:rPr>
            </w:pPr>
            <w:r>
              <w:rPr>
                <w:rFonts w:hint="eastAsia" w:ascii="宋体" w:hAnsi="宋体" w:cs="宋体"/>
                <w:color w:val="auto"/>
                <w:kern w:val="0"/>
                <w:highlight w:val="none"/>
              </w:rPr>
              <w:t>项目负责人业绩</w:t>
            </w:r>
          </w:p>
        </w:tc>
        <w:tc>
          <w:tcPr>
            <w:tcW w:w="1052" w:type="dxa"/>
            <w:tcBorders>
              <w:top w:val="single" w:color="auto" w:sz="4" w:space="0"/>
              <w:bottom w:val="single" w:color="auto" w:sz="4" w:space="0"/>
            </w:tcBorders>
            <w:noWrap/>
            <w:vAlign w:val="center"/>
          </w:tcPr>
          <w:p w14:paraId="2621B90E">
            <w:pPr>
              <w:keepNext/>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5736" w:type="dxa"/>
            <w:tcBorders>
              <w:top w:val="single" w:color="auto" w:sz="4" w:space="0"/>
              <w:bottom w:val="single" w:color="auto" w:sz="4" w:space="0"/>
            </w:tcBorders>
            <w:noWrap/>
            <w:vAlign w:val="center"/>
          </w:tcPr>
          <w:p w14:paraId="76C51DE2">
            <w:pPr>
              <w:keepNext/>
              <w:rPr>
                <w:rFonts w:hint="eastAsia" w:ascii="宋体" w:hAnsi="宋体" w:cs="宋体"/>
                <w:b/>
                <w:color w:val="auto"/>
                <w:highlight w:val="none"/>
              </w:rPr>
            </w:pPr>
            <w:bookmarkStart w:id="15" w:name="OLE_LINK24"/>
            <w:r>
              <w:rPr>
                <w:rFonts w:hint="eastAsia" w:ascii="宋体" w:hAnsi="宋体" w:cs="宋体"/>
                <w:color w:val="auto"/>
                <w:kern w:val="0"/>
                <w:highlight w:val="none"/>
              </w:rPr>
              <w:t>项目负责人</w:t>
            </w:r>
            <w:r>
              <w:rPr>
                <w:rFonts w:hint="eastAsia"/>
                <w:color w:val="auto"/>
                <w:highlight w:val="none"/>
              </w:rPr>
              <w:t>近五年（从招标公告发布之日起倒算）完成过工程造价145万元及以上且已通过完工或竣工验收的水利工程、高标准农田施工业绩。【投标人业绩证明材料需提供中标通知书（或直接发包备案书）原件、施工合同原件、工程完工（竣工）验收鉴定书原件或由设计单位（若有）、监理单位（若有）、建设单位及施工单位四方签字并加盖公章完工（竣工）验收证明原件。工程造价以中标通知书（或直接发包备案书）或合同所载为准，时间以竣工或完工验收时间为准。】只有一个上述业绩不得分，具有上述二个及以上业绩得2分。（须提供有效证明材料原件，否则不得分）。</w:t>
            </w:r>
            <w:bookmarkEnd w:id="15"/>
          </w:p>
        </w:tc>
        <w:tc>
          <w:tcPr>
            <w:tcW w:w="750" w:type="dxa"/>
            <w:tcBorders>
              <w:top w:val="single" w:color="auto" w:sz="4" w:space="0"/>
              <w:bottom w:val="single" w:color="auto" w:sz="4" w:space="0"/>
            </w:tcBorders>
            <w:noWrap/>
            <w:vAlign w:val="center"/>
          </w:tcPr>
          <w:p w14:paraId="0318521A">
            <w:pPr>
              <w:keepNext/>
              <w:jc w:val="center"/>
              <w:rPr>
                <w:rFonts w:hint="eastAsia" w:ascii="宋体" w:hAnsi="宋体" w:cs="宋体"/>
                <w:color w:val="auto"/>
                <w:kern w:val="0"/>
                <w:highlight w:val="none"/>
              </w:rPr>
            </w:pPr>
          </w:p>
        </w:tc>
      </w:tr>
      <w:tr w14:paraId="405FD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blHeader/>
        </w:trPr>
        <w:tc>
          <w:tcPr>
            <w:tcW w:w="775" w:type="dxa"/>
            <w:tcBorders>
              <w:top w:val="single" w:color="auto" w:sz="4" w:space="0"/>
              <w:bottom w:val="single" w:color="auto" w:sz="4" w:space="0"/>
            </w:tcBorders>
            <w:noWrap/>
            <w:vAlign w:val="center"/>
          </w:tcPr>
          <w:p w14:paraId="799D300F">
            <w:pPr>
              <w:keepNext/>
              <w:jc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2250" w:type="dxa"/>
            <w:tcBorders>
              <w:top w:val="single" w:color="auto" w:sz="4" w:space="0"/>
              <w:bottom w:val="single" w:color="auto" w:sz="4" w:space="0"/>
            </w:tcBorders>
            <w:noWrap/>
            <w:vAlign w:val="center"/>
          </w:tcPr>
          <w:p w14:paraId="1E499DBF">
            <w:pPr>
              <w:keepNext/>
              <w:jc w:val="center"/>
              <w:rPr>
                <w:rFonts w:hint="eastAsia" w:ascii="宋体" w:hAnsi="宋体" w:cs="宋体"/>
                <w:color w:val="auto"/>
                <w:kern w:val="0"/>
                <w:highlight w:val="none"/>
              </w:rPr>
            </w:pPr>
            <w:r>
              <w:rPr>
                <w:rFonts w:hint="eastAsia" w:ascii="宋体" w:hAnsi="宋体" w:cs="宋体"/>
                <w:color w:val="auto"/>
                <w:kern w:val="0"/>
                <w:highlight w:val="none"/>
              </w:rPr>
              <w:t>管理体系认证</w:t>
            </w:r>
          </w:p>
        </w:tc>
        <w:tc>
          <w:tcPr>
            <w:tcW w:w="1052" w:type="dxa"/>
            <w:tcBorders>
              <w:top w:val="single" w:color="auto" w:sz="4" w:space="0"/>
              <w:bottom w:val="single" w:color="auto" w:sz="4" w:space="0"/>
            </w:tcBorders>
            <w:noWrap/>
            <w:vAlign w:val="center"/>
          </w:tcPr>
          <w:p w14:paraId="09356A41">
            <w:pPr>
              <w:keepNext/>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5736" w:type="dxa"/>
            <w:tcBorders>
              <w:top w:val="single" w:color="auto" w:sz="4" w:space="0"/>
              <w:bottom w:val="single" w:color="auto" w:sz="4" w:space="0"/>
            </w:tcBorders>
            <w:noWrap/>
            <w:vAlign w:val="center"/>
          </w:tcPr>
          <w:p w14:paraId="6FBEDF32">
            <w:pPr>
              <w:keepNex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投标人具有</w:t>
            </w:r>
            <w:r>
              <w:rPr>
                <w:rFonts w:hint="eastAsia" w:ascii="宋体" w:hAnsi="宋体" w:cs="宋体"/>
                <w:color w:val="auto"/>
                <w:kern w:val="0"/>
                <w:highlight w:val="none"/>
                <w:lang w:val="en-US" w:eastAsia="zh-CN"/>
              </w:rPr>
              <w:t>有</w:t>
            </w:r>
            <w:r>
              <w:rPr>
                <w:rFonts w:hint="eastAsia" w:ascii="宋体" w:hAnsi="宋体" w:cs="宋体"/>
                <w:color w:val="auto"/>
                <w:kern w:val="0"/>
                <w:highlight w:val="none"/>
              </w:rPr>
              <w:t>效的质量管理体系认证书（认证证书有效且须包含水利建设工程）</w:t>
            </w:r>
            <w:r>
              <w:rPr>
                <w:rFonts w:hint="eastAsia" w:ascii="宋体" w:hAnsi="宋体" w:cs="宋体"/>
                <w:color w:val="auto"/>
                <w:kern w:val="0"/>
                <w:highlight w:val="none"/>
                <w:lang w:val="en-US" w:eastAsia="zh-CN"/>
              </w:rPr>
              <w:t>的得1分。</w:t>
            </w:r>
            <w:r>
              <w:rPr>
                <w:rFonts w:hint="eastAsia" w:ascii="宋体" w:hAnsi="宋体" w:cs="宋体"/>
                <w:color w:val="auto"/>
                <w:kern w:val="0"/>
                <w:highlight w:val="none"/>
              </w:rPr>
              <w:t>（提供认证证书原件、全国认证认可信息公共服务平台查询状态为“有效”的截图并加盖投标人公章）</w:t>
            </w:r>
          </w:p>
          <w:p w14:paraId="6139E620">
            <w:pPr>
              <w:rPr>
                <w:rFonts w:hint="eastAsia"/>
                <w:color w:val="auto"/>
                <w:highlight w:val="none"/>
              </w:rPr>
            </w:pPr>
          </w:p>
        </w:tc>
        <w:tc>
          <w:tcPr>
            <w:tcW w:w="750" w:type="dxa"/>
            <w:tcBorders>
              <w:top w:val="single" w:color="auto" w:sz="4" w:space="0"/>
              <w:bottom w:val="single" w:color="auto" w:sz="4" w:space="0"/>
            </w:tcBorders>
            <w:noWrap/>
            <w:vAlign w:val="center"/>
          </w:tcPr>
          <w:p w14:paraId="053E4168">
            <w:pPr>
              <w:keepNext/>
              <w:jc w:val="center"/>
              <w:rPr>
                <w:rFonts w:hint="eastAsia" w:ascii="宋体" w:hAnsi="宋体" w:cs="宋体"/>
                <w:color w:val="auto"/>
                <w:kern w:val="0"/>
                <w:highlight w:val="none"/>
              </w:rPr>
            </w:pPr>
          </w:p>
        </w:tc>
      </w:tr>
    </w:tbl>
    <w:p w14:paraId="379BBFF9">
      <w:pPr>
        <w:tabs>
          <w:tab w:val="left" w:pos="0"/>
          <w:tab w:val="left" w:pos="993"/>
          <w:tab w:val="left" w:pos="1134"/>
        </w:tabs>
        <w:adjustRightInd w:val="0"/>
        <w:snapToGrid w:val="0"/>
        <w:spacing w:line="360" w:lineRule="auto"/>
        <w:rPr>
          <w:b/>
          <w:color w:val="auto"/>
          <w:kern w:val="0"/>
          <w:sz w:val="28"/>
          <w:szCs w:val="28"/>
          <w:highlight w:val="none"/>
        </w:rPr>
      </w:pPr>
      <w:r>
        <w:rPr>
          <w:rFonts w:hint="eastAsia"/>
          <w:b/>
          <w:color w:val="auto"/>
          <w:kern w:val="0"/>
          <w:sz w:val="28"/>
          <w:szCs w:val="28"/>
          <w:highlight w:val="none"/>
        </w:rPr>
        <w:t>注：投标文件中施工组织设计需要有目录并按评标办法的顺序装订。</w:t>
      </w:r>
    </w:p>
    <w:p w14:paraId="6D207AA3">
      <w:pPr>
        <w:rPr>
          <w:b/>
          <w:color w:val="auto"/>
          <w:kern w:val="0"/>
          <w:sz w:val="28"/>
          <w:szCs w:val="28"/>
          <w:highlight w:val="none"/>
        </w:rPr>
      </w:pPr>
      <w:r>
        <w:rPr>
          <w:rFonts w:hint="eastAsia"/>
          <w:b/>
          <w:color w:val="auto"/>
          <w:kern w:val="0"/>
          <w:sz w:val="28"/>
          <w:szCs w:val="28"/>
          <w:highlight w:val="none"/>
        </w:rPr>
        <w:br w:type="page"/>
      </w:r>
    </w:p>
    <w:p w14:paraId="120DAE7D">
      <w:pPr>
        <w:pStyle w:val="25"/>
        <w:spacing w:line="560" w:lineRule="exact"/>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附件2：</w:t>
      </w:r>
    </w:p>
    <w:p w14:paraId="31EB9AD9">
      <w:pPr>
        <w:spacing w:line="600" w:lineRule="exact"/>
        <w:jc w:val="center"/>
        <w:rPr>
          <w:rFonts w:hint="eastAsia" w:ascii="仿宋" w:hAnsi="仿宋" w:eastAsia="仿宋"/>
          <w:color w:val="auto"/>
          <w:highlight w:val="none"/>
        </w:rPr>
      </w:pPr>
      <w:r>
        <w:rPr>
          <w:rFonts w:hint="eastAsia" w:ascii="仿宋" w:hAnsi="仿宋" w:eastAsia="仿宋" w:cs="宋体"/>
          <w:b/>
          <w:bCs/>
          <w:color w:val="auto"/>
          <w:highlight w:val="none"/>
        </w:rPr>
        <w:t>零星工程投标报名表</w:t>
      </w:r>
    </w:p>
    <w:p w14:paraId="36A03B78">
      <w:pPr>
        <w:spacing w:line="600" w:lineRule="exact"/>
        <w:jc w:val="center"/>
        <w:rPr>
          <w:rFonts w:hint="eastAsia" w:ascii="仿宋" w:hAnsi="仿宋" w:eastAsia="仿宋"/>
          <w:color w:val="auto"/>
          <w:highlight w:val="none"/>
        </w:rPr>
      </w:pP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15"/>
        <w:gridCol w:w="14"/>
        <w:gridCol w:w="6396"/>
      </w:tblGrid>
      <w:tr w14:paraId="0EBC8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529" w:type="dxa"/>
            <w:gridSpan w:val="2"/>
            <w:vAlign w:val="center"/>
          </w:tcPr>
          <w:p w14:paraId="3C162CC2">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招标单位</w:t>
            </w:r>
          </w:p>
        </w:tc>
        <w:tc>
          <w:tcPr>
            <w:tcW w:w="6396" w:type="dxa"/>
            <w:vAlign w:val="center"/>
          </w:tcPr>
          <w:p w14:paraId="39BFD0DD">
            <w:pPr>
              <w:autoSpaceDE w:val="0"/>
              <w:autoSpaceDN w:val="0"/>
              <w:spacing w:line="560" w:lineRule="exact"/>
              <w:jc w:val="center"/>
              <w:rPr>
                <w:rFonts w:hint="eastAsia" w:ascii="仿宋" w:hAnsi="仿宋" w:eastAsia="仿宋" w:cs="宋体"/>
                <w:bCs/>
                <w:color w:val="auto"/>
                <w:kern w:val="0"/>
                <w:highlight w:val="none"/>
              </w:rPr>
            </w:pPr>
            <w:r>
              <w:rPr>
                <w:rFonts w:hint="eastAsia" w:ascii="仿宋" w:hAnsi="仿宋" w:eastAsia="仿宋" w:cs="宋体"/>
                <w:bCs/>
                <w:color w:val="auto"/>
                <w:kern w:val="0"/>
                <w:highlight w:val="none"/>
              </w:rPr>
              <w:t>奔牛镇人民政府（农村工作办公室）</w:t>
            </w:r>
          </w:p>
        </w:tc>
      </w:tr>
      <w:tr w14:paraId="2C723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715D49B1">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项目名称</w:t>
            </w:r>
          </w:p>
        </w:tc>
        <w:tc>
          <w:tcPr>
            <w:tcW w:w="6396" w:type="dxa"/>
            <w:vAlign w:val="center"/>
          </w:tcPr>
          <w:p w14:paraId="22E0FDB8">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 xml:space="preserve">2025年度常州市新北区奔牛镇何家塘村区级高标准农田建设项目 </w:t>
            </w:r>
          </w:p>
        </w:tc>
      </w:tr>
      <w:tr w14:paraId="2E011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35AA9626">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项目地址</w:t>
            </w:r>
          </w:p>
        </w:tc>
        <w:tc>
          <w:tcPr>
            <w:tcW w:w="6396" w:type="dxa"/>
            <w:vAlign w:val="center"/>
          </w:tcPr>
          <w:p w14:paraId="6C4F01B3">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新北区奔牛镇何家塘村</w:t>
            </w:r>
          </w:p>
        </w:tc>
      </w:tr>
      <w:tr w14:paraId="04A71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8925" w:type="dxa"/>
            <w:gridSpan w:val="3"/>
            <w:vAlign w:val="center"/>
          </w:tcPr>
          <w:p w14:paraId="7BF51803">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投标单位报名情况</w:t>
            </w:r>
          </w:p>
        </w:tc>
      </w:tr>
      <w:tr w14:paraId="5C0F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1A436472">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投标单位（盖章）</w:t>
            </w:r>
          </w:p>
        </w:tc>
        <w:tc>
          <w:tcPr>
            <w:tcW w:w="6410" w:type="dxa"/>
            <w:gridSpan w:val="2"/>
            <w:vAlign w:val="center"/>
          </w:tcPr>
          <w:p w14:paraId="26711A6B">
            <w:pPr>
              <w:autoSpaceDE w:val="0"/>
              <w:autoSpaceDN w:val="0"/>
              <w:spacing w:line="560" w:lineRule="exact"/>
              <w:jc w:val="center"/>
              <w:rPr>
                <w:rFonts w:hint="eastAsia" w:ascii="仿宋" w:hAnsi="仿宋" w:eastAsia="仿宋" w:cs="宋体"/>
                <w:color w:val="auto"/>
                <w:kern w:val="0"/>
                <w:highlight w:val="none"/>
              </w:rPr>
            </w:pPr>
          </w:p>
        </w:tc>
      </w:tr>
      <w:tr w14:paraId="1910D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5200E97F">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资质等级</w:t>
            </w:r>
          </w:p>
        </w:tc>
        <w:tc>
          <w:tcPr>
            <w:tcW w:w="6410" w:type="dxa"/>
            <w:gridSpan w:val="2"/>
            <w:vAlign w:val="center"/>
          </w:tcPr>
          <w:p w14:paraId="080A955E">
            <w:pPr>
              <w:autoSpaceDE w:val="0"/>
              <w:autoSpaceDN w:val="0"/>
              <w:spacing w:line="560" w:lineRule="exact"/>
              <w:jc w:val="center"/>
              <w:rPr>
                <w:rFonts w:hint="eastAsia" w:ascii="仿宋" w:hAnsi="仿宋" w:eastAsia="仿宋" w:cs="宋体"/>
                <w:color w:val="auto"/>
                <w:kern w:val="0"/>
                <w:highlight w:val="none"/>
              </w:rPr>
            </w:pPr>
          </w:p>
        </w:tc>
      </w:tr>
      <w:tr w14:paraId="321C9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3714842C">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法定代表人及联系电话</w:t>
            </w:r>
          </w:p>
        </w:tc>
        <w:tc>
          <w:tcPr>
            <w:tcW w:w="6410" w:type="dxa"/>
            <w:gridSpan w:val="2"/>
            <w:vAlign w:val="center"/>
          </w:tcPr>
          <w:p w14:paraId="291F556A">
            <w:pPr>
              <w:autoSpaceDE w:val="0"/>
              <w:autoSpaceDN w:val="0"/>
              <w:spacing w:line="560" w:lineRule="exact"/>
              <w:jc w:val="center"/>
              <w:rPr>
                <w:rFonts w:hint="eastAsia" w:ascii="仿宋" w:hAnsi="仿宋" w:eastAsia="仿宋" w:cs="宋体"/>
                <w:color w:val="auto"/>
                <w:kern w:val="0"/>
                <w:highlight w:val="none"/>
              </w:rPr>
            </w:pPr>
          </w:p>
        </w:tc>
      </w:tr>
      <w:tr w14:paraId="15361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15" w:type="dxa"/>
            <w:vAlign w:val="center"/>
          </w:tcPr>
          <w:p w14:paraId="0ED8B07D">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投标负责人及联系电话</w:t>
            </w:r>
          </w:p>
        </w:tc>
        <w:tc>
          <w:tcPr>
            <w:tcW w:w="6410" w:type="dxa"/>
            <w:gridSpan w:val="2"/>
            <w:vAlign w:val="center"/>
          </w:tcPr>
          <w:p w14:paraId="29F77451">
            <w:pPr>
              <w:autoSpaceDE w:val="0"/>
              <w:autoSpaceDN w:val="0"/>
              <w:spacing w:line="560" w:lineRule="exact"/>
              <w:jc w:val="left"/>
              <w:rPr>
                <w:rFonts w:hint="eastAsia" w:ascii="仿宋" w:hAnsi="仿宋" w:eastAsia="仿宋" w:cs="宋体"/>
                <w:color w:val="auto"/>
                <w:kern w:val="0"/>
                <w:highlight w:val="none"/>
              </w:rPr>
            </w:pPr>
          </w:p>
        </w:tc>
      </w:tr>
      <w:tr w14:paraId="6806B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5722F0D5">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邮箱地址</w:t>
            </w:r>
          </w:p>
        </w:tc>
        <w:tc>
          <w:tcPr>
            <w:tcW w:w="6410" w:type="dxa"/>
            <w:gridSpan w:val="2"/>
            <w:vAlign w:val="center"/>
          </w:tcPr>
          <w:p w14:paraId="727E0806">
            <w:pPr>
              <w:autoSpaceDE w:val="0"/>
              <w:autoSpaceDN w:val="0"/>
              <w:spacing w:line="560" w:lineRule="exact"/>
              <w:jc w:val="center"/>
              <w:rPr>
                <w:rFonts w:hint="eastAsia" w:ascii="仿宋" w:hAnsi="仿宋" w:eastAsia="仿宋" w:cs="宋体"/>
                <w:color w:val="auto"/>
                <w:kern w:val="0"/>
                <w:highlight w:val="none"/>
              </w:rPr>
            </w:pPr>
          </w:p>
        </w:tc>
      </w:tr>
      <w:tr w14:paraId="37CC9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64964079">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投标报名时间</w:t>
            </w:r>
          </w:p>
        </w:tc>
        <w:tc>
          <w:tcPr>
            <w:tcW w:w="6410" w:type="dxa"/>
            <w:gridSpan w:val="2"/>
            <w:vAlign w:val="center"/>
          </w:tcPr>
          <w:p w14:paraId="73344875">
            <w:pPr>
              <w:autoSpaceDE w:val="0"/>
              <w:autoSpaceDN w:val="0"/>
              <w:spacing w:line="560" w:lineRule="exact"/>
              <w:jc w:val="center"/>
              <w:rPr>
                <w:rFonts w:hint="eastAsia" w:ascii="仿宋" w:hAnsi="仿宋" w:eastAsia="仿宋" w:cs="宋体"/>
                <w:color w:val="auto"/>
                <w:kern w:val="0"/>
                <w:highlight w:val="none"/>
              </w:rPr>
            </w:pPr>
          </w:p>
        </w:tc>
      </w:tr>
      <w:tr w14:paraId="44D53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5" w:hRule="atLeast"/>
          <w:jc w:val="center"/>
        </w:trPr>
        <w:tc>
          <w:tcPr>
            <w:tcW w:w="2515" w:type="dxa"/>
            <w:vAlign w:val="center"/>
          </w:tcPr>
          <w:p w14:paraId="3FAD03A5">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投标报名接受人</w:t>
            </w:r>
          </w:p>
          <w:p w14:paraId="6B7198B8">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审查意见</w:t>
            </w:r>
          </w:p>
        </w:tc>
        <w:tc>
          <w:tcPr>
            <w:tcW w:w="6410" w:type="dxa"/>
            <w:gridSpan w:val="2"/>
            <w:vAlign w:val="center"/>
          </w:tcPr>
          <w:p w14:paraId="7FFCCB7E">
            <w:pPr>
              <w:autoSpaceDE w:val="0"/>
              <w:autoSpaceDN w:val="0"/>
              <w:spacing w:line="560" w:lineRule="exact"/>
              <w:jc w:val="center"/>
              <w:rPr>
                <w:rFonts w:hint="eastAsia" w:ascii="仿宋" w:hAnsi="仿宋" w:eastAsia="仿宋" w:cs="宋体"/>
                <w:color w:val="auto"/>
                <w:kern w:val="0"/>
                <w:highlight w:val="none"/>
              </w:rPr>
            </w:pPr>
          </w:p>
          <w:p w14:paraId="20179C55">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 xml:space="preserve">       审查人签名：       日期：</w:t>
            </w:r>
          </w:p>
        </w:tc>
      </w:tr>
      <w:tr w14:paraId="54345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4" w:hRule="atLeast"/>
          <w:jc w:val="center"/>
        </w:trPr>
        <w:tc>
          <w:tcPr>
            <w:tcW w:w="2515" w:type="dxa"/>
            <w:vAlign w:val="center"/>
          </w:tcPr>
          <w:p w14:paraId="41B5BDD0">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备  注</w:t>
            </w:r>
          </w:p>
        </w:tc>
        <w:tc>
          <w:tcPr>
            <w:tcW w:w="6410" w:type="dxa"/>
            <w:gridSpan w:val="2"/>
            <w:vAlign w:val="center"/>
          </w:tcPr>
          <w:p w14:paraId="743FADCD">
            <w:pPr>
              <w:autoSpaceDE w:val="0"/>
              <w:autoSpaceDN w:val="0"/>
              <w:spacing w:line="560" w:lineRule="exact"/>
              <w:rPr>
                <w:rFonts w:hint="eastAsia" w:ascii="仿宋" w:hAnsi="仿宋" w:eastAsia="仿宋" w:cs="宋体"/>
                <w:color w:val="auto"/>
                <w:kern w:val="0"/>
                <w:highlight w:val="none"/>
              </w:rPr>
            </w:pPr>
            <w:r>
              <w:rPr>
                <w:rFonts w:hint="eastAsia" w:ascii="仿宋" w:hAnsi="仿宋" w:eastAsia="仿宋" w:cs="宋体"/>
                <w:color w:val="auto"/>
                <w:kern w:val="0"/>
                <w:highlight w:val="none"/>
              </w:rPr>
              <w:t>1．投标报名人应如实填写；</w:t>
            </w:r>
          </w:p>
          <w:p w14:paraId="49FB7820">
            <w:pPr>
              <w:autoSpaceDE w:val="0"/>
              <w:autoSpaceDN w:val="0"/>
              <w:spacing w:line="560" w:lineRule="exact"/>
              <w:rPr>
                <w:rFonts w:hint="eastAsia" w:ascii="仿宋" w:hAnsi="仿宋" w:eastAsia="仿宋" w:cs="宋体"/>
                <w:color w:val="auto"/>
                <w:kern w:val="0"/>
                <w:highlight w:val="none"/>
              </w:rPr>
            </w:pPr>
            <w:r>
              <w:rPr>
                <w:rFonts w:hint="eastAsia" w:ascii="仿宋" w:hAnsi="仿宋" w:eastAsia="仿宋" w:cs="宋体"/>
                <w:color w:val="auto"/>
                <w:kern w:val="0"/>
                <w:highlight w:val="none"/>
              </w:rPr>
              <w:t>2．所有资料、证书原件和复印件应当相符，原件由接受人审查后退还，复印件留存；</w:t>
            </w:r>
          </w:p>
          <w:p w14:paraId="4F3C37C5">
            <w:pPr>
              <w:autoSpaceDE w:val="0"/>
              <w:autoSpaceDN w:val="0"/>
              <w:spacing w:line="560" w:lineRule="exact"/>
              <w:rPr>
                <w:rFonts w:hint="eastAsia" w:ascii="仿宋" w:hAnsi="仿宋" w:eastAsia="仿宋" w:cs="宋体"/>
                <w:color w:val="auto"/>
                <w:kern w:val="0"/>
                <w:highlight w:val="none"/>
              </w:rPr>
            </w:pPr>
            <w:r>
              <w:rPr>
                <w:rFonts w:hint="eastAsia" w:ascii="仿宋" w:hAnsi="仿宋" w:eastAsia="仿宋" w:cs="宋体"/>
                <w:color w:val="auto"/>
                <w:kern w:val="0"/>
                <w:highlight w:val="none"/>
              </w:rPr>
              <w:t>3．投标报名结束后，招标人应当进行汇总并报送单位领导小组备案。</w:t>
            </w:r>
          </w:p>
        </w:tc>
      </w:tr>
    </w:tbl>
    <w:p w14:paraId="77633A9D">
      <w:pPr>
        <w:snapToGrid w:val="0"/>
        <w:rPr>
          <w:rFonts w:hint="eastAsia" w:ascii="仿宋" w:hAnsi="仿宋" w:eastAsia="仿宋"/>
          <w:color w:val="auto"/>
          <w:highlight w:val="none"/>
        </w:rPr>
      </w:pPr>
    </w:p>
    <w:p w14:paraId="34CC9784">
      <w:pPr>
        <w:snapToGrid w:val="0"/>
        <w:spacing w:line="360" w:lineRule="auto"/>
        <w:rPr>
          <w:rFonts w:hint="eastAsia" w:ascii="仿宋" w:hAnsi="仿宋" w:eastAsia="仿宋"/>
          <w:color w:val="auto"/>
          <w:spacing w:val="50"/>
          <w:highlight w:val="none"/>
        </w:rPr>
      </w:pPr>
      <w:r>
        <w:rPr>
          <w:rFonts w:hint="eastAsia" w:ascii="仿宋" w:hAnsi="仿宋" w:eastAsia="仿宋"/>
          <w:color w:val="auto"/>
          <w:spacing w:val="50"/>
          <w:highlight w:val="none"/>
        </w:rPr>
        <w:t xml:space="preserve"> </w:t>
      </w:r>
    </w:p>
    <w:p w14:paraId="27DD6DCF">
      <w:pPr>
        <w:pStyle w:val="6"/>
        <w:spacing w:before="312"/>
        <w:rPr>
          <w:rFonts w:hint="eastAsia" w:ascii="仿宋" w:hAnsi="仿宋" w:eastAsia="仿宋"/>
          <w:color w:val="auto"/>
          <w:sz w:val="21"/>
          <w:szCs w:val="21"/>
          <w:highlight w:val="none"/>
        </w:rPr>
      </w:pPr>
    </w:p>
    <w:p w14:paraId="74CA6348">
      <w:pPr>
        <w:rPr>
          <w:rFonts w:hint="eastAsia" w:ascii="仿宋" w:hAnsi="仿宋" w:eastAsia="仿宋"/>
          <w:color w:val="auto"/>
          <w:spacing w:val="50"/>
          <w:highlight w:val="none"/>
        </w:rPr>
      </w:pPr>
    </w:p>
    <w:p w14:paraId="134FAD22">
      <w:pPr>
        <w:rPr>
          <w:rFonts w:hint="eastAsia" w:ascii="仿宋" w:hAnsi="仿宋" w:eastAsia="仿宋"/>
          <w:color w:val="auto"/>
          <w:kern w:val="0"/>
          <w:highlight w:val="none"/>
        </w:rPr>
      </w:pPr>
      <w:r>
        <w:rPr>
          <w:rFonts w:hint="eastAsia" w:ascii="仿宋" w:hAnsi="仿宋" w:eastAsia="仿宋"/>
          <w:color w:val="auto"/>
          <w:kern w:val="0"/>
          <w:highlight w:val="none"/>
        </w:rPr>
        <w:br w:type="page"/>
      </w:r>
    </w:p>
    <w:p w14:paraId="72B19B15">
      <w:pPr>
        <w:tabs>
          <w:tab w:val="left" w:pos="0"/>
          <w:tab w:val="left" w:pos="993"/>
          <w:tab w:val="left" w:pos="1134"/>
        </w:tabs>
        <w:adjustRightInd w:val="0"/>
        <w:snapToGrid w:val="0"/>
        <w:spacing w:line="360" w:lineRule="auto"/>
        <w:rPr>
          <w:rFonts w:hint="eastAsia" w:ascii="仿宋" w:hAnsi="仿宋" w:eastAsia="仿宋"/>
          <w:color w:val="auto"/>
          <w:kern w:val="0"/>
          <w:highlight w:val="none"/>
        </w:rPr>
      </w:pPr>
      <w:r>
        <w:rPr>
          <w:rFonts w:hint="eastAsia" w:ascii="仿宋" w:hAnsi="仿宋" w:eastAsia="仿宋"/>
          <w:color w:val="auto"/>
          <w:kern w:val="0"/>
          <w:highlight w:val="none"/>
        </w:rPr>
        <w:t>附件3：授权委托书格式</w:t>
      </w:r>
    </w:p>
    <w:p w14:paraId="22977B80">
      <w:pPr>
        <w:widowControl/>
        <w:shd w:val="clear" w:color="auto" w:fill="FFFFFF"/>
        <w:spacing w:line="600" w:lineRule="atLeast"/>
        <w:jc w:val="center"/>
        <w:rPr>
          <w:rFonts w:hint="eastAsia" w:ascii="仿宋" w:hAnsi="仿宋" w:eastAsia="仿宋"/>
          <w:color w:val="auto"/>
          <w:kern w:val="0"/>
          <w:highlight w:val="none"/>
        </w:rPr>
      </w:pPr>
      <w:r>
        <w:rPr>
          <w:rFonts w:hint="eastAsia" w:ascii="仿宋" w:hAnsi="仿宋" w:eastAsia="仿宋"/>
          <w:b/>
          <w:bCs/>
          <w:color w:val="auto"/>
          <w:kern w:val="0"/>
          <w:highlight w:val="none"/>
        </w:rPr>
        <w:t>授权委托书</w:t>
      </w:r>
    </w:p>
    <w:p w14:paraId="2869B58B">
      <w:pPr>
        <w:widowControl/>
        <w:shd w:val="clear" w:color="auto" w:fill="FFFFFF"/>
        <w:spacing w:line="600" w:lineRule="atLeast"/>
        <w:jc w:val="center"/>
        <w:rPr>
          <w:rFonts w:hint="eastAsia" w:ascii="仿宋" w:hAnsi="仿宋" w:eastAsia="仿宋"/>
          <w:color w:val="auto"/>
          <w:kern w:val="0"/>
          <w:highlight w:val="none"/>
        </w:rPr>
      </w:pPr>
      <w:r>
        <w:rPr>
          <w:rFonts w:ascii="宋体" w:hAnsi="宋体" w:eastAsia="仿宋"/>
          <w:color w:val="auto"/>
          <w:kern w:val="0"/>
          <w:highlight w:val="none"/>
        </w:rPr>
        <w:t> </w:t>
      </w:r>
    </w:p>
    <w:p w14:paraId="7A665961">
      <w:pPr>
        <w:widowControl/>
        <w:shd w:val="clear" w:color="auto" w:fill="FFFFFF"/>
        <w:spacing w:line="480" w:lineRule="exact"/>
        <w:jc w:val="left"/>
        <w:rPr>
          <w:rFonts w:hint="eastAsia" w:ascii="仿宋" w:hAnsi="仿宋" w:eastAsia="仿宋"/>
          <w:color w:val="auto"/>
          <w:kern w:val="0"/>
          <w:highlight w:val="none"/>
        </w:rPr>
      </w:pPr>
      <w:r>
        <w:rPr>
          <w:rFonts w:hint="eastAsia" w:ascii="仿宋" w:hAnsi="仿宋" w:eastAsia="仿宋"/>
          <w:color w:val="auto"/>
          <w:kern w:val="0"/>
          <w:highlight w:val="none"/>
        </w:rPr>
        <w:t>致</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w:t>
      </w:r>
    </w:p>
    <w:p w14:paraId="437FCDCE">
      <w:pPr>
        <w:widowControl/>
        <w:shd w:val="clear" w:color="auto" w:fill="FFFFFF"/>
        <w:spacing w:line="480" w:lineRule="exact"/>
        <w:ind w:firstLine="672"/>
        <w:jc w:val="left"/>
        <w:rPr>
          <w:rFonts w:hint="eastAsia" w:ascii="仿宋" w:hAnsi="仿宋" w:eastAsia="仿宋"/>
          <w:color w:val="auto"/>
          <w:kern w:val="0"/>
          <w:highlight w:val="none"/>
        </w:rPr>
      </w:pPr>
      <w:r>
        <w:rPr>
          <w:rFonts w:hint="eastAsia" w:ascii="仿宋" w:hAnsi="仿宋" w:eastAsia="仿宋"/>
          <w:color w:val="auto"/>
          <w:kern w:val="0"/>
          <w:highlight w:val="none"/>
        </w:rPr>
        <w:t>本授权委托书宣告：</w:t>
      </w:r>
    </w:p>
    <w:p w14:paraId="19074383">
      <w:pPr>
        <w:widowControl/>
        <w:shd w:val="clear" w:color="auto" w:fill="FFFFFF"/>
        <w:spacing w:line="480" w:lineRule="exact"/>
        <w:ind w:firstLine="672"/>
        <w:jc w:val="left"/>
        <w:rPr>
          <w:rFonts w:hint="eastAsia" w:ascii="仿宋" w:hAnsi="仿宋" w:eastAsia="仿宋"/>
          <w:color w:val="auto"/>
          <w:kern w:val="0"/>
          <w:highlight w:val="none"/>
        </w:rPr>
      </w:pPr>
      <w:r>
        <w:rPr>
          <w:rFonts w:hint="eastAsia" w:ascii="仿宋" w:hAnsi="仿宋" w:eastAsia="仿宋"/>
          <w:color w:val="auto"/>
          <w:kern w:val="0"/>
          <w:highlight w:val="none"/>
        </w:rPr>
        <w:t>本人</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系</w:t>
      </w:r>
      <w:r>
        <w:rPr>
          <w:rFonts w:hint="eastAsia" w:ascii="宋体" w:hAnsi="宋体" w:eastAsia="仿宋"/>
          <w:color w:val="auto"/>
          <w:kern w:val="0"/>
          <w:highlight w:val="none"/>
          <w:u w:val="single"/>
        </w:rPr>
        <w:t>                    </w:t>
      </w:r>
      <w:r>
        <w:rPr>
          <w:rFonts w:hint="eastAsia" w:ascii="仿宋" w:hAnsi="仿宋" w:eastAsia="仿宋"/>
          <w:color w:val="auto"/>
          <w:kern w:val="0"/>
          <w:highlight w:val="none"/>
          <w:u w:val="single"/>
        </w:rPr>
        <w:t>（</w:t>
      </w:r>
      <w:r>
        <w:rPr>
          <w:rFonts w:hint="eastAsia" w:ascii="仿宋" w:hAnsi="仿宋" w:eastAsia="仿宋"/>
          <w:color w:val="auto"/>
          <w:kern w:val="0"/>
          <w:highlight w:val="none"/>
        </w:rPr>
        <w:t>单位）的法定代表人，现授权委托</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（职务、姓名）为我单位代理人，该代理人有权在</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工程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14:paraId="46B5ACBD">
      <w:pPr>
        <w:widowControl/>
        <w:shd w:val="clear" w:color="auto" w:fill="FFFFFF"/>
        <w:spacing w:line="480" w:lineRule="exact"/>
        <w:ind w:firstLine="561"/>
        <w:jc w:val="left"/>
        <w:rPr>
          <w:rFonts w:hint="eastAsia" w:ascii="仿宋" w:hAnsi="仿宋" w:eastAsia="仿宋"/>
          <w:color w:val="auto"/>
          <w:kern w:val="0"/>
          <w:highlight w:val="none"/>
        </w:rPr>
      </w:pPr>
      <w:r>
        <w:rPr>
          <w:rFonts w:hint="eastAsia" w:ascii="仿宋" w:hAnsi="仿宋" w:eastAsia="仿宋"/>
          <w:color w:val="auto"/>
          <w:kern w:val="0"/>
          <w:highlight w:val="none"/>
        </w:rPr>
        <w:t>委托期限：</w:t>
      </w:r>
      <w:r>
        <w:rPr>
          <w:rFonts w:hint="eastAsia" w:ascii="宋体" w:hAnsi="宋体" w:eastAsia="仿宋"/>
          <w:color w:val="auto"/>
          <w:kern w:val="0"/>
          <w:highlight w:val="none"/>
          <w:u w:val="single"/>
        </w:rPr>
        <w:t>                     </w:t>
      </w:r>
    </w:p>
    <w:p w14:paraId="42B0B8AF">
      <w:pPr>
        <w:widowControl/>
        <w:shd w:val="clear" w:color="auto" w:fill="FFFFFF"/>
        <w:spacing w:line="480" w:lineRule="exact"/>
        <w:ind w:firstLine="561"/>
        <w:jc w:val="left"/>
        <w:rPr>
          <w:rFonts w:hint="eastAsia" w:ascii="仿宋" w:hAnsi="仿宋" w:eastAsia="仿宋"/>
          <w:color w:val="auto"/>
          <w:kern w:val="0"/>
          <w:highlight w:val="none"/>
        </w:rPr>
      </w:pPr>
      <w:r>
        <w:rPr>
          <w:rFonts w:hint="eastAsia" w:ascii="仿宋" w:hAnsi="仿宋" w:eastAsia="仿宋"/>
          <w:color w:val="auto"/>
          <w:kern w:val="0"/>
          <w:highlight w:val="none"/>
        </w:rPr>
        <w:t>代理人无转委托权。</w:t>
      </w:r>
    </w:p>
    <w:p w14:paraId="10A9EC3E">
      <w:pPr>
        <w:widowControl/>
        <w:shd w:val="clear" w:color="auto" w:fill="FFFFFF"/>
        <w:spacing w:line="480" w:lineRule="exact"/>
        <w:ind w:firstLine="3150" w:firstLineChars="1500"/>
        <w:jc w:val="left"/>
        <w:rPr>
          <w:rFonts w:hint="eastAsia" w:ascii="仿宋" w:hAnsi="仿宋" w:eastAsia="仿宋"/>
          <w:color w:val="auto"/>
          <w:kern w:val="0"/>
          <w:highlight w:val="none"/>
        </w:rPr>
      </w:pPr>
      <w:r>
        <w:rPr>
          <w:rFonts w:hint="eastAsia" w:ascii="仿宋" w:hAnsi="仿宋" w:eastAsia="仿宋"/>
          <w:color w:val="auto"/>
          <w:kern w:val="0"/>
          <w:highlight w:val="none"/>
        </w:rPr>
        <w:t>投标人：</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（盖章）</w:t>
      </w:r>
    </w:p>
    <w:p w14:paraId="61D8B1C1">
      <w:pPr>
        <w:widowControl/>
        <w:shd w:val="clear" w:color="auto" w:fill="FFFFFF"/>
        <w:spacing w:line="480" w:lineRule="exact"/>
        <w:ind w:firstLine="2520"/>
        <w:jc w:val="left"/>
        <w:rPr>
          <w:rFonts w:hint="eastAsia" w:ascii="仿宋" w:hAnsi="仿宋" w:eastAsia="仿宋"/>
          <w:color w:val="auto"/>
          <w:kern w:val="0"/>
          <w:highlight w:val="none"/>
        </w:rPr>
      </w:pPr>
      <w:r>
        <w:rPr>
          <w:rFonts w:hint="eastAsia" w:ascii="宋体" w:hAnsi="宋体" w:eastAsia="仿宋"/>
          <w:color w:val="auto"/>
          <w:kern w:val="0"/>
          <w:highlight w:val="none"/>
        </w:rPr>
        <w:t> </w:t>
      </w:r>
      <w:r>
        <w:rPr>
          <w:rFonts w:hint="eastAsia" w:ascii="仿宋" w:hAnsi="仿宋" w:eastAsia="仿宋"/>
          <w:color w:val="auto"/>
          <w:kern w:val="0"/>
          <w:highlight w:val="none"/>
        </w:rPr>
        <w:t xml:space="preserve">        </w:t>
      </w:r>
    </w:p>
    <w:p w14:paraId="512831E6">
      <w:pPr>
        <w:widowControl/>
        <w:shd w:val="clear" w:color="auto" w:fill="FFFFFF"/>
        <w:spacing w:line="480" w:lineRule="exact"/>
        <w:ind w:firstLine="3082" w:firstLineChars="1468"/>
        <w:jc w:val="left"/>
        <w:rPr>
          <w:rFonts w:hint="eastAsia" w:ascii="仿宋" w:hAnsi="仿宋" w:eastAsia="仿宋"/>
          <w:color w:val="auto"/>
          <w:kern w:val="0"/>
          <w:highlight w:val="none"/>
        </w:rPr>
      </w:pPr>
      <w:r>
        <w:rPr>
          <w:rFonts w:hint="eastAsia" w:ascii="仿宋" w:hAnsi="仿宋" w:eastAsia="仿宋"/>
          <w:color w:val="auto"/>
          <w:kern w:val="0"/>
          <w:highlight w:val="none"/>
        </w:rPr>
        <w:t xml:space="preserve"> 法定代表人：</w:t>
      </w:r>
      <w:r>
        <w:rPr>
          <w:rFonts w:hint="eastAsia" w:ascii="宋体" w:hAnsi="宋体" w:eastAsia="仿宋"/>
          <w:color w:val="auto"/>
          <w:kern w:val="0"/>
          <w:highlight w:val="none"/>
          <w:u w:val="single"/>
        </w:rPr>
        <w:t> </w:t>
      </w:r>
      <w:r>
        <w:rPr>
          <w:rFonts w:hint="eastAsia" w:ascii="仿宋" w:hAnsi="仿宋" w:eastAsia="仿宋"/>
          <w:color w:val="auto"/>
          <w:kern w:val="0"/>
          <w:highlight w:val="none"/>
          <w:u w:val="single"/>
        </w:rPr>
        <w:t xml:space="preserve">    </w:t>
      </w:r>
      <w:r>
        <w:rPr>
          <w:rFonts w:hint="eastAsia" w:ascii="仿宋" w:hAnsi="仿宋" w:eastAsia="仿宋"/>
          <w:color w:val="auto"/>
          <w:kern w:val="0"/>
          <w:highlight w:val="none"/>
        </w:rPr>
        <w:t>（签字）</w:t>
      </w:r>
    </w:p>
    <w:p w14:paraId="0E0F16E7">
      <w:pPr>
        <w:widowControl/>
        <w:shd w:val="clear" w:color="auto" w:fill="FFFFFF"/>
        <w:spacing w:line="480" w:lineRule="exact"/>
        <w:ind w:right="980" w:firstLine="3045" w:firstLineChars="1450"/>
        <w:jc w:val="left"/>
        <w:rPr>
          <w:rFonts w:hint="eastAsia" w:ascii="仿宋" w:hAnsi="仿宋" w:eastAsia="仿宋"/>
          <w:color w:val="auto"/>
          <w:kern w:val="0"/>
          <w:highlight w:val="none"/>
        </w:rPr>
      </w:pPr>
      <w:r>
        <w:rPr>
          <w:rFonts w:hint="eastAsia" w:ascii="仿宋" w:hAnsi="仿宋" w:eastAsia="仿宋"/>
          <w:color w:val="auto"/>
          <w:kern w:val="0"/>
          <w:highlight w:val="none"/>
        </w:rPr>
        <w:t xml:space="preserve"> 日期：</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年</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月</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日</w:t>
      </w:r>
    </w:p>
    <w:p w14:paraId="73EE674B">
      <w:pPr>
        <w:widowControl/>
        <w:shd w:val="clear" w:color="auto" w:fill="FFFFFF"/>
        <w:spacing w:line="480" w:lineRule="exact"/>
        <w:jc w:val="left"/>
        <w:rPr>
          <w:rFonts w:hint="eastAsia" w:ascii="仿宋" w:hAnsi="仿宋" w:eastAsia="仿宋"/>
          <w:color w:val="auto"/>
          <w:kern w:val="0"/>
          <w:highlight w:val="none"/>
        </w:rPr>
      </w:pPr>
      <w:r>
        <w:rPr>
          <w:rFonts w:hint="eastAsia" w:ascii="仿宋" w:hAnsi="仿宋" w:eastAsia="仿宋"/>
          <w:b/>
          <w:bCs/>
          <w:color w:val="auto"/>
          <w:kern w:val="0"/>
          <w:highlight w:val="none"/>
        </w:rPr>
        <w:t>注：</w:t>
      </w:r>
      <w:r>
        <w:rPr>
          <w:rFonts w:hint="eastAsia" w:ascii="仿宋" w:hAnsi="仿宋" w:eastAsia="仿宋"/>
          <w:b/>
          <w:bCs/>
          <w:color w:val="auto"/>
          <w:kern w:val="0"/>
          <w:highlight w:val="none"/>
          <w:u w:val="single"/>
        </w:rPr>
        <w:t>1、法定代表人必须亲自在授权委托书上亲笔签名，不得使用印章、签名章或其他电子制版签名代替；</w:t>
      </w:r>
    </w:p>
    <w:p w14:paraId="1BFD9E1C">
      <w:pPr>
        <w:widowControl/>
        <w:shd w:val="clear" w:color="auto" w:fill="FFFFFF"/>
        <w:spacing w:line="480" w:lineRule="exact"/>
        <w:ind w:firstLine="590"/>
        <w:jc w:val="left"/>
        <w:rPr>
          <w:rFonts w:hint="eastAsia" w:ascii="仿宋" w:hAnsi="仿宋" w:eastAsia="仿宋"/>
          <w:b/>
          <w:bCs/>
          <w:color w:val="auto"/>
          <w:kern w:val="0"/>
          <w:highlight w:val="none"/>
          <w:u w:val="single"/>
        </w:rPr>
      </w:pPr>
      <w:r>
        <w:rPr>
          <w:rFonts w:hint="eastAsia" w:ascii="仿宋" w:hAnsi="仿宋" w:eastAsia="仿宋"/>
          <w:b/>
          <w:bCs/>
          <w:color w:val="auto"/>
          <w:kern w:val="0"/>
          <w:highlight w:val="none"/>
          <w:u w:val="single"/>
        </w:rPr>
        <w:t>2、本授权委托书只能授权给一名委托代理人。</w:t>
      </w:r>
    </w:p>
    <w:p w14:paraId="6BA7675E">
      <w:pPr>
        <w:widowControl/>
        <w:shd w:val="clear" w:color="auto" w:fill="FFFFFF"/>
        <w:spacing w:line="480" w:lineRule="exact"/>
        <w:ind w:firstLine="590"/>
        <w:jc w:val="left"/>
        <w:rPr>
          <w:rFonts w:hint="eastAsia" w:ascii="仿宋" w:hAnsi="仿宋" w:eastAsia="仿宋"/>
          <w:color w:val="auto"/>
          <w:kern w:val="0"/>
          <w:highlight w:val="none"/>
        </w:rPr>
      </w:pPr>
    </w:p>
    <w:p w14:paraId="10358121">
      <w:pPr>
        <w:spacing w:line="360" w:lineRule="auto"/>
        <w:jc w:val="center"/>
        <w:rPr>
          <w:rFonts w:hint="eastAsia" w:ascii="仿宋" w:hAnsi="仿宋" w:eastAsia="仿宋"/>
          <w:b/>
          <w:color w:val="auto"/>
          <w:highlight w:val="none"/>
          <w:u w:val="single"/>
        </w:rPr>
      </w:pPr>
    </w:p>
    <w:p w14:paraId="6FA78BC1">
      <w:pPr>
        <w:spacing w:line="440" w:lineRule="exact"/>
        <w:rPr>
          <w:rFonts w:hint="eastAsia" w:ascii="仿宋" w:hAnsi="仿宋" w:eastAsia="仿宋"/>
          <w:b/>
          <w:color w:val="auto"/>
          <w:highlight w:val="none"/>
        </w:rPr>
      </w:pPr>
    </w:p>
    <w:p w14:paraId="09A950DF">
      <w:pPr>
        <w:spacing w:line="440" w:lineRule="exact"/>
        <w:rPr>
          <w:rFonts w:hint="eastAsia" w:ascii="仿宋" w:hAnsi="仿宋" w:eastAsia="仿宋"/>
          <w:b/>
          <w:color w:val="auto"/>
          <w:highlight w:val="none"/>
        </w:rPr>
      </w:pPr>
    </w:p>
    <w:p w14:paraId="3F9021E6">
      <w:pPr>
        <w:spacing w:line="440" w:lineRule="exact"/>
        <w:rPr>
          <w:rFonts w:hint="eastAsia" w:ascii="仿宋" w:hAnsi="仿宋" w:eastAsia="仿宋"/>
          <w:b/>
          <w:color w:val="auto"/>
          <w:highlight w:val="none"/>
        </w:rPr>
      </w:pPr>
    </w:p>
    <w:p w14:paraId="177158D0">
      <w:pPr>
        <w:spacing w:line="440" w:lineRule="exact"/>
        <w:rPr>
          <w:rFonts w:hint="eastAsia" w:ascii="仿宋" w:hAnsi="仿宋" w:eastAsia="仿宋"/>
          <w:b/>
          <w:color w:val="auto"/>
          <w:highlight w:val="none"/>
        </w:rPr>
      </w:pPr>
    </w:p>
    <w:p w14:paraId="7268D862">
      <w:pPr>
        <w:spacing w:line="440" w:lineRule="exact"/>
        <w:rPr>
          <w:rFonts w:hint="eastAsia" w:ascii="仿宋" w:hAnsi="仿宋" w:eastAsia="仿宋"/>
          <w:b/>
          <w:color w:val="auto"/>
          <w:highlight w:val="none"/>
        </w:rPr>
      </w:pPr>
    </w:p>
    <w:p w14:paraId="3B4229FA">
      <w:pPr>
        <w:spacing w:line="440" w:lineRule="exact"/>
        <w:rPr>
          <w:rFonts w:hint="eastAsia" w:ascii="仿宋" w:hAnsi="仿宋" w:eastAsia="仿宋"/>
          <w:b/>
          <w:color w:val="auto"/>
          <w:highlight w:val="none"/>
        </w:rPr>
      </w:pPr>
    </w:p>
    <w:p w14:paraId="745137C1">
      <w:pPr>
        <w:spacing w:line="440" w:lineRule="exact"/>
        <w:rPr>
          <w:rFonts w:hint="eastAsia" w:ascii="仿宋" w:hAnsi="仿宋" w:eastAsia="仿宋"/>
          <w:b/>
          <w:color w:val="auto"/>
          <w:highlight w:val="none"/>
        </w:rPr>
      </w:pPr>
    </w:p>
    <w:p w14:paraId="6AD4E271">
      <w:pPr>
        <w:spacing w:line="440" w:lineRule="exact"/>
        <w:rPr>
          <w:rFonts w:hint="eastAsia" w:ascii="仿宋" w:hAnsi="仿宋" w:eastAsia="仿宋"/>
          <w:b/>
          <w:color w:val="auto"/>
          <w:highlight w:val="none"/>
        </w:rPr>
      </w:pPr>
    </w:p>
    <w:p w14:paraId="040008A8">
      <w:pPr>
        <w:pStyle w:val="6"/>
        <w:spacing w:before="312"/>
        <w:rPr>
          <w:color w:val="auto"/>
          <w:highlight w:val="none"/>
        </w:rPr>
      </w:pPr>
    </w:p>
    <w:p w14:paraId="1058D566">
      <w:pPr>
        <w:spacing w:line="440" w:lineRule="exact"/>
        <w:rPr>
          <w:rFonts w:hint="eastAsia" w:ascii="仿宋" w:hAnsi="仿宋" w:eastAsia="仿宋"/>
          <w:b/>
          <w:color w:val="auto"/>
          <w:highlight w:val="none"/>
        </w:rPr>
      </w:pPr>
      <w:r>
        <w:rPr>
          <w:rFonts w:hint="eastAsia" w:ascii="仿宋" w:hAnsi="仿宋" w:eastAsia="仿宋"/>
          <w:b/>
          <w:color w:val="auto"/>
          <w:highlight w:val="none"/>
        </w:rPr>
        <w:t>附件4：</w:t>
      </w:r>
    </w:p>
    <w:p w14:paraId="3AFF5EA8">
      <w:pPr>
        <w:jc w:val="center"/>
        <w:rPr>
          <w:rFonts w:hint="eastAsia" w:ascii="仿宋" w:hAnsi="仿宋" w:eastAsia="仿宋" w:cs="Tahoma"/>
          <w:b/>
          <w:color w:val="auto"/>
          <w:kern w:val="0"/>
          <w:highlight w:val="none"/>
        </w:rPr>
      </w:pPr>
    </w:p>
    <w:p w14:paraId="71DF1A23">
      <w:pPr>
        <w:jc w:val="center"/>
        <w:rPr>
          <w:rFonts w:hint="eastAsia" w:ascii="仿宋" w:hAnsi="仿宋" w:eastAsia="仿宋" w:cs="Tahoma"/>
          <w:b/>
          <w:color w:val="auto"/>
          <w:kern w:val="0"/>
          <w:highlight w:val="none"/>
        </w:rPr>
      </w:pPr>
      <w:r>
        <w:rPr>
          <w:rFonts w:hint="eastAsia" w:ascii="仿宋" w:hAnsi="仿宋" w:eastAsia="仿宋" w:cs="Tahoma"/>
          <w:b/>
          <w:color w:val="auto"/>
          <w:kern w:val="0"/>
          <w:highlight w:val="none"/>
        </w:rPr>
        <w:t>法定代表人身份证明</w:t>
      </w:r>
    </w:p>
    <w:p w14:paraId="16FA9905">
      <w:pPr>
        <w:autoSpaceDE w:val="0"/>
        <w:autoSpaceDN w:val="0"/>
        <w:adjustRightInd w:val="0"/>
        <w:jc w:val="left"/>
        <w:rPr>
          <w:rFonts w:hint="eastAsia" w:ascii="仿宋" w:hAnsi="仿宋" w:eastAsia="仿宋" w:cs="宋体"/>
          <w:color w:val="auto"/>
          <w:kern w:val="0"/>
          <w:highlight w:val="none"/>
        </w:rPr>
      </w:pPr>
    </w:p>
    <w:p w14:paraId="26CD024D">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21DE0144">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投标人：</w:t>
      </w:r>
    </w:p>
    <w:p w14:paraId="5CE35782">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单位性质：</w:t>
      </w:r>
    </w:p>
    <w:p w14:paraId="18A0ECD9">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地址：</w:t>
      </w:r>
    </w:p>
    <w:p w14:paraId="70AAF368">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成立时间：   年   月  日</w:t>
      </w:r>
    </w:p>
    <w:p w14:paraId="6948CDEC">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经营范围：</w:t>
      </w:r>
    </w:p>
    <w:p w14:paraId="2910BB5D">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经营期限：</w:t>
      </w:r>
    </w:p>
    <w:p w14:paraId="01F0B675">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姓名：性别：</w:t>
      </w:r>
    </w:p>
    <w:p w14:paraId="0A94478D">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年龄：职务：</w:t>
      </w:r>
    </w:p>
    <w:p w14:paraId="7589A3AB">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系（投标人名称）的法定代表人。</w:t>
      </w:r>
    </w:p>
    <w:p w14:paraId="3C58D7D7">
      <w:pPr>
        <w:autoSpaceDE w:val="0"/>
        <w:autoSpaceDN w:val="0"/>
        <w:adjustRightInd w:val="0"/>
        <w:spacing w:line="360" w:lineRule="auto"/>
        <w:ind w:firstLine="840" w:firstLineChars="4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特此证明。</w:t>
      </w:r>
    </w:p>
    <w:p w14:paraId="375D200F">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0AA3A7D5">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436A5BB0">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624C4973">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23AAAACE">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65675522">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4839F150">
      <w:pPr>
        <w:autoSpaceDE w:val="0"/>
        <w:autoSpaceDN w:val="0"/>
        <w:adjustRightInd w:val="0"/>
        <w:spacing w:line="360" w:lineRule="auto"/>
        <w:ind w:firstLine="3360" w:firstLineChars="16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投标人：（盖单位章）</w:t>
      </w:r>
    </w:p>
    <w:p w14:paraId="71EB5C7B">
      <w:pPr>
        <w:autoSpaceDE w:val="0"/>
        <w:autoSpaceDN w:val="0"/>
        <w:adjustRightInd w:val="0"/>
        <w:spacing w:line="360" w:lineRule="auto"/>
        <w:ind w:firstLine="1995" w:firstLineChars="950"/>
        <w:jc w:val="left"/>
        <w:rPr>
          <w:rFonts w:hint="eastAsia" w:ascii="仿宋" w:hAnsi="仿宋" w:eastAsia="仿宋" w:cs="宋体"/>
          <w:color w:val="auto"/>
          <w:kern w:val="0"/>
          <w:highlight w:val="none"/>
        </w:rPr>
      </w:pPr>
    </w:p>
    <w:p w14:paraId="6D47D364">
      <w:pPr>
        <w:autoSpaceDE w:val="0"/>
        <w:autoSpaceDN w:val="0"/>
        <w:adjustRightInd w:val="0"/>
        <w:spacing w:line="360" w:lineRule="auto"/>
        <w:ind w:firstLine="3990" w:firstLineChars="19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年   月   日</w:t>
      </w:r>
    </w:p>
    <w:p w14:paraId="77859524">
      <w:pPr>
        <w:spacing w:line="440" w:lineRule="exact"/>
        <w:rPr>
          <w:rFonts w:hint="eastAsia" w:ascii="仿宋" w:hAnsi="仿宋" w:eastAsia="仿宋"/>
          <w:color w:val="auto"/>
          <w:highlight w:val="none"/>
          <w:u w:val="single"/>
        </w:rPr>
      </w:pPr>
    </w:p>
    <w:p w14:paraId="5AB782FB">
      <w:pPr>
        <w:widowControl/>
        <w:spacing w:line="420" w:lineRule="atLeast"/>
        <w:ind w:left="360"/>
        <w:rPr>
          <w:rFonts w:hint="eastAsia" w:ascii="仿宋" w:hAnsi="仿宋" w:eastAsia="仿宋"/>
          <w:color w:val="auto"/>
          <w:highlight w:val="none"/>
          <w:u w:val="single"/>
        </w:rPr>
      </w:pPr>
    </w:p>
    <w:p w14:paraId="4D28CF98">
      <w:pPr>
        <w:widowControl/>
        <w:shd w:val="clear" w:color="auto" w:fill="FFFFFF"/>
        <w:spacing w:line="480" w:lineRule="exact"/>
        <w:jc w:val="left"/>
        <w:rPr>
          <w:rFonts w:hint="eastAsia" w:ascii="仿宋" w:hAnsi="仿宋" w:eastAsia="仿宋"/>
          <w:color w:val="auto"/>
          <w:kern w:val="0"/>
          <w:highlight w:val="none"/>
        </w:rPr>
      </w:pPr>
    </w:p>
    <w:p w14:paraId="31B0D016">
      <w:pPr>
        <w:widowControl/>
        <w:shd w:val="clear" w:color="auto" w:fill="FFFFFF"/>
        <w:spacing w:line="480" w:lineRule="exact"/>
        <w:jc w:val="left"/>
        <w:rPr>
          <w:rFonts w:hint="eastAsia" w:ascii="仿宋" w:hAnsi="仿宋" w:eastAsia="仿宋"/>
          <w:color w:val="auto"/>
          <w:kern w:val="0"/>
          <w:highlight w:val="none"/>
        </w:rPr>
      </w:pPr>
    </w:p>
    <w:p w14:paraId="672BBBF9">
      <w:pPr>
        <w:widowControl/>
        <w:shd w:val="clear" w:color="auto" w:fill="FFFFFF"/>
        <w:spacing w:line="480" w:lineRule="exact"/>
        <w:jc w:val="left"/>
        <w:rPr>
          <w:rFonts w:hint="eastAsia" w:ascii="仿宋" w:hAnsi="仿宋" w:eastAsia="仿宋"/>
          <w:color w:val="auto"/>
          <w:kern w:val="0"/>
          <w:highlight w:val="none"/>
        </w:rPr>
      </w:pPr>
    </w:p>
    <w:p w14:paraId="13D73373">
      <w:pPr>
        <w:widowControl/>
        <w:shd w:val="clear" w:color="auto" w:fill="FFFFFF"/>
        <w:spacing w:line="480" w:lineRule="exact"/>
        <w:jc w:val="left"/>
        <w:rPr>
          <w:rFonts w:hint="eastAsia" w:ascii="仿宋" w:hAnsi="仿宋" w:eastAsia="仿宋"/>
          <w:color w:val="auto"/>
          <w:kern w:val="0"/>
          <w:highlight w:val="none"/>
        </w:rPr>
      </w:pPr>
    </w:p>
    <w:p w14:paraId="41DD7D26">
      <w:pPr>
        <w:widowControl/>
        <w:shd w:val="clear" w:color="auto" w:fill="FFFFFF"/>
        <w:spacing w:line="480" w:lineRule="exact"/>
        <w:jc w:val="left"/>
        <w:rPr>
          <w:rFonts w:hint="eastAsia" w:ascii="仿宋" w:hAnsi="仿宋" w:eastAsia="仿宋"/>
          <w:color w:val="auto"/>
          <w:kern w:val="0"/>
          <w:highlight w:val="none"/>
        </w:rPr>
      </w:pPr>
    </w:p>
    <w:p w14:paraId="6916E163">
      <w:pPr>
        <w:rPr>
          <w:rFonts w:hint="eastAsia" w:ascii="仿宋" w:hAnsi="仿宋" w:eastAsia="仿宋"/>
          <w:b/>
          <w:color w:val="auto"/>
          <w:kern w:val="0"/>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0" w:footer="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2C799">
    <w:pPr>
      <w:pStyle w:val="6"/>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31898">
    <w:pPr>
      <w:pStyle w:val="6"/>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3B4">
    <w:pPr>
      <w:pStyle w:val="6"/>
      <w:spacing w:befor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9EA2">
    <w:pPr>
      <w:pStyle w:val="7"/>
      <w:pBdr>
        <w:bottom w:val="none" w:color="auto" w:sz="0" w:space="1"/>
      </w:pBd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5C350">
    <w:pPr>
      <w:pStyle w:val="7"/>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8A0D2">
    <w:pPr>
      <w:pStyle w:val="7"/>
      <w:pBdr>
        <w:bottom w:val="none" w:color="auto" w:sz="0" w:space="1"/>
      </w:pBd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EB19A"/>
    <w:multiLevelType w:val="singleLevel"/>
    <w:tmpl w:val="8DDEB19A"/>
    <w:lvl w:ilvl="0" w:tentative="0">
      <w:start w:val="10"/>
      <w:numFmt w:val="decimal"/>
      <w:suff w:val="space"/>
      <w:lvlText w:val="%1."/>
      <w:lvlJc w:val="left"/>
    </w:lvl>
  </w:abstractNum>
  <w:abstractNum w:abstractNumId="1">
    <w:nsid w:val="7842C2C1"/>
    <w:multiLevelType w:val="singleLevel"/>
    <w:tmpl w:val="7842C2C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MDYwNGRhOGFlZGZlNTg5YTQ2ZmJmMGMyMWY0YWYifQ=="/>
  </w:docVars>
  <w:rsids>
    <w:rsidRoot w:val="17752761"/>
    <w:rsid w:val="00047CDB"/>
    <w:rsid w:val="000D4958"/>
    <w:rsid w:val="000F0587"/>
    <w:rsid w:val="000F1AF4"/>
    <w:rsid w:val="002606FE"/>
    <w:rsid w:val="00286C7E"/>
    <w:rsid w:val="00293923"/>
    <w:rsid w:val="002A5E87"/>
    <w:rsid w:val="00376543"/>
    <w:rsid w:val="00395A9F"/>
    <w:rsid w:val="003A2E2B"/>
    <w:rsid w:val="003A526B"/>
    <w:rsid w:val="003A7CEF"/>
    <w:rsid w:val="00423514"/>
    <w:rsid w:val="004578B5"/>
    <w:rsid w:val="005152BA"/>
    <w:rsid w:val="005331C4"/>
    <w:rsid w:val="00547147"/>
    <w:rsid w:val="0055300C"/>
    <w:rsid w:val="00554777"/>
    <w:rsid w:val="00562DFB"/>
    <w:rsid w:val="00564259"/>
    <w:rsid w:val="005E26CC"/>
    <w:rsid w:val="00685959"/>
    <w:rsid w:val="006A42E0"/>
    <w:rsid w:val="0070379E"/>
    <w:rsid w:val="00705CD2"/>
    <w:rsid w:val="0070602F"/>
    <w:rsid w:val="00762604"/>
    <w:rsid w:val="0078143F"/>
    <w:rsid w:val="0078720F"/>
    <w:rsid w:val="00792347"/>
    <w:rsid w:val="007936F7"/>
    <w:rsid w:val="007A6120"/>
    <w:rsid w:val="0080243C"/>
    <w:rsid w:val="00824A6D"/>
    <w:rsid w:val="00835A69"/>
    <w:rsid w:val="008C661A"/>
    <w:rsid w:val="00A0260E"/>
    <w:rsid w:val="00A408ED"/>
    <w:rsid w:val="00AC7005"/>
    <w:rsid w:val="00AC7BA4"/>
    <w:rsid w:val="00B32C1F"/>
    <w:rsid w:val="00C146EB"/>
    <w:rsid w:val="00C713DB"/>
    <w:rsid w:val="00CA6891"/>
    <w:rsid w:val="00CC3E36"/>
    <w:rsid w:val="00D33FBB"/>
    <w:rsid w:val="00D37BBD"/>
    <w:rsid w:val="00D53425"/>
    <w:rsid w:val="00DC25DF"/>
    <w:rsid w:val="00DC6B45"/>
    <w:rsid w:val="00DE5E21"/>
    <w:rsid w:val="00DF1495"/>
    <w:rsid w:val="00E02C5A"/>
    <w:rsid w:val="00E51B41"/>
    <w:rsid w:val="00E563C3"/>
    <w:rsid w:val="00E82476"/>
    <w:rsid w:val="00E97952"/>
    <w:rsid w:val="00ED6A4B"/>
    <w:rsid w:val="00F376EE"/>
    <w:rsid w:val="00F4210A"/>
    <w:rsid w:val="00FA5BFA"/>
    <w:rsid w:val="00FE6F42"/>
    <w:rsid w:val="030647E3"/>
    <w:rsid w:val="03FF1BA6"/>
    <w:rsid w:val="04A658A0"/>
    <w:rsid w:val="072B2733"/>
    <w:rsid w:val="08404F36"/>
    <w:rsid w:val="154270A4"/>
    <w:rsid w:val="160E21CF"/>
    <w:rsid w:val="17752761"/>
    <w:rsid w:val="207E61A3"/>
    <w:rsid w:val="212E4B18"/>
    <w:rsid w:val="23BD5235"/>
    <w:rsid w:val="25B579D4"/>
    <w:rsid w:val="275172FA"/>
    <w:rsid w:val="27F84513"/>
    <w:rsid w:val="28EF1D07"/>
    <w:rsid w:val="3196571D"/>
    <w:rsid w:val="32A45F3D"/>
    <w:rsid w:val="3874399E"/>
    <w:rsid w:val="3CDB2409"/>
    <w:rsid w:val="41494B4D"/>
    <w:rsid w:val="479D39F5"/>
    <w:rsid w:val="482633A9"/>
    <w:rsid w:val="48C53D36"/>
    <w:rsid w:val="49A17972"/>
    <w:rsid w:val="4B0671DE"/>
    <w:rsid w:val="4B597169"/>
    <w:rsid w:val="504A1A7A"/>
    <w:rsid w:val="50611AA9"/>
    <w:rsid w:val="581D22E6"/>
    <w:rsid w:val="5987633D"/>
    <w:rsid w:val="603C0CB4"/>
    <w:rsid w:val="605B3904"/>
    <w:rsid w:val="60BD02D4"/>
    <w:rsid w:val="630006BE"/>
    <w:rsid w:val="65887119"/>
    <w:rsid w:val="6A184540"/>
    <w:rsid w:val="6DC214C6"/>
    <w:rsid w:val="6E27211B"/>
    <w:rsid w:val="6F861D3F"/>
    <w:rsid w:val="6F932E9B"/>
    <w:rsid w:val="70DF5DB7"/>
    <w:rsid w:val="74515004"/>
    <w:rsid w:val="74BF5CE3"/>
    <w:rsid w:val="79535F35"/>
    <w:rsid w:val="7C24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autoRedefine/>
    <w:qFormat/>
    <w:uiPriority w:val="99"/>
    <w:pPr>
      <w:keepNext/>
      <w:keepLines/>
      <w:spacing w:before="260" w:after="260" w:line="416" w:lineRule="auto"/>
      <w:outlineLvl w:val="2"/>
    </w:pPr>
    <w:rPr>
      <w:rFonts w:ascii="Times New Roman" w:hAnsi="Times New Roman" w:cs="Times New Roman"/>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99"/>
    <w:pPr>
      <w:adjustRightInd w:val="0"/>
      <w:spacing w:after="60" w:line="360" w:lineRule="atLeast"/>
      <w:ind w:left="72" w:leftChars="30" w:right="30" w:rightChars="30"/>
      <w:jc w:val="center"/>
      <w:textAlignment w:val="baseline"/>
    </w:pPr>
    <w:rPr>
      <w:rFonts w:ascii="Times New Roman" w:hAnsi="Times New Roman" w:cs="Times New Roman"/>
    </w:rPr>
  </w:style>
  <w:style w:type="paragraph" w:styleId="4">
    <w:name w:val="Body Text Indent"/>
    <w:basedOn w:val="1"/>
    <w:autoRedefine/>
    <w:qFormat/>
    <w:uiPriority w:val="99"/>
    <w:pPr>
      <w:spacing w:after="120"/>
      <w:ind w:left="420" w:leftChars="200"/>
    </w:pPr>
    <w:rPr>
      <w:rFonts w:ascii="Times New Roman" w:hAnsi="Times New Roman" w:cs="Times New Roman"/>
      <w:sz w:val="24"/>
      <w:szCs w:val="24"/>
    </w:rPr>
  </w:style>
  <w:style w:type="paragraph" w:styleId="5">
    <w:name w:val="Plain Text"/>
    <w:basedOn w:val="1"/>
    <w:autoRedefine/>
    <w:qFormat/>
    <w:uiPriority w:val="99"/>
    <w:rPr>
      <w:rFonts w:ascii="宋体" w:hAnsi="Courier New" w:cs="Times New Roman"/>
    </w:rPr>
  </w:style>
  <w:style w:type="paragraph" w:styleId="6">
    <w:name w:val="footer"/>
    <w:basedOn w:val="1"/>
    <w:autoRedefine/>
    <w:qFormat/>
    <w:uiPriority w:val="99"/>
    <w:pPr>
      <w:tabs>
        <w:tab w:val="center" w:pos="4153"/>
        <w:tab w:val="right" w:pos="8306"/>
      </w:tabs>
      <w:snapToGrid w:val="0"/>
      <w:spacing w:beforeLines="100"/>
      <w:jc w:val="left"/>
    </w:pPr>
    <w:rPr>
      <w:rFonts w:cs="Times New Roman"/>
      <w:kern w:val="0"/>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spacing w:beforeLines="100"/>
      <w:jc w:val="center"/>
    </w:pPr>
    <w:rPr>
      <w:rFonts w:cs="Times New Roman"/>
      <w:kern w:val="0"/>
      <w:sz w:val="18"/>
      <w:szCs w:val="18"/>
    </w:rPr>
  </w:style>
  <w:style w:type="paragraph" w:styleId="8">
    <w:name w:val="toc 1"/>
    <w:basedOn w:val="1"/>
    <w:next w:val="1"/>
    <w:autoRedefine/>
    <w:qFormat/>
    <w:uiPriority w:val="0"/>
  </w:style>
  <w:style w:type="paragraph" w:styleId="9">
    <w:name w:val="Normal (Web)"/>
    <w:basedOn w:val="1"/>
    <w:autoRedefine/>
    <w:qFormat/>
    <w:uiPriority w:val="99"/>
    <w:pPr>
      <w:widowControl/>
      <w:shd w:val="clear" w:color="auto" w:fill="FFFFFF"/>
      <w:spacing w:line="400" w:lineRule="exact"/>
      <w:jc w:val="left"/>
    </w:pPr>
    <w:rPr>
      <w:rFonts w:ascii="宋体" w:hAnsi="宋体" w:cs="宋体"/>
      <w:kern w:val="0"/>
      <w:shd w:val="clear" w:color="auto" w:fill="FFFFFF"/>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99"/>
    <w:rPr>
      <w:rFonts w:cs="Times New Roman"/>
      <w:b/>
      <w:bCs/>
    </w:rPr>
  </w:style>
  <w:style w:type="paragraph" w:customStyle="1" w:styleId="14">
    <w:name w:val="正文_0_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5">
    <w:name w:val="op_mapdots_left"/>
    <w:basedOn w:val="1"/>
    <w:autoRedefine/>
    <w:qFormat/>
    <w:uiPriority w:val="99"/>
    <w:pPr>
      <w:widowControl/>
      <w:jc w:val="left"/>
    </w:pPr>
    <w:rPr>
      <w:rFonts w:ascii="宋体" w:hAnsi="宋体" w:cs="宋体"/>
      <w:kern w:val="0"/>
      <w:sz w:val="24"/>
      <w:szCs w:val="24"/>
    </w:rPr>
  </w:style>
  <w:style w:type="paragraph" w:customStyle="1" w:styleId="16">
    <w:name w:val="正文_68"/>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7">
    <w:name w:val="正文_10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正文_256"/>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9">
    <w:name w:val="正文_27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正文文本 (13)1"/>
    <w:basedOn w:val="1"/>
    <w:autoRedefine/>
    <w:qFormat/>
    <w:uiPriority w:val="99"/>
    <w:pPr>
      <w:shd w:val="clear" w:color="auto" w:fill="FFFFFF"/>
      <w:spacing w:after="180" w:line="240" w:lineRule="exact"/>
      <w:ind w:hanging="540"/>
      <w:jc w:val="left"/>
    </w:pPr>
    <w:rPr>
      <w:rFonts w:ascii="宋体" w:hAnsi="宋体" w:cs="Times New Roman"/>
      <w:b/>
      <w:bCs/>
      <w:kern w:val="0"/>
      <w:sz w:val="20"/>
      <w:szCs w:val="20"/>
    </w:rPr>
  </w:style>
  <w:style w:type="paragraph" w:customStyle="1" w:styleId="21">
    <w:name w:val="正文_36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Body text|3"/>
    <w:basedOn w:val="1"/>
    <w:autoRedefine/>
    <w:qFormat/>
    <w:uiPriority w:val="0"/>
    <w:pPr>
      <w:ind w:firstLine="480"/>
    </w:pPr>
    <w:rPr>
      <w:rFonts w:ascii="PMingLiU" w:hAnsi="PMingLiU" w:eastAsia="PMingLiU" w:cs="PMingLiU"/>
      <w:sz w:val="19"/>
      <w:szCs w:val="19"/>
      <w:lang w:val="zh-TW" w:eastAsia="zh-TW" w:bidi="zh-TW"/>
    </w:rPr>
  </w:style>
  <w:style w:type="paragraph" w:customStyle="1" w:styleId="23">
    <w:name w:val="正文文本（）"/>
    <w:basedOn w:val="1"/>
    <w:autoRedefine/>
    <w:qFormat/>
    <w:uiPriority w:val="0"/>
    <w:pPr>
      <w:spacing w:line="460" w:lineRule="exact"/>
      <w:ind w:firstLine="200" w:firstLineChars="200"/>
    </w:pPr>
    <w:rPr>
      <w:rFonts w:ascii="宋体" w:hAnsi="宋体"/>
    </w:rPr>
  </w:style>
  <w:style w:type="paragraph" w:customStyle="1" w:styleId="24">
    <w:name w:val="Table Paragraph"/>
    <w:basedOn w:val="1"/>
    <w:autoRedefine/>
    <w:qFormat/>
    <w:uiPriority w:val="1"/>
    <w:pPr>
      <w:framePr w:hSpace="180" w:wrap="around" w:vAnchor="text" w:hAnchor="page" w:x="743" w:y="-10"/>
      <w:suppressOverlap/>
      <w:autoSpaceDE w:val="0"/>
      <w:autoSpaceDN w:val="0"/>
      <w:jc w:val="left"/>
    </w:pPr>
    <w:rPr>
      <w:rFonts w:cs="黑体" w:asciiTheme="minorEastAsia" w:hAnsiTheme="minorEastAsia" w:eastAsiaTheme="minorEastAsia"/>
      <w:kern w:val="0"/>
      <w:sz w:val="22"/>
    </w:rPr>
  </w:style>
  <w:style w:type="paragraph" w:styleId="25">
    <w:name w:val="No Spacing"/>
    <w:basedOn w:val="1"/>
    <w:autoRedefine/>
    <w:qFormat/>
    <w:uiPriority w:val="0"/>
    <w:pPr>
      <w:widowControl/>
      <w:jc w:val="left"/>
    </w:pPr>
    <w:rPr>
      <w:kern w:val="0"/>
      <w:sz w:val="22"/>
      <w:szCs w:val="22"/>
      <w:lang w:eastAsia="en-US" w:bidi="en-US"/>
    </w:rPr>
  </w:style>
  <w:style w:type="paragraph" w:customStyle="1" w:styleId="26">
    <w:name w:val="无间隔1"/>
    <w:basedOn w:val="1"/>
    <w:autoRedefine/>
    <w:qFormat/>
    <w:uiPriority w:val="99"/>
    <w:pPr>
      <w:widowControl/>
      <w:jc w:val="left"/>
    </w:pPr>
    <w:rPr>
      <w:kern w:val="0"/>
      <w:sz w:val="22"/>
      <w:szCs w:val="22"/>
      <w:lang w:eastAsia="en-US"/>
    </w:rPr>
  </w:style>
  <w:style w:type="paragraph" w:customStyle="1" w:styleId="27">
    <w:name w:val="_Style 1"/>
    <w:basedOn w:val="1"/>
    <w:autoRedefine/>
    <w:qFormat/>
    <w:uiPriority w:val="0"/>
    <w:pPr>
      <w:widowControl/>
      <w:jc w:val="left"/>
    </w:pPr>
    <w:rPr>
      <w:kern w:val="0"/>
      <w:sz w:val="22"/>
      <w:szCs w:val="22"/>
      <w:lang w:eastAsia="en-US" w:bidi="en-US"/>
    </w:rPr>
  </w:style>
  <w:style w:type="character" w:customStyle="1" w:styleId="28">
    <w:name w:val="明显参考1"/>
    <w:basedOn w:val="12"/>
    <w:qFormat/>
    <w:uiPriority w:val="32"/>
    <w:rPr>
      <w:b/>
      <w:bCs/>
      <w:smallCaps/>
      <w:color w:val="2E75B5"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62E01-E186-49C8-A7C2-7129A69E87AB}">
  <ds:schemaRefs/>
</ds:datastoreItem>
</file>

<file path=docProps/app.xml><?xml version="1.0" encoding="utf-8"?>
<Properties xmlns="http://schemas.openxmlformats.org/officeDocument/2006/extended-properties" xmlns:vt="http://schemas.openxmlformats.org/officeDocument/2006/docPropsVTypes">
  <Template>Normal</Template>
  <Company>xt256.com</Company>
  <Pages>9</Pages>
  <Words>3295</Words>
  <Characters>3669</Characters>
  <Lines>42</Lines>
  <Paragraphs>11</Paragraphs>
  <TotalTime>15</TotalTime>
  <ScaleCrop>false</ScaleCrop>
  <LinksUpToDate>false</LinksUpToDate>
  <CharactersWithSpaces>3710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2023-02-21T08:28:00Z</dcterms:created>
  <dc:creator>陈伟</dc:creator>
  <cp:lastModifiedBy>Administrator</cp:lastModifiedBy>
  <dcterms:modified xsi:type="dcterms:W3CDTF">2025-03-21T01:33:34Z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7415D9AACEE945BAB38BF687ECE6B3C9_13</vt:lpwstr>
  </property>
  <property fmtid="{D5CDD505-2E9C-101B-9397-08002B2CF9AE}" pid="4" name="KSOTemplateDocerSaveRecord">
    <vt:lpwstr>eyJoZGlkIjoiMzdhMDYwNGRhOGFlZGZlNTg5YTQ2ZmJmMGMyMWY0YWYifQ==</vt:lpwstr>
  </property>
</Properties>
</file>