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5D72A">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 w:val="0"/>
          <w:bCs/>
          <w:color w:val="auto"/>
          <w:kern w:val="44"/>
          <w:sz w:val="44"/>
          <w:szCs w:val="44"/>
          <w:highlight w:val="none"/>
          <w:lang w:bidi="ar"/>
        </w:rPr>
      </w:pPr>
      <w:r>
        <w:rPr>
          <w:rFonts w:hint="eastAsia" w:ascii="方正小标宋简体" w:hAnsi="Times New Roman" w:eastAsia="方正小标宋简体" w:cs="方正小标宋简体"/>
          <w:b w:val="0"/>
          <w:bCs/>
          <w:color w:val="auto"/>
          <w:kern w:val="44"/>
          <w:sz w:val="44"/>
          <w:szCs w:val="44"/>
          <w:highlight w:val="none"/>
          <w:lang w:bidi="ar"/>
        </w:rPr>
        <w:t>招标公告</w:t>
      </w:r>
    </w:p>
    <w:p w14:paraId="4B958555">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一、招标条件</w:t>
      </w:r>
      <w:r>
        <w:rPr>
          <w:rFonts w:hint="eastAsia" w:ascii="黑体" w:hAnsi="宋体" w:eastAsia="黑体" w:cs="黑体"/>
          <w:bCs/>
          <w:color w:val="auto"/>
          <w:sz w:val="32"/>
          <w:szCs w:val="32"/>
          <w:highlight w:val="none"/>
          <w:lang w:bidi="ar"/>
        </w:rPr>
        <w:tab/>
      </w:r>
    </w:p>
    <w:p w14:paraId="61463DF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u w:val="single"/>
          <w:lang w:eastAsia="zh-CN"/>
        </w:rPr>
        <w:t>中瑞（常州）国际合作产业园二期项目</w:t>
      </w:r>
      <w:r>
        <w:rPr>
          <w:rFonts w:hint="eastAsia" w:ascii="仿宋_GB2312" w:hAnsi="仿宋_GB2312" w:eastAsia="仿宋_GB2312" w:cs="仿宋_GB2312"/>
          <w:color w:val="auto"/>
          <w:kern w:val="0"/>
          <w:sz w:val="32"/>
          <w:szCs w:val="32"/>
          <w:highlight w:val="none"/>
        </w:rPr>
        <w:t>已批准建设，招标人为</w:t>
      </w:r>
      <w:r>
        <w:rPr>
          <w:rFonts w:hint="eastAsia" w:ascii="仿宋_GB2312" w:hAnsi="仿宋_GB2312" w:eastAsia="仿宋_GB2312" w:cs="仿宋_GB2312"/>
          <w:color w:val="auto"/>
          <w:sz w:val="32"/>
          <w:szCs w:val="32"/>
          <w:highlight w:val="none"/>
          <w:u w:val="single"/>
          <w:lang w:eastAsia="zh-CN"/>
        </w:rPr>
        <w:t>常州上鸿科技服务有限公司</w:t>
      </w:r>
      <w:r>
        <w:rPr>
          <w:rFonts w:hint="eastAsia" w:ascii="仿宋_GB2312" w:hAnsi="仿宋_GB2312" w:eastAsia="仿宋_GB2312" w:cs="仿宋_GB2312"/>
          <w:color w:val="auto"/>
          <w:kern w:val="0"/>
          <w:sz w:val="32"/>
          <w:szCs w:val="32"/>
          <w:highlight w:val="none"/>
        </w:rPr>
        <w:t>，建设资金来自</w:t>
      </w:r>
      <w:r>
        <w:rPr>
          <w:rFonts w:hint="eastAsia" w:ascii="仿宋_GB2312" w:hAnsi="仿宋_GB2312" w:eastAsia="仿宋_GB2312" w:cs="仿宋_GB2312"/>
          <w:color w:val="auto"/>
          <w:kern w:val="0"/>
          <w:sz w:val="32"/>
          <w:szCs w:val="32"/>
          <w:highlight w:val="none"/>
          <w:u w:val="single"/>
          <w:lang w:val="en-US" w:eastAsia="zh-CN"/>
        </w:rPr>
        <w:t>自筹</w:t>
      </w:r>
      <w:r>
        <w:rPr>
          <w:rFonts w:hint="eastAsia" w:ascii="仿宋_GB2312" w:hAnsi="仿宋_GB2312" w:eastAsia="仿宋_GB2312" w:cs="仿宋_GB2312"/>
          <w:color w:val="auto"/>
          <w:kern w:val="0"/>
          <w:sz w:val="32"/>
          <w:szCs w:val="32"/>
          <w:highlight w:val="none"/>
        </w:rPr>
        <w:t>，项目出资比例为</w:t>
      </w:r>
      <w:r>
        <w:rPr>
          <w:rFonts w:hint="eastAsia" w:ascii="仿宋_GB2312" w:hAnsi="仿宋_GB2312" w:eastAsia="仿宋_GB2312" w:cs="仿宋_GB2312"/>
          <w:color w:val="auto"/>
          <w:kern w:val="0"/>
          <w:sz w:val="32"/>
          <w:szCs w:val="32"/>
          <w:highlight w:val="none"/>
          <w:u w:val="single"/>
        </w:rPr>
        <w:t>国有</w:t>
      </w:r>
      <w:r>
        <w:rPr>
          <w:rFonts w:hint="eastAsia" w:ascii="仿宋_GB2312" w:hAnsi="仿宋_GB2312" w:eastAsia="仿宋_GB2312" w:cs="仿宋_GB2312"/>
          <w:color w:val="auto"/>
          <w:sz w:val="32"/>
          <w:szCs w:val="32"/>
          <w:highlight w:val="none"/>
          <w:u w:val="single"/>
        </w:rPr>
        <w:t>资金</w:t>
      </w:r>
      <w:r>
        <w:rPr>
          <w:rFonts w:hint="eastAsia" w:ascii="仿宋_GB2312" w:hAnsi="仿宋_GB2312" w:eastAsia="仿宋_GB2312" w:cs="仿宋_GB2312"/>
          <w:color w:val="auto"/>
          <w:kern w:val="0"/>
          <w:sz w:val="32"/>
          <w:szCs w:val="32"/>
          <w:highlight w:val="none"/>
          <w:u w:val="single"/>
        </w:rPr>
        <w:t>：100.00 %</w:t>
      </w:r>
      <w:r>
        <w:rPr>
          <w:rFonts w:hint="eastAsia" w:ascii="仿宋_GB2312" w:hAnsi="仿宋_GB2312" w:eastAsia="仿宋_GB2312" w:cs="仿宋_GB2312"/>
          <w:color w:val="auto"/>
          <w:kern w:val="0"/>
          <w:sz w:val="32"/>
          <w:szCs w:val="32"/>
          <w:highlight w:val="none"/>
        </w:rPr>
        <w:t>。项目已具备招标条件，现对该项目</w:t>
      </w:r>
      <w:r>
        <w:rPr>
          <w:rFonts w:hint="eastAsia" w:ascii="仿宋_GB2312" w:hAnsi="仿宋_GB2312" w:eastAsia="仿宋_GB2312" w:cs="仿宋_GB2312"/>
          <w:color w:val="auto"/>
          <w:kern w:val="0"/>
          <w:sz w:val="32"/>
          <w:szCs w:val="32"/>
          <w:highlight w:val="none"/>
          <w:u w:val="single"/>
          <w:lang w:eastAsia="zh-CN"/>
        </w:rPr>
        <w:t>中瑞（常州）国际合作产业园二期项目13#厨房设备采购</w:t>
      </w:r>
      <w:r>
        <w:rPr>
          <w:rFonts w:hint="eastAsia" w:ascii="仿宋_GB2312" w:hAnsi="仿宋_GB2312" w:eastAsia="仿宋_GB2312" w:cs="仿宋_GB2312"/>
          <w:color w:val="auto"/>
          <w:kern w:val="0"/>
          <w:sz w:val="32"/>
          <w:szCs w:val="32"/>
          <w:highlight w:val="none"/>
          <w:u w:val="single"/>
          <w:lang w:val="en-US" w:eastAsia="zh-CN"/>
        </w:rPr>
        <w:t>安装</w:t>
      </w:r>
      <w:r>
        <w:rPr>
          <w:rFonts w:hint="eastAsia" w:ascii="仿宋_GB2312" w:hAnsi="仿宋_GB2312" w:eastAsia="仿宋_GB2312" w:cs="仿宋_GB2312"/>
          <w:color w:val="auto"/>
          <w:kern w:val="0"/>
          <w:sz w:val="32"/>
          <w:szCs w:val="32"/>
          <w:highlight w:val="none"/>
        </w:rPr>
        <w:t>进行</w:t>
      </w:r>
      <w:r>
        <w:rPr>
          <w:rFonts w:hint="eastAsia" w:ascii="仿宋_GB2312" w:hAnsi="仿宋_GB2312" w:eastAsia="仿宋_GB2312" w:cs="仿宋_GB2312"/>
          <w:color w:val="auto"/>
          <w:kern w:val="0"/>
          <w:sz w:val="32"/>
          <w:szCs w:val="32"/>
          <w:highlight w:val="none"/>
          <w:u w:val="single"/>
        </w:rPr>
        <w:t>公开</w:t>
      </w:r>
      <w:r>
        <w:rPr>
          <w:rFonts w:hint="eastAsia" w:ascii="仿宋_GB2312" w:hAnsi="仿宋_GB2312" w:eastAsia="仿宋_GB2312" w:cs="仿宋_GB2312"/>
          <w:color w:val="auto"/>
          <w:kern w:val="0"/>
          <w:sz w:val="32"/>
          <w:szCs w:val="32"/>
          <w:highlight w:val="none"/>
        </w:rPr>
        <w:t xml:space="preserve">招标，特邀请有兴趣的潜在投标人参加投标。 </w:t>
      </w:r>
      <w:bookmarkStart w:id="3" w:name="_GoBack"/>
      <w:bookmarkEnd w:id="3"/>
    </w:p>
    <w:p w14:paraId="53AEB4A3">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二、项目概况与招标范围</w:t>
      </w:r>
    </w:p>
    <w:p w14:paraId="1E4F0780">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2.1项目概况</w:t>
      </w:r>
    </w:p>
    <w:p w14:paraId="091FD3C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bCs/>
          <w:color w:val="auto"/>
          <w:sz w:val="32"/>
          <w:szCs w:val="32"/>
          <w:highlight w:val="none"/>
        </w:rPr>
        <w:t>2.1.1建设地点：常州市新北区龙江北路以西、赣江路以北；玉龙路以东、赣江路以北</w:t>
      </w:r>
      <w:r>
        <w:rPr>
          <w:rFonts w:hint="eastAsia" w:ascii="仿宋_GB2312" w:hAnsi="仿宋_GB2312" w:eastAsia="仿宋_GB2312" w:cs="仿宋_GB2312"/>
          <w:color w:val="auto"/>
          <w:kern w:val="0"/>
          <w:sz w:val="32"/>
          <w:szCs w:val="32"/>
          <w:highlight w:val="none"/>
          <w:u w:val="none"/>
        </w:rPr>
        <w:t>。</w:t>
      </w:r>
    </w:p>
    <w:p w14:paraId="3BF284A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u w:val="none"/>
          <w:lang w:eastAsia="zh-CN"/>
        </w:rPr>
      </w:pPr>
      <w:r>
        <w:rPr>
          <w:rFonts w:hint="eastAsia" w:ascii="仿宋_GB2312" w:hAnsi="仿宋_GB2312" w:eastAsia="仿宋_GB2312" w:cs="仿宋_GB2312"/>
          <w:bCs/>
          <w:color w:val="auto"/>
          <w:sz w:val="32"/>
          <w:szCs w:val="32"/>
          <w:highlight w:val="none"/>
          <w:u w:val="none"/>
        </w:rPr>
        <w:t>2.1.</w:t>
      </w:r>
      <w:r>
        <w:rPr>
          <w:rFonts w:hint="eastAsia" w:ascii="仿宋_GB2312" w:hAnsi="仿宋_GB2312" w:eastAsia="仿宋_GB2312" w:cs="仿宋_GB2312"/>
          <w:bCs/>
          <w:color w:val="auto"/>
          <w:sz w:val="32"/>
          <w:szCs w:val="32"/>
          <w:highlight w:val="none"/>
          <w:u w:val="none"/>
          <w:lang w:val="en-US" w:eastAsia="zh-CN"/>
        </w:rPr>
        <w:t>2</w:t>
      </w:r>
      <w:r>
        <w:rPr>
          <w:rFonts w:hint="eastAsia" w:ascii="仿宋_GB2312" w:hAnsi="仿宋_GB2312" w:eastAsia="仿宋_GB2312" w:cs="仿宋_GB2312"/>
          <w:bCs/>
          <w:color w:val="auto"/>
          <w:sz w:val="32"/>
          <w:szCs w:val="32"/>
          <w:highlight w:val="none"/>
          <w:u w:val="none"/>
        </w:rPr>
        <w:t>本标段合同估算价：</w:t>
      </w:r>
      <w:r>
        <w:rPr>
          <w:rFonts w:hint="eastAsia" w:ascii="仿宋_GB2312" w:hAnsi="仿宋_GB2312" w:eastAsia="仿宋_GB2312" w:cs="仿宋_GB2312"/>
          <w:bCs/>
          <w:color w:val="auto"/>
          <w:sz w:val="32"/>
          <w:szCs w:val="32"/>
          <w:highlight w:val="none"/>
          <w:u w:val="none"/>
          <w:lang w:val="en-US" w:eastAsia="zh-CN"/>
        </w:rPr>
        <w:t>含税价1110325</w:t>
      </w:r>
      <w:r>
        <w:rPr>
          <w:rFonts w:hint="eastAsia" w:ascii="仿宋_GB2312" w:hAnsi="仿宋_GB2312" w:eastAsia="仿宋_GB2312" w:cs="仿宋_GB2312"/>
          <w:bCs/>
          <w:color w:val="auto"/>
          <w:sz w:val="32"/>
          <w:szCs w:val="32"/>
          <w:highlight w:val="none"/>
          <w:u w:val="none"/>
          <w:lang w:eastAsia="zh-CN"/>
        </w:rPr>
        <w:t>元；</w:t>
      </w:r>
      <w:r>
        <w:rPr>
          <w:rFonts w:hint="eastAsia" w:ascii="仿宋_GB2312" w:hAnsi="仿宋_GB2312" w:eastAsia="仿宋_GB2312" w:cs="仿宋_GB2312"/>
          <w:bCs/>
          <w:color w:val="auto"/>
          <w:sz w:val="32"/>
          <w:szCs w:val="32"/>
          <w:highlight w:val="none"/>
          <w:u w:val="none"/>
          <w:lang w:val="en-US" w:eastAsia="zh-CN"/>
        </w:rPr>
        <w:t>不含税价982588元；税率13%</w:t>
      </w:r>
      <w:r>
        <w:rPr>
          <w:rFonts w:hint="eastAsia" w:ascii="仿宋_GB2312" w:hAnsi="仿宋_GB2312" w:eastAsia="仿宋_GB2312" w:cs="仿宋_GB2312"/>
          <w:bCs/>
          <w:color w:val="auto"/>
          <w:sz w:val="32"/>
          <w:szCs w:val="32"/>
          <w:highlight w:val="none"/>
          <w:u w:val="none"/>
          <w:lang w:eastAsia="zh-CN"/>
        </w:rPr>
        <w:t>。</w:t>
      </w:r>
    </w:p>
    <w:p w14:paraId="4DF76077">
      <w:pPr>
        <w:keepNext w:val="0"/>
        <w:keepLines w:val="0"/>
        <w:pageBreakBefore w:val="0"/>
        <w:kinsoku/>
        <w:wordWrap/>
        <w:overflowPunct/>
        <w:topLinePunct w:val="0"/>
        <w:bidi w:val="0"/>
        <w:spacing w:line="560" w:lineRule="exact"/>
        <w:ind w:left="0" w:leftChars="0" w:right="0" w:rightChars="0" w:firstLine="640" w:firstLineChars="200"/>
        <w:rPr>
          <w:rFonts w:hint="default" w:ascii="仿宋_GB2312" w:hAnsi="仿宋_GB2312" w:eastAsia="仿宋_GB2312" w:cs="仿宋_GB2312"/>
          <w:bCs/>
          <w:color w:val="auto"/>
          <w:sz w:val="32"/>
          <w:szCs w:val="32"/>
          <w:highlight w:val="none"/>
          <w:u w:val="none"/>
          <w:lang w:val="en-US" w:eastAsia="zh-CN"/>
        </w:rPr>
      </w:pPr>
      <w:r>
        <w:rPr>
          <w:rFonts w:hint="eastAsia" w:ascii="仿宋_GB2312" w:hAnsi="仿宋_GB2312" w:eastAsia="仿宋_GB2312" w:cs="仿宋_GB2312"/>
          <w:bCs/>
          <w:color w:val="auto"/>
          <w:sz w:val="32"/>
          <w:szCs w:val="32"/>
          <w:highlight w:val="none"/>
          <w:u w:val="none"/>
        </w:rPr>
        <w:t>2.1.</w:t>
      </w:r>
      <w:r>
        <w:rPr>
          <w:rFonts w:hint="eastAsia" w:ascii="仿宋_GB2312" w:hAnsi="仿宋_GB2312" w:eastAsia="仿宋_GB2312" w:cs="仿宋_GB2312"/>
          <w:bCs/>
          <w:color w:val="auto"/>
          <w:sz w:val="32"/>
          <w:szCs w:val="32"/>
          <w:highlight w:val="none"/>
          <w:u w:val="none"/>
          <w:lang w:val="en-US" w:eastAsia="zh-CN"/>
        </w:rPr>
        <w:t>3合同履行期限</w:t>
      </w:r>
      <w:r>
        <w:rPr>
          <w:rFonts w:hint="eastAsia" w:ascii="仿宋_GB2312" w:hAnsi="仿宋_GB2312" w:eastAsia="仿宋_GB2312" w:cs="仿宋_GB2312"/>
          <w:bCs/>
          <w:color w:val="auto"/>
          <w:sz w:val="32"/>
          <w:szCs w:val="32"/>
          <w:highlight w:val="none"/>
          <w:u w:val="none"/>
        </w:rPr>
        <w:t>：</w:t>
      </w:r>
      <w:r>
        <w:rPr>
          <w:rFonts w:hint="eastAsia" w:ascii="仿宋_GB2312" w:hAnsi="仿宋_GB2312" w:eastAsia="仿宋_GB2312" w:cs="仿宋_GB2312"/>
          <w:bCs/>
          <w:color w:val="auto"/>
          <w:sz w:val="32"/>
          <w:szCs w:val="32"/>
          <w:highlight w:val="none"/>
          <w:u w:val="none"/>
          <w:lang w:val="en-US" w:eastAsia="zh-CN"/>
        </w:rPr>
        <w:t>合同签订</w:t>
      </w:r>
      <w:r>
        <w:rPr>
          <w:rFonts w:hint="eastAsia" w:ascii="仿宋_GB2312" w:hAnsi="仿宋_GB2312" w:eastAsia="仿宋_GB2312" w:cs="仿宋_GB2312"/>
          <w:bCs/>
          <w:color w:val="auto"/>
          <w:sz w:val="32"/>
          <w:szCs w:val="32"/>
          <w:highlight w:val="none"/>
          <w:u w:val="none"/>
        </w:rPr>
        <w:t>后</w:t>
      </w:r>
      <w:r>
        <w:rPr>
          <w:rFonts w:hint="eastAsia" w:ascii="仿宋_GB2312" w:hAnsi="仿宋_GB2312" w:eastAsia="仿宋_GB2312" w:cs="仿宋_GB2312"/>
          <w:bCs/>
          <w:color w:val="auto"/>
          <w:sz w:val="32"/>
          <w:szCs w:val="32"/>
          <w:highlight w:val="none"/>
          <w:u w:val="none"/>
          <w:lang w:val="en-US" w:eastAsia="zh-CN"/>
        </w:rPr>
        <w:t>40</w:t>
      </w:r>
      <w:r>
        <w:rPr>
          <w:rFonts w:hint="eastAsia" w:ascii="仿宋_GB2312" w:hAnsi="仿宋_GB2312" w:eastAsia="仿宋_GB2312" w:cs="仿宋_GB2312"/>
          <w:bCs/>
          <w:color w:val="auto"/>
          <w:sz w:val="32"/>
          <w:szCs w:val="32"/>
          <w:highlight w:val="none"/>
          <w:u w:val="none"/>
        </w:rPr>
        <w:t>个日历天内必须完成供货、安装并调试完毕，验收合格具备投入使用条件</w:t>
      </w:r>
      <w:r>
        <w:rPr>
          <w:rFonts w:hint="eastAsia" w:ascii="仿宋_GB2312" w:hAnsi="仿宋_GB2312" w:eastAsia="仿宋_GB2312" w:cs="仿宋_GB2312"/>
          <w:bCs/>
          <w:color w:val="auto"/>
          <w:sz w:val="32"/>
          <w:szCs w:val="32"/>
          <w:highlight w:val="none"/>
          <w:u w:val="none"/>
          <w:lang w:val="en-US" w:eastAsia="zh-CN"/>
        </w:rPr>
        <w:t>。</w:t>
      </w:r>
    </w:p>
    <w:p w14:paraId="745B5482">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rPr>
        <w:t>2.2招标范围</w:t>
      </w:r>
      <w:r>
        <w:rPr>
          <w:rFonts w:hint="eastAsia" w:ascii="仿宋_GB2312" w:hAnsi="仿宋_GB2312" w:eastAsia="仿宋_GB2312" w:cs="仿宋_GB2312"/>
          <w:bCs/>
          <w:color w:val="auto"/>
          <w:sz w:val="32"/>
          <w:szCs w:val="32"/>
          <w:highlight w:val="none"/>
          <w:u w:val="none"/>
          <w:lang w:val="en-US" w:eastAsia="zh-CN"/>
        </w:rPr>
        <w:t>：包括但不限于设备本体费（含设备零备件、随机辅材）、设备包装费、设备运输费、附属设施（设备）费、运输保险费、装车费、卸车费、产品代理费、保管、除设备本体费以外的完成本次招标内容的其他所有材料（设备）费；设备安装人工费、材料费、机械费、管理费、利润、税金、系统调试运行费用、验收费用及投标人认为完成本次招标设备供应、安装、调试、课题研究等所有可能发生的其他相关费用。</w:t>
      </w:r>
    </w:p>
    <w:p w14:paraId="462BDAE8">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三、投标人资格条件</w:t>
      </w:r>
    </w:p>
    <w:p w14:paraId="240D97A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3.1投标人须具备</w:t>
      </w:r>
      <w:r>
        <w:rPr>
          <w:rFonts w:hint="eastAsia" w:ascii="仿宋_GB2312" w:hAnsi="仿宋_GB2312" w:eastAsia="仿宋_GB2312" w:cs="仿宋_GB2312"/>
          <w:color w:val="auto"/>
          <w:kern w:val="0"/>
          <w:sz w:val="32"/>
          <w:szCs w:val="32"/>
          <w:highlight w:val="none"/>
          <w:u w:val="single"/>
          <w:lang w:val="en-US" w:eastAsia="zh-CN"/>
        </w:rPr>
        <w:t>有效营业执照</w:t>
      </w:r>
      <w:r>
        <w:rPr>
          <w:rFonts w:hint="eastAsia" w:ascii="仿宋_GB2312" w:hAnsi="仿宋_GB2312" w:eastAsia="仿宋_GB2312" w:cs="仿宋_GB2312"/>
          <w:color w:val="auto"/>
          <w:kern w:val="0"/>
          <w:sz w:val="32"/>
          <w:szCs w:val="32"/>
          <w:highlight w:val="none"/>
        </w:rPr>
        <w:t>。</w:t>
      </w:r>
    </w:p>
    <w:p w14:paraId="3AC8E2E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3.2投标人拟派</w:t>
      </w:r>
      <w:r>
        <w:rPr>
          <w:rFonts w:hint="eastAsia" w:ascii="仿宋_GB2312" w:hAnsi="仿宋_GB2312" w:eastAsia="仿宋_GB2312" w:cs="仿宋_GB2312"/>
          <w:color w:val="auto"/>
          <w:kern w:val="0"/>
          <w:sz w:val="32"/>
          <w:szCs w:val="32"/>
          <w:highlight w:val="none"/>
          <w:lang w:val="en-US" w:eastAsia="zh-CN"/>
        </w:rPr>
        <w:t>一名</w:t>
      </w:r>
      <w:r>
        <w:rPr>
          <w:rFonts w:hint="eastAsia" w:ascii="仿宋_GB2312" w:hAnsi="仿宋_GB2312" w:eastAsia="仿宋_GB2312" w:cs="仿宋_GB2312"/>
          <w:color w:val="auto"/>
          <w:kern w:val="0"/>
          <w:sz w:val="32"/>
          <w:szCs w:val="32"/>
          <w:highlight w:val="none"/>
        </w:rPr>
        <w:t>项目负责人。</w:t>
      </w:r>
    </w:p>
    <w:p w14:paraId="4D2AC554">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val="en-US" w:eastAsia="zh-CN"/>
        </w:rPr>
        <w:t>3业绩要求：投标人提供近三年内（从投标截止时间往前推算）至少一份单项合同金额80万元以上的同类业绩合同（时间、金额以合同为准，合同不能显示的，提供其他证明资料，原件核查）</w:t>
      </w:r>
    </w:p>
    <w:p w14:paraId="2148833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3.4</w:t>
      </w:r>
      <w:r>
        <w:rPr>
          <w:rFonts w:hint="eastAsia" w:ascii="仿宋_GB2312" w:hAnsi="仿宋_GB2312" w:eastAsia="仿宋_GB2312" w:cs="仿宋_GB2312"/>
          <w:color w:val="auto"/>
          <w:kern w:val="0"/>
          <w:sz w:val="32"/>
          <w:szCs w:val="32"/>
          <w:highlight w:val="none"/>
        </w:rPr>
        <w:t>本次招标</w:t>
      </w:r>
      <w:r>
        <w:rPr>
          <w:rFonts w:hint="eastAsia" w:ascii="仿宋_GB2312" w:hAnsi="仿宋_GB2312" w:eastAsia="仿宋_GB2312" w:cs="仿宋_GB2312"/>
          <w:color w:val="auto"/>
          <w:kern w:val="0"/>
          <w:sz w:val="32"/>
          <w:szCs w:val="32"/>
          <w:highlight w:val="none"/>
          <w:u w:val="single"/>
          <w:lang w:val="en-US" w:eastAsia="zh-CN"/>
        </w:rPr>
        <w:t>不</w:t>
      </w:r>
      <w:r>
        <w:rPr>
          <w:rFonts w:hint="eastAsia" w:ascii="仿宋_GB2312" w:hAnsi="仿宋_GB2312" w:eastAsia="仿宋_GB2312" w:cs="仿宋_GB2312"/>
          <w:color w:val="auto"/>
          <w:kern w:val="0"/>
          <w:sz w:val="32"/>
          <w:szCs w:val="32"/>
          <w:highlight w:val="none"/>
          <w:u w:val="single"/>
        </w:rPr>
        <w:t>接受</w:t>
      </w:r>
      <w:r>
        <w:rPr>
          <w:rFonts w:hint="eastAsia" w:ascii="仿宋_GB2312" w:hAnsi="仿宋_GB2312" w:eastAsia="仿宋_GB2312" w:cs="仿宋_GB2312"/>
          <w:color w:val="auto"/>
          <w:kern w:val="0"/>
          <w:sz w:val="32"/>
          <w:szCs w:val="32"/>
          <w:highlight w:val="none"/>
        </w:rPr>
        <w:t>（接受/不接受）联合体投标。</w:t>
      </w:r>
    </w:p>
    <w:p w14:paraId="1553924B">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四、招标文件的获取</w:t>
      </w:r>
    </w:p>
    <w:p w14:paraId="6B72269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4.1招标文件获取时间为：</w:t>
      </w:r>
      <w:r>
        <w:rPr>
          <w:rFonts w:hint="eastAsia" w:ascii="仿宋_GB2312" w:hAnsi="仿宋_GB2312" w:eastAsia="仿宋_GB2312" w:cs="仿宋_GB2312"/>
          <w:color w:val="auto"/>
          <w:kern w:val="0"/>
          <w:sz w:val="32"/>
          <w:szCs w:val="32"/>
          <w:highlight w:val="none"/>
          <w:lang w:eastAsia="zh-CN"/>
        </w:rPr>
        <w:t>2025年</w:t>
      </w: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lang w:eastAsia="zh-CN"/>
        </w:rPr>
        <w:t>月</w:t>
      </w:r>
      <w:r>
        <w:rPr>
          <w:rFonts w:hint="eastAsia" w:ascii="仿宋_GB2312" w:hAnsi="仿宋_GB2312" w:eastAsia="仿宋_GB2312" w:cs="仿宋_GB2312"/>
          <w:color w:val="auto"/>
          <w:kern w:val="0"/>
          <w:sz w:val="32"/>
          <w:szCs w:val="32"/>
          <w:highlight w:val="none"/>
          <w:lang w:val="en-US" w:eastAsia="zh-CN"/>
        </w:rPr>
        <w:t>6</w:t>
      </w:r>
      <w:r>
        <w:rPr>
          <w:rFonts w:hint="eastAsia" w:ascii="仿宋_GB2312" w:hAnsi="仿宋_GB2312" w:eastAsia="仿宋_GB2312" w:cs="仿宋_GB2312"/>
          <w:color w:val="auto"/>
          <w:kern w:val="0"/>
          <w:sz w:val="32"/>
          <w:szCs w:val="32"/>
          <w:highlight w:val="none"/>
          <w:lang w:eastAsia="zh-CN"/>
        </w:rPr>
        <w:t>日至2025年</w:t>
      </w: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lang w:eastAsia="zh-CN"/>
        </w:rPr>
        <w:t>月</w:t>
      </w:r>
      <w:r>
        <w:rPr>
          <w:rFonts w:hint="eastAsia" w:ascii="仿宋_GB2312" w:hAnsi="仿宋_GB2312" w:eastAsia="仿宋_GB2312" w:cs="仿宋_GB2312"/>
          <w:color w:val="auto"/>
          <w:kern w:val="0"/>
          <w:sz w:val="32"/>
          <w:szCs w:val="32"/>
          <w:highlight w:val="none"/>
          <w:lang w:val="en-US" w:eastAsia="zh-CN"/>
        </w:rPr>
        <w:t>12</w:t>
      </w:r>
      <w:r>
        <w:rPr>
          <w:rFonts w:hint="eastAsia" w:ascii="仿宋_GB2312" w:hAnsi="仿宋_GB2312" w:eastAsia="仿宋_GB2312" w:cs="仿宋_GB2312"/>
          <w:color w:val="auto"/>
          <w:kern w:val="0"/>
          <w:sz w:val="32"/>
          <w:szCs w:val="32"/>
          <w:highlight w:val="none"/>
          <w:lang w:eastAsia="zh-CN"/>
        </w:rPr>
        <w:t>日17：00。</w:t>
      </w:r>
    </w:p>
    <w:p w14:paraId="284E9E51">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4.2招标文件获取方式：</w:t>
      </w:r>
    </w:p>
    <w:p w14:paraId="54D9B750">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投标人首先应注册成为E交易平台网站会员，详见会员操作指南。</w:t>
      </w:r>
    </w:p>
    <w:p w14:paraId="7FD4216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投标人按系统提示交纳相关费用后在规定的报名时间内下载招标文件。</w:t>
      </w:r>
    </w:p>
    <w:p w14:paraId="5A1EE3B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相关费用：</w:t>
      </w:r>
    </w:p>
    <w:p w14:paraId="20DD535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招标文件资料费：人民币300元整。</w:t>
      </w:r>
    </w:p>
    <w:p w14:paraId="11B19CB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招标文件资料费发票由代理机构开具；开票方式：开标后10日内至江苏城建校工程咨询有限公司（清潭路85-2号307财务室）开取发票。开票联系方式：0519-88163189</w:t>
      </w:r>
      <w:r>
        <w:rPr>
          <w:rFonts w:hint="eastAsia" w:ascii="仿宋_GB2312" w:hAnsi="仿宋_GB2312" w:eastAsia="仿宋_GB2312" w:cs="仿宋_GB2312"/>
          <w:color w:val="auto"/>
          <w:kern w:val="0"/>
          <w:sz w:val="32"/>
          <w:szCs w:val="32"/>
          <w:highlight w:val="none"/>
          <w:lang w:eastAsia="zh-CN"/>
        </w:rPr>
        <w:t>。</w:t>
      </w:r>
    </w:p>
    <w:p w14:paraId="757E22D4">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平台服务费：由中标人按E交易系统提示操作。平台服务费收款单位：江苏易交易信息科技有限公司，发票由江苏易交易信息科技有限公司开具。</w:t>
      </w:r>
    </w:p>
    <w:p w14:paraId="462CED52">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w:t>
      </w:r>
    </w:p>
    <w:p w14:paraId="072FFC3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下载者首次</w:t>
      </w:r>
      <w:r>
        <w:rPr>
          <w:rFonts w:hint="eastAsia" w:ascii="仿宋_GB2312" w:hAnsi="仿宋_GB2312" w:eastAsia="仿宋_GB2312" w:cs="仿宋_GB2312"/>
          <w:color w:val="auto"/>
          <w:kern w:val="0"/>
          <w:sz w:val="32"/>
          <w:szCs w:val="32"/>
          <w:highlight w:val="none"/>
          <w:lang w:val="en-US" w:eastAsia="zh-CN"/>
        </w:rPr>
        <w:t>登录</w:t>
      </w:r>
      <w:r>
        <w:rPr>
          <w:rFonts w:hint="eastAsia" w:ascii="仿宋_GB2312" w:hAnsi="仿宋_GB2312" w:eastAsia="仿宋_GB2312" w:cs="仿宋_GB2312"/>
          <w:color w:val="auto"/>
          <w:kern w:val="0"/>
          <w:sz w:val="32"/>
          <w:szCs w:val="32"/>
          <w:highlight w:val="none"/>
        </w:rPr>
        <w:t>平台前，须前往平台免费注册，注册成功且完善相关信息后，可以及时参与平台上所有发布的项目；</w:t>
      </w:r>
    </w:p>
    <w:p w14:paraId="5AACB43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平台网站首页“帮助中心”提供操作手册，下载者可以下载并根据操作手册提示进行注册、登录等操作。平台咨询电话为：400-828-9082。平台会通过短信提醒下载者进行注册、支付、下载等操作；</w:t>
      </w:r>
    </w:p>
    <w:p w14:paraId="7A224403">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非因代理机构或平台原因，发票一经开具不予退换。</w:t>
      </w:r>
    </w:p>
    <w:p w14:paraId="754492BD">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五、投标截止时间</w:t>
      </w:r>
    </w:p>
    <w:p w14:paraId="68C155AB">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5.1投标截止时间为：</w:t>
      </w:r>
      <w:r>
        <w:rPr>
          <w:rFonts w:hint="eastAsia" w:ascii="仿宋_GB2312" w:hAnsi="仿宋_GB2312" w:eastAsia="仿宋_GB2312" w:cs="仿宋_GB2312"/>
          <w:bCs/>
          <w:color w:val="auto"/>
          <w:kern w:val="0"/>
          <w:sz w:val="32"/>
          <w:szCs w:val="32"/>
          <w:highlight w:val="none"/>
          <w:u w:val="single"/>
          <w:lang w:eastAsia="zh-CN"/>
        </w:rPr>
        <w:t>2025年</w:t>
      </w:r>
      <w:r>
        <w:rPr>
          <w:rFonts w:hint="eastAsia" w:ascii="仿宋_GB2312" w:hAnsi="仿宋_GB2312" w:eastAsia="仿宋_GB2312" w:cs="仿宋_GB2312"/>
          <w:bCs/>
          <w:color w:val="auto"/>
          <w:kern w:val="0"/>
          <w:sz w:val="32"/>
          <w:szCs w:val="32"/>
          <w:highlight w:val="none"/>
          <w:u w:val="single"/>
          <w:lang w:val="en-US" w:eastAsia="zh-CN"/>
        </w:rPr>
        <w:t>5</w:t>
      </w:r>
      <w:r>
        <w:rPr>
          <w:rFonts w:hint="eastAsia" w:ascii="仿宋_GB2312" w:hAnsi="仿宋_GB2312" w:eastAsia="仿宋_GB2312" w:cs="仿宋_GB2312"/>
          <w:bCs/>
          <w:color w:val="auto"/>
          <w:kern w:val="0"/>
          <w:sz w:val="32"/>
          <w:szCs w:val="32"/>
          <w:highlight w:val="none"/>
          <w:u w:val="single"/>
          <w:lang w:eastAsia="zh-CN"/>
        </w:rPr>
        <w:t>月</w:t>
      </w:r>
      <w:r>
        <w:rPr>
          <w:rFonts w:hint="eastAsia" w:ascii="仿宋_GB2312" w:hAnsi="仿宋_GB2312" w:eastAsia="仿宋_GB2312" w:cs="仿宋_GB2312"/>
          <w:bCs/>
          <w:color w:val="auto"/>
          <w:kern w:val="0"/>
          <w:sz w:val="32"/>
          <w:szCs w:val="32"/>
          <w:highlight w:val="none"/>
          <w:u w:val="single"/>
          <w:lang w:val="en-US" w:eastAsia="zh-CN"/>
        </w:rPr>
        <w:t>19</w:t>
      </w:r>
      <w:r>
        <w:rPr>
          <w:rFonts w:hint="eastAsia" w:ascii="仿宋_GB2312" w:hAnsi="仿宋_GB2312" w:eastAsia="仿宋_GB2312" w:cs="仿宋_GB2312"/>
          <w:bCs/>
          <w:color w:val="auto"/>
          <w:kern w:val="0"/>
          <w:sz w:val="32"/>
          <w:szCs w:val="32"/>
          <w:highlight w:val="none"/>
          <w:u w:val="single"/>
          <w:lang w:eastAsia="zh-CN"/>
        </w:rPr>
        <w:t>日14时00分（北京时间）</w:t>
      </w:r>
      <w:r>
        <w:rPr>
          <w:rFonts w:hint="eastAsia" w:ascii="仿宋_GB2312" w:hAnsi="仿宋_GB2312" w:eastAsia="仿宋_GB2312" w:cs="仿宋_GB2312"/>
          <w:bCs/>
          <w:color w:val="auto"/>
          <w:kern w:val="0"/>
          <w:sz w:val="32"/>
          <w:szCs w:val="32"/>
          <w:highlight w:val="none"/>
        </w:rPr>
        <w:t>。</w:t>
      </w:r>
    </w:p>
    <w:p w14:paraId="12386A13">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5.2地点：常州市木梳路12号（江苏城乡建设职业学院清潭校区院内2号楼5楼</w:t>
      </w:r>
      <w:r>
        <w:rPr>
          <w:rFonts w:hint="eastAsia" w:ascii="仿宋_GB2312" w:hAnsi="仿宋_GB2312" w:eastAsia="仿宋_GB2312" w:cs="仿宋_GB2312"/>
          <w:bCs/>
          <w:color w:val="auto"/>
          <w:kern w:val="0"/>
          <w:sz w:val="32"/>
          <w:szCs w:val="32"/>
          <w:highlight w:val="none"/>
          <w:lang w:val="en-US" w:eastAsia="zh-CN"/>
        </w:rPr>
        <w:t>开标</w:t>
      </w:r>
      <w:r>
        <w:rPr>
          <w:rFonts w:hint="eastAsia" w:ascii="仿宋_GB2312" w:hAnsi="仿宋_GB2312" w:eastAsia="仿宋_GB2312" w:cs="仿宋_GB2312"/>
          <w:bCs/>
          <w:color w:val="auto"/>
          <w:kern w:val="0"/>
          <w:sz w:val="32"/>
          <w:szCs w:val="32"/>
          <w:highlight w:val="none"/>
        </w:rPr>
        <w:t xml:space="preserve">室）。 </w:t>
      </w:r>
    </w:p>
    <w:p w14:paraId="07BAA67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
          <w:bCs/>
          <w:color w:val="auto"/>
          <w:sz w:val="32"/>
          <w:szCs w:val="32"/>
          <w:highlight w:val="none"/>
        </w:rPr>
      </w:pPr>
      <w:r>
        <w:rPr>
          <w:rFonts w:hint="eastAsia" w:ascii="黑体" w:hAnsi="宋体" w:eastAsia="黑体" w:cs="黑体"/>
          <w:bCs/>
          <w:color w:val="auto"/>
          <w:sz w:val="32"/>
          <w:szCs w:val="32"/>
          <w:highlight w:val="none"/>
          <w:lang w:bidi="ar"/>
        </w:rPr>
        <w:t>六、资格审查</w:t>
      </w:r>
      <w:r>
        <w:rPr>
          <w:rFonts w:hint="eastAsia" w:ascii="仿宋_GB2312" w:hAnsi="仿宋_GB2312" w:eastAsia="仿宋_GB2312" w:cs="仿宋_GB2312"/>
          <w:b/>
          <w:bCs/>
          <w:color w:val="auto"/>
          <w:sz w:val="32"/>
          <w:szCs w:val="32"/>
          <w:highlight w:val="none"/>
        </w:rPr>
        <w:t xml:space="preserve"> </w:t>
      </w:r>
    </w:p>
    <w:p w14:paraId="0A38234B">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本次招标采用</w:t>
      </w:r>
      <w:r>
        <w:rPr>
          <w:rFonts w:hint="eastAsia" w:ascii="仿宋_GB2312" w:hAnsi="仿宋_GB2312" w:eastAsia="仿宋_GB2312" w:cs="仿宋_GB2312"/>
          <w:b/>
          <w:color w:val="auto"/>
          <w:kern w:val="0"/>
          <w:sz w:val="32"/>
          <w:szCs w:val="32"/>
          <w:highlight w:val="none"/>
          <w:u w:val="single"/>
        </w:rPr>
        <w:t>资格后审（</w:t>
      </w:r>
      <w:r>
        <w:rPr>
          <w:rFonts w:hint="eastAsia" w:ascii="仿宋_GB2312" w:hAnsi="仿宋_GB2312" w:eastAsia="仿宋_GB2312" w:cs="仿宋_GB2312"/>
          <w:b/>
          <w:color w:val="auto"/>
          <w:kern w:val="0"/>
          <w:sz w:val="32"/>
          <w:szCs w:val="32"/>
          <w:highlight w:val="none"/>
          <w:u w:val="single"/>
          <w:lang w:eastAsia="zh-CN"/>
        </w:rPr>
        <w:t>见面开标</w:t>
      </w:r>
      <w:r>
        <w:rPr>
          <w:rFonts w:hint="eastAsia" w:ascii="仿宋_GB2312" w:hAnsi="仿宋_GB2312" w:eastAsia="仿宋_GB2312" w:cs="仿宋_GB2312"/>
          <w:b/>
          <w:color w:val="auto"/>
          <w:kern w:val="0"/>
          <w:sz w:val="32"/>
          <w:szCs w:val="32"/>
          <w:highlight w:val="none"/>
          <w:u w:val="single"/>
        </w:rPr>
        <w:t>）</w:t>
      </w:r>
      <w:r>
        <w:rPr>
          <w:rFonts w:hint="eastAsia" w:ascii="仿宋_GB2312" w:hAnsi="仿宋_GB2312" w:eastAsia="仿宋_GB2312" w:cs="仿宋_GB2312"/>
          <w:bCs/>
          <w:color w:val="auto"/>
          <w:kern w:val="0"/>
          <w:sz w:val="32"/>
          <w:szCs w:val="32"/>
          <w:highlight w:val="none"/>
        </w:rPr>
        <w:t>方式进行资格审查，资格评审标准详见本招标公告附件一资格审查办法。</w:t>
      </w:r>
    </w:p>
    <w:p w14:paraId="564E2DD6">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七、评标办法</w:t>
      </w:r>
    </w:p>
    <w:p w14:paraId="2405A9C2">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本次招标采用</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rPr>
        <w:t xml:space="preserve">综合评估法    </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rPr>
        <w:t xml:space="preserve">合理低价法  </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lang w:val="en-US" w:eastAsia="zh-CN"/>
        </w:rPr>
        <w:t>经评审的最低投标价法</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bCs/>
          <w:color w:val="auto"/>
          <w:kern w:val="0"/>
          <w:sz w:val="32"/>
          <w:szCs w:val="32"/>
          <w:highlight w:val="none"/>
        </w:rPr>
        <w:t xml:space="preserve">评标标准和方法详见本招标公告附件二。 </w:t>
      </w:r>
    </w:p>
    <w:p w14:paraId="5D4AF001">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八、发布公告的媒介</w:t>
      </w:r>
    </w:p>
    <w:p w14:paraId="42EF3D17">
      <w:pPr>
        <w:keepNext w:val="0"/>
        <w:keepLines w:val="0"/>
        <w:pageBreakBefore w:val="0"/>
        <w:widowControl w:val="0"/>
        <w:kinsoku/>
        <w:wordWrap/>
        <w:overflowPunct/>
        <w:topLinePunct w:val="0"/>
        <w:autoSpaceDE w:val="0"/>
        <w:autoSpaceDN/>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本次招标公告同时在常州高新区管委会</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新北区人民政府</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网站、E交易平台网站、江苏城建校工程咨询网上发布。</w:t>
      </w:r>
    </w:p>
    <w:p w14:paraId="24EC6271">
      <w:pPr>
        <w:keepNext w:val="0"/>
        <w:keepLines w:val="0"/>
        <w:pageBreakBefore w:val="0"/>
        <w:kinsoku/>
        <w:wordWrap/>
        <w:overflowPunct/>
        <w:topLinePunct w:val="0"/>
        <w:bidi w:val="0"/>
        <w:spacing w:line="560" w:lineRule="exact"/>
        <w:ind w:left="0" w:leftChars="0" w:right="0" w:rightChars="0" w:firstLine="640" w:firstLineChars="200"/>
        <w:rPr>
          <w:rFonts w:ascii="宋体" w:hAnsi="宋体" w:cs="宋体"/>
          <w:color w:val="auto"/>
          <w:kern w:val="0"/>
          <w:sz w:val="24"/>
          <w:highlight w:val="none"/>
        </w:rPr>
      </w:pPr>
      <w:r>
        <w:rPr>
          <w:rFonts w:hint="eastAsia" w:ascii="黑体" w:hAnsi="宋体" w:eastAsia="黑体" w:cs="黑体"/>
          <w:bCs/>
          <w:color w:val="auto"/>
          <w:sz w:val="32"/>
          <w:szCs w:val="32"/>
          <w:highlight w:val="none"/>
          <w:lang w:bidi="ar"/>
        </w:rPr>
        <w:t xml:space="preserve">九、联系方式 </w:t>
      </w:r>
      <w:r>
        <w:rPr>
          <w:rFonts w:hint="eastAsia" w:ascii="宋体" w:hAnsi="宋体" w:cs="宋体"/>
          <w:color w:val="auto"/>
          <w:kern w:val="0"/>
          <w:sz w:val="24"/>
          <w:highlight w:val="none"/>
        </w:rPr>
        <w:t xml:space="preserve">                      </w:t>
      </w:r>
    </w:p>
    <w:tbl>
      <w:tblPr>
        <w:tblStyle w:val="14"/>
        <w:tblW w:w="10031" w:type="dxa"/>
        <w:tblInd w:w="0" w:type="dxa"/>
        <w:tblLayout w:type="autofit"/>
        <w:tblCellMar>
          <w:top w:w="0" w:type="dxa"/>
          <w:left w:w="108" w:type="dxa"/>
          <w:bottom w:w="0" w:type="dxa"/>
          <w:right w:w="108" w:type="dxa"/>
        </w:tblCellMar>
      </w:tblPr>
      <w:tblGrid>
        <w:gridCol w:w="4558"/>
        <w:gridCol w:w="5473"/>
      </w:tblGrid>
      <w:tr w14:paraId="286D51F0">
        <w:tblPrEx>
          <w:tblCellMar>
            <w:top w:w="0" w:type="dxa"/>
            <w:left w:w="108" w:type="dxa"/>
            <w:bottom w:w="0" w:type="dxa"/>
            <w:right w:w="108" w:type="dxa"/>
          </w:tblCellMar>
        </w:tblPrEx>
        <w:trPr>
          <w:trHeight w:val="454" w:hRule="atLeast"/>
        </w:trPr>
        <w:tc>
          <w:tcPr>
            <w:tcW w:w="4558" w:type="dxa"/>
            <w:noWrap w:val="0"/>
            <w:vAlign w:val="top"/>
          </w:tcPr>
          <w:p w14:paraId="7FB8A1B2">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招标人：</w:t>
            </w:r>
            <w:r>
              <w:rPr>
                <w:rFonts w:hint="eastAsia" w:ascii="仿宋_GB2312" w:hAnsi="仿宋_GB2312" w:eastAsia="仿宋_GB2312" w:cs="仿宋_GB2312"/>
                <w:bCs/>
                <w:color w:val="auto"/>
                <w:sz w:val="32"/>
                <w:szCs w:val="32"/>
                <w:highlight w:val="none"/>
                <w:lang w:eastAsia="zh-CN" w:bidi="ar"/>
              </w:rPr>
              <w:t>常州上鸿科技服务有限公司</w:t>
            </w:r>
          </w:p>
        </w:tc>
        <w:tc>
          <w:tcPr>
            <w:tcW w:w="5473" w:type="dxa"/>
            <w:noWrap w:val="0"/>
            <w:vAlign w:val="top"/>
          </w:tcPr>
          <w:p w14:paraId="2C805F66">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招标代理机构：</w:t>
            </w:r>
            <w:r>
              <w:rPr>
                <w:rFonts w:hint="eastAsia" w:ascii="仿宋_GB2312" w:hAnsi="仿宋_GB2312" w:eastAsia="仿宋_GB2312" w:cs="仿宋_GB2312"/>
                <w:bCs/>
                <w:color w:val="auto"/>
                <w:sz w:val="32"/>
                <w:szCs w:val="32"/>
                <w:highlight w:val="none"/>
                <w:lang w:eastAsia="zh-CN" w:bidi="ar"/>
              </w:rPr>
              <w:t>江苏城建校工程咨询有限公司</w:t>
            </w:r>
          </w:p>
        </w:tc>
      </w:tr>
      <w:tr w14:paraId="2CA2EADD">
        <w:tblPrEx>
          <w:tblCellMar>
            <w:top w:w="0" w:type="dxa"/>
            <w:left w:w="108" w:type="dxa"/>
            <w:bottom w:w="0" w:type="dxa"/>
            <w:right w:w="108" w:type="dxa"/>
          </w:tblCellMar>
        </w:tblPrEx>
        <w:trPr>
          <w:trHeight w:val="454" w:hRule="atLeast"/>
        </w:trPr>
        <w:tc>
          <w:tcPr>
            <w:tcW w:w="4558" w:type="dxa"/>
            <w:noWrap w:val="0"/>
            <w:vAlign w:val="top"/>
          </w:tcPr>
          <w:p w14:paraId="3D3658EF">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地址：</w:t>
            </w:r>
            <w:r>
              <w:rPr>
                <w:rFonts w:hint="eastAsia" w:ascii="仿宋_GB2312" w:hAnsi="仿宋_GB2312" w:eastAsia="仿宋_GB2312" w:cs="仿宋_GB2312"/>
                <w:bCs/>
                <w:color w:val="auto"/>
                <w:sz w:val="32"/>
                <w:szCs w:val="32"/>
                <w:highlight w:val="none"/>
                <w:lang w:eastAsia="zh-CN" w:bidi="ar"/>
              </w:rPr>
              <w:t>常州市新北区东海路202号</w:t>
            </w:r>
          </w:p>
        </w:tc>
        <w:tc>
          <w:tcPr>
            <w:tcW w:w="5473" w:type="dxa"/>
            <w:noWrap w:val="0"/>
            <w:vAlign w:val="top"/>
          </w:tcPr>
          <w:p w14:paraId="519885DF">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地址：常州市清潭路85-2号302室</w:t>
            </w:r>
          </w:p>
        </w:tc>
      </w:tr>
      <w:tr w14:paraId="4C431DAB">
        <w:tblPrEx>
          <w:tblCellMar>
            <w:top w:w="0" w:type="dxa"/>
            <w:left w:w="108" w:type="dxa"/>
            <w:bottom w:w="0" w:type="dxa"/>
            <w:right w:w="108" w:type="dxa"/>
          </w:tblCellMar>
        </w:tblPrEx>
        <w:trPr>
          <w:trHeight w:val="467" w:hRule="atLeast"/>
        </w:trPr>
        <w:tc>
          <w:tcPr>
            <w:tcW w:w="4558" w:type="dxa"/>
            <w:noWrap w:val="0"/>
            <w:vAlign w:val="top"/>
          </w:tcPr>
          <w:p w14:paraId="716113D1">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联系人：</w:t>
            </w:r>
            <w:r>
              <w:rPr>
                <w:rFonts w:hint="eastAsia" w:ascii="仿宋_GB2312" w:hAnsi="仿宋_GB2312" w:eastAsia="仿宋_GB2312" w:cs="仿宋_GB2312"/>
                <w:bCs/>
                <w:color w:val="auto"/>
                <w:sz w:val="32"/>
                <w:szCs w:val="32"/>
                <w:highlight w:val="none"/>
                <w:lang w:eastAsia="zh-CN" w:bidi="ar"/>
              </w:rPr>
              <w:t>顾女士</w:t>
            </w:r>
          </w:p>
        </w:tc>
        <w:tc>
          <w:tcPr>
            <w:tcW w:w="5473" w:type="dxa"/>
            <w:noWrap w:val="0"/>
            <w:vAlign w:val="top"/>
          </w:tcPr>
          <w:p w14:paraId="3ABC14E6">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联系人：薛工</w:t>
            </w:r>
          </w:p>
        </w:tc>
      </w:tr>
      <w:tr w14:paraId="446F4779">
        <w:tblPrEx>
          <w:tblCellMar>
            <w:top w:w="0" w:type="dxa"/>
            <w:left w:w="108" w:type="dxa"/>
            <w:bottom w:w="0" w:type="dxa"/>
            <w:right w:w="108" w:type="dxa"/>
          </w:tblCellMar>
        </w:tblPrEx>
        <w:trPr>
          <w:trHeight w:val="454" w:hRule="atLeast"/>
        </w:trPr>
        <w:tc>
          <w:tcPr>
            <w:tcW w:w="4558" w:type="dxa"/>
            <w:noWrap w:val="0"/>
            <w:vAlign w:val="top"/>
          </w:tcPr>
          <w:p w14:paraId="1D7D5B40">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电话：</w:t>
            </w:r>
            <w:r>
              <w:rPr>
                <w:rFonts w:hint="eastAsia" w:ascii="仿宋_GB2312" w:hAnsi="仿宋_GB2312" w:eastAsia="仿宋_GB2312" w:cs="仿宋_GB2312"/>
                <w:bCs/>
                <w:color w:val="auto"/>
                <w:sz w:val="32"/>
                <w:szCs w:val="32"/>
                <w:highlight w:val="none"/>
                <w:lang w:eastAsia="zh-CN" w:bidi="ar"/>
              </w:rPr>
              <w:t>0519-85582503</w:t>
            </w:r>
          </w:p>
        </w:tc>
        <w:tc>
          <w:tcPr>
            <w:tcW w:w="5473" w:type="dxa"/>
            <w:noWrap w:val="0"/>
            <w:vAlign w:val="top"/>
          </w:tcPr>
          <w:p w14:paraId="525FE5A2">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电话：</w:t>
            </w:r>
            <w:r>
              <w:rPr>
                <w:rFonts w:hint="eastAsia" w:ascii="仿宋_GB2312" w:hAnsi="仿宋_GB2312" w:eastAsia="仿宋_GB2312" w:cs="仿宋_GB2312"/>
                <w:bCs/>
                <w:color w:val="auto"/>
                <w:sz w:val="32"/>
                <w:szCs w:val="32"/>
                <w:highlight w:val="none"/>
                <w:lang w:val="zh-CN" w:bidi="ar"/>
              </w:rPr>
              <w:t>0519-86908235-8</w:t>
            </w:r>
            <w:r>
              <w:rPr>
                <w:rFonts w:hint="eastAsia" w:ascii="仿宋_GB2312" w:hAnsi="仿宋_GB2312" w:eastAsia="仿宋_GB2312" w:cs="仿宋_GB2312"/>
                <w:bCs/>
                <w:color w:val="auto"/>
                <w:sz w:val="32"/>
                <w:szCs w:val="32"/>
                <w:highlight w:val="none"/>
                <w:lang w:bidi="ar"/>
              </w:rPr>
              <w:t>302</w:t>
            </w:r>
          </w:p>
        </w:tc>
      </w:tr>
    </w:tbl>
    <w:p w14:paraId="75076962">
      <w:pPr>
        <w:keepNext w:val="0"/>
        <w:keepLines w:val="0"/>
        <w:pageBreakBefore w:val="0"/>
        <w:kinsoku/>
        <w:wordWrap/>
        <w:overflowPunct/>
        <w:topLinePunct w:val="0"/>
        <w:bidi w:val="0"/>
        <w:spacing w:line="560" w:lineRule="exact"/>
        <w:ind w:left="0" w:leftChars="0" w:right="0" w:rightChars="0" w:firstLine="562" w:firstLineChars="200"/>
        <w:rPr>
          <w:rFonts w:ascii="宋体" w:hAnsi="宋体" w:cs="Arial"/>
          <w:b/>
          <w:bCs/>
          <w:color w:val="auto"/>
          <w:kern w:val="0"/>
          <w:sz w:val="28"/>
          <w:szCs w:val="28"/>
          <w:highlight w:val="none"/>
        </w:rPr>
      </w:pPr>
    </w:p>
    <w:p w14:paraId="326BA725">
      <w:pPr>
        <w:keepNext w:val="0"/>
        <w:keepLines w:val="0"/>
        <w:pageBreakBefore w:val="0"/>
        <w:widowControl w:val="0"/>
        <w:kinsoku/>
        <w:wordWrap/>
        <w:overflowPunct/>
        <w:topLinePunct w:val="0"/>
        <w:autoSpaceDE w:val="0"/>
        <w:autoSpaceDN/>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bookmarkStart w:id="0" w:name="_Toc32718"/>
      <w:bookmarkStart w:id="1" w:name="_Toc522797139"/>
      <w:bookmarkStart w:id="2" w:name="_Toc389065130"/>
      <w:r>
        <w:rPr>
          <w:rFonts w:hint="eastAsia" w:ascii="仿宋_GB2312" w:hAnsi="仿宋_GB2312" w:eastAsia="仿宋_GB2312" w:cs="仿宋_GB2312"/>
          <w:bCs/>
          <w:color w:val="auto"/>
          <w:sz w:val="32"/>
          <w:szCs w:val="32"/>
          <w:highlight w:val="none"/>
          <w:lang w:eastAsia="zh-CN" w:bidi="ar"/>
        </w:rPr>
        <w:t>友情提醒：</w:t>
      </w:r>
    </w:p>
    <w:bookmarkEnd w:id="0"/>
    <w:bookmarkEnd w:id="1"/>
    <w:bookmarkEnd w:id="2"/>
    <w:p w14:paraId="3D2B3B1B">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1．信息公布、招投标答疑:常州国家高新区管委会（新北区人民政府）网、</w:t>
      </w:r>
      <w:r>
        <w:rPr>
          <w:rFonts w:hint="eastAsia" w:ascii="仿宋_GB2312" w:hAnsi="仿宋_GB2312" w:eastAsia="仿宋_GB2312" w:cs="仿宋_GB2312"/>
          <w:bCs/>
          <w:color w:val="auto"/>
          <w:sz w:val="32"/>
          <w:szCs w:val="32"/>
          <w:highlight w:val="none"/>
          <w:lang w:bidi="ar"/>
        </w:rPr>
        <w:t>江苏城建校工程咨询网</w:t>
      </w:r>
      <w:r>
        <w:rPr>
          <w:rFonts w:hint="eastAsia" w:ascii="仿宋_GB2312" w:hAnsi="仿宋_GB2312" w:eastAsia="仿宋_GB2312" w:cs="仿宋_GB2312"/>
          <w:bCs/>
          <w:color w:val="auto"/>
          <w:sz w:val="32"/>
          <w:szCs w:val="32"/>
          <w:highlight w:val="none"/>
          <w:lang w:eastAsia="zh-CN" w:bidi="ar"/>
        </w:rPr>
        <w:t>、E交易网。</w:t>
      </w:r>
    </w:p>
    <w:p w14:paraId="6415661A">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２．投标人可在本公告发布网页的后续公告栏内查阅本次招投标的“公告发布、招标文件答疑澄清”等全部相关消息，因未能及时了解相关最新信息所引起的投标失误责任自负。</w:t>
      </w:r>
    </w:p>
    <w:p w14:paraId="0FD9F7CE">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３．投标人对招标公告及文件如有异议请联系招标人或招标代理机构。</w:t>
      </w:r>
    </w:p>
    <w:p w14:paraId="23C978CC">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4、本工程的图纸设计单位</w:t>
      </w:r>
      <w:r>
        <w:rPr>
          <w:rFonts w:hint="eastAsia" w:ascii="仿宋_GB2312" w:hAnsi="仿宋_GB2312" w:eastAsia="仿宋_GB2312" w:cs="仿宋_GB2312"/>
          <w:bCs/>
          <w:color w:val="auto"/>
          <w:sz w:val="32"/>
          <w:szCs w:val="32"/>
          <w:highlight w:val="none"/>
          <w:u w:val="single"/>
          <w:lang w:val="en-US" w:eastAsia="zh-CN" w:bidi="ar"/>
        </w:rPr>
        <w:t xml:space="preserve"> 江苏常正建设有限公司 </w:t>
      </w:r>
      <w:r>
        <w:rPr>
          <w:rFonts w:hint="eastAsia" w:ascii="仿宋_GB2312" w:hAnsi="仿宋_GB2312" w:eastAsia="仿宋_GB2312" w:cs="仿宋_GB2312"/>
          <w:bCs/>
          <w:color w:val="auto"/>
          <w:sz w:val="32"/>
          <w:szCs w:val="32"/>
          <w:highlight w:val="none"/>
          <w:lang w:eastAsia="zh-CN" w:bidi="ar"/>
        </w:rPr>
        <w:t>不得参与投标。</w:t>
      </w:r>
    </w:p>
    <w:p w14:paraId="4CF9E0AD">
      <w:pPr>
        <w:pStyle w:val="2"/>
        <w:rPr>
          <w:rFonts w:hint="eastAsia"/>
          <w:lang w:eastAsia="zh-CN"/>
        </w:rPr>
      </w:pPr>
    </w:p>
    <w:p w14:paraId="7301529E">
      <w:pPr>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br w:type="page"/>
      </w:r>
    </w:p>
    <w:p w14:paraId="501F14C7">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left"/>
        <w:textAlignment w:val="auto"/>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1</w:t>
      </w:r>
    </w:p>
    <w:p w14:paraId="6434F739">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资格审查办法（资格后审）</w:t>
      </w:r>
    </w:p>
    <w:p w14:paraId="2D22D6A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黑体" w:hAnsi="宋体" w:eastAsia="黑体" w:cs="黑体"/>
          <w:bCs/>
          <w:color w:val="auto"/>
          <w:sz w:val="32"/>
          <w:szCs w:val="32"/>
          <w:highlight w:val="none"/>
          <w:lang w:bidi="ar"/>
        </w:rPr>
        <w:t>一、本工程由招标人委托的评标委员会采用</w:t>
      </w:r>
      <w:r>
        <w:rPr>
          <w:rFonts w:hint="eastAsia" w:ascii="黑体" w:hAnsi="宋体" w:eastAsia="黑体" w:cs="黑体"/>
          <w:bCs/>
          <w:color w:val="auto"/>
          <w:sz w:val="32"/>
          <w:szCs w:val="32"/>
          <w:highlight w:val="none"/>
          <w:u w:val="single"/>
          <w:lang w:bidi="ar"/>
        </w:rPr>
        <w:t xml:space="preserve"> 资格后审 </w:t>
      </w:r>
      <w:r>
        <w:rPr>
          <w:rFonts w:hint="eastAsia" w:ascii="黑体" w:hAnsi="宋体" w:eastAsia="黑体" w:cs="黑体"/>
          <w:bCs/>
          <w:color w:val="auto"/>
          <w:sz w:val="32"/>
          <w:szCs w:val="32"/>
          <w:highlight w:val="none"/>
          <w:lang w:bidi="ar"/>
        </w:rPr>
        <w:t>对投标人进行资格审查。</w:t>
      </w:r>
      <w:r>
        <w:rPr>
          <w:rFonts w:hint="eastAsia" w:ascii="仿宋_GB2312" w:hAnsi="仿宋_GB2312" w:eastAsia="仿宋_GB2312" w:cs="仿宋_GB2312"/>
          <w:color w:val="auto"/>
          <w:sz w:val="32"/>
          <w:szCs w:val="32"/>
          <w:highlight w:val="none"/>
        </w:rPr>
        <w:t xml:space="preserve"> </w:t>
      </w:r>
    </w:p>
    <w:p w14:paraId="0D1B3C3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黑体" w:hAnsi="宋体" w:eastAsia="黑体" w:cs="黑体"/>
          <w:bCs/>
          <w:color w:val="auto"/>
          <w:sz w:val="32"/>
          <w:szCs w:val="32"/>
          <w:highlight w:val="none"/>
          <w:lang w:bidi="ar"/>
        </w:rPr>
        <w:t>二、本工程资审合格条件：</w:t>
      </w:r>
      <w:r>
        <w:rPr>
          <w:rFonts w:hint="eastAsia" w:ascii="仿宋_GB2312" w:hAnsi="仿宋_GB2312" w:eastAsia="仿宋_GB2312" w:cs="仿宋_GB2312"/>
          <w:color w:val="auto"/>
          <w:sz w:val="32"/>
          <w:szCs w:val="32"/>
          <w:highlight w:val="none"/>
        </w:rPr>
        <w:t xml:space="preserve"> </w:t>
      </w:r>
    </w:p>
    <w:p w14:paraId="13F5B6E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1．具有独立签订合同的能力； </w:t>
      </w:r>
    </w:p>
    <w:p w14:paraId="0FE5ED91">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2．未处于被责令停业、投标资格被取消状态； </w:t>
      </w:r>
    </w:p>
    <w:p w14:paraId="5AFC770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3．企业没有因骗取中标或者严重违约以及发生重大工程质量、安全生产事故等违法违规问题，被有关部门暂停投标资格并在暂停期内的；</w:t>
      </w:r>
    </w:p>
    <w:p w14:paraId="3AA2824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4．投标文件中的资格审查资料没有失真或者弄虚作假；</w:t>
      </w:r>
    </w:p>
    <w:p w14:paraId="6B38C600">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5．满足《中华人民共和国政府采购法》第二十二条规定的资格要求；</w:t>
      </w:r>
    </w:p>
    <w:p w14:paraId="5484D94B">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须为在中华人民共和国境内注册，能在国内合法提供相应的服务；</w:t>
      </w:r>
    </w:p>
    <w:p w14:paraId="4FF430B3">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参加政府采购活动前三年内，在经营活动中没有重大违法记录，且未被列入失信被执行人、严重失信主体、重大税收违法失信、政府采购严重违法失信行为记录名单，信用信息以“中国执行信息公开网”、“信用中国”、“中国政府采购网”网站公布为准及“中国裁判文书网”无行贿记录证明；</w:t>
      </w:r>
    </w:p>
    <w:p w14:paraId="449EC50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本次招标</w:t>
      </w:r>
      <w:r>
        <w:rPr>
          <w:rFonts w:hint="eastAsia" w:ascii="仿宋_GB2312" w:hAnsi="仿宋_GB2312" w:eastAsia="仿宋_GB2312" w:cs="仿宋_GB2312"/>
          <w:b/>
          <w:bCs/>
          <w:color w:val="auto"/>
          <w:sz w:val="32"/>
          <w:szCs w:val="32"/>
          <w:highlight w:val="none"/>
          <w:u w:val="single"/>
        </w:rPr>
        <w:t>不接受（</w:t>
      </w:r>
      <w:r>
        <w:rPr>
          <w:rFonts w:hint="eastAsia" w:ascii="仿宋_GB2312" w:hAnsi="仿宋_GB2312" w:eastAsia="仿宋_GB2312" w:cs="仿宋_GB2312"/>
          <w:color w:val="auto"/>
          <w:sz w:val="32"/>
          <w:szCs w:val="32"/>
          <w:highlight w:val="none"/>
        </w:rPr>
        <w:t>接受/不接受）联合体投标；</w:t>
      </w:r>
    </w:p>
    <w:p w14:paraId="2B36D78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．法律、法规及招标文件规定的其他条件</w:t>
      </w:r>
      <w:r>
        <w:rPr>
          <w:rFonts w:hint="eastAsia" w:ascii="仿宋_GB2312" w:hAnsi="仿宋_GB2312" w:eastAsia="仿宋_GB2312" w:cs="仿宋_GB2312"/>
          <w:color w:val="auto"/>
          <w:kern w:val="0"/>
          <w:sz w:val="32"/>
          <w:szCs w:val="32"/>
          <w:highlight w:val="none"/>
        </w:rPr>
        <w:t>。</w:t>
      </w:r>
    </w:p>
    <w:p w14:paraId="61EA3C39">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val="en-US" w:eastAsia="zh-CN" w:bidi="ar"/>
        </w:rPr>
        <w:t>三、由招标人委托的评标委员会实施对投标人的资格审查。</w:t>
      </w:r>
    </w:p>
    <w:p w14:paraId="016F9C32">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四、资格审查提交资料：</w:t>
      </w:r>
    </w:p>
    <w:p w14:paraId="76DD5330">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企业营业执照（副本）；</w:t>
      </w:r>
    </w:p>
    <w:p w14:paraId="009932E8">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提供投标</w:t>
      </w:r>
      <w:r>
        <w:rPr>
          <w:rFonts w:hint="eastAsia" w:ascii="仿宋_GB2312" w:hAnsi="仿宋_GB2312" w:eastAsia="仿宋_GB2312" w:cs="仿宋_GB2312"/>
          <w:color w:val="000000"/>
          <w:sz w:val="32"/>
          <w:szCs w:val="32"/>
          <w:lang w:val="en-US" w:eastAsia="zh-CN"/>
        </w:rPr>
        <w:t>项目负责人</w:t>
      </w:r>
      <w:r>
        <w:rPr>
          <w:rFonts w:hint="eastAsia" w:ascii="仿宋_GB2312" w:hAnsi="仿宋_GB2312" w:eastAsia="仿宋_GB2312" w:cs="仿宋_GB2312"/>
          <w:color w:val="000000"/>
          <w:sz w:val="32"/>
          <w:szCs w:val="32"/>
        </w:rPr>
        <w:t>相应社保机构出具的投标单位为其缴纳社会基本养老保险的缴纳凭证（加盖社保中心章或社保中心参保缴费证明电子专用章，非社保手册）,缴纳时间为</w:t>
      </w:r>
      <w:r>
        <w:rPr>
          <w:rFonts w:hint="eastAsia" w:ascii="仿宋_GB2312" w:hAnsi="仿宋_GB2312" w:eastAsia="仿宋_GB2312" w:cs="仿宋_GB2312"/>
          <w:b/>
          <w:bCs/>
          <w:color w:val="000000"/>
          <w:sz w:val="32"/>
          <w:szCs w:val="32"/>
          <w:lang w:eastAsia="zh-CN"/>
        </w:rPr>
        <w:t>202</w:t>
      </w:r>
      <w:r>
        <w:rPr>
          <w:rFonts w:hint="eastAsia" w:ascii="仿宋_GB2312" w:hAnsi="仿宋_GB2312" w:eastAsia="仿宋_GB2312" w:cs="仿宋_GB2312"/>
          <w:b/>
          <w:bCs/>
          <w:color w:val="000000"/>
          <w:sz w:val="32"/>
          <w:szCs w:val="32"/>
          <w:lang w:val="en-US" w:eastAsia="zh-CN"/>
        </w:rPr>
        <w:t>5</w:t>
      </w:r>
      <w:r>
        <w:rPr>
          <w:rFonts w:hint="eastAsia" w:ascii="仿宋_GB2312" w:hAnsi="仿宋_GB2312" w:eastAsia="仿宋_GB2312" w:cs="仿宋_GB2312"/>
          <w:b/>
          <w:bCs/>
          <w:color w:val="000000"/>
          <w:sz w:val="32"/>
          <w:szCs w:val="32"/>
          <w:lang w:eastAsia="zh-CN"/>
        </w:rPr>
        <w:t>年</w:t>
      </w:r>
      <w:r>
        <w:rPr>
          <w:rFonts w:hint="eastAsia" w:ascii="仿宋_GB2312" w:hAnsi="仿宋_GB2312" w:eastAsia="仿宋_GB2312" w:cs="仿宋_GB2312"/>
          <w:b/>
          <w:bCs/>
          <w:color w:val="000000"/>
          <w:sz w:val="32"/>
          <w:szCs w:val="32"/>
          <w:lang w:val="en-US" w:eastAsia="zh-CN"/>
        </w:rPr>
        <w:t>1</w:t>
      </w:r>
      <w:r>
        <w:rPr>
          <w:rFonts w:hint="eastAsia" w:ascii="仿宋_GB2312" w:hAnsi="仿宋_GB2312" w:eastAsia="仿宋_GB2312" w:cs="仿宋_GB2312"/>
          <w:b/>
          <w:bCs/>
          <w:color w:val="000000"/>
          <w:sz w:val="32"/>
          <w:szCs w:val="32"/>
          <w:lang w:eastAsia="zh-CN"/>
        </w:rPr>
        <w:t>月至202</w:t>
      </w:r>
      <w:r>
        <w:rPr>
          <w:rFonts w:hint="eastAsia" w:ascii="仿宋_GB2312" w:hAnsi="仿宋_GB2312" w:eastAsia="仿宋_GB2312" w:cs="仿宋_GB2312"/>
          <w:b/>
          <w:bCs/>
          <w:color w:val="000000"/>
          <w:sz w:val="32"/>
          <w:szCs w:val="32"/>
          <w:lang w:val="en-US" w:eastAsia="zh-CN"/>
        </w:rPr>
        <w:t>5</w:t>
      </w:r>
      <w:r>
        <w:rPr>
          <w:rFonts w:hint="eastAsia" w:ascii="仿宋_GB2312" w:hAnsi="仿宋_GB2312" w:eastAsia="仿宋_GB2312" w:cs="仿宋_GB2312"/>
          <w:b/>
          <w:bCs/>
          <w:color w:val="000000"/>
          <w:sz w:val="32"/>
          <w:szCs w:val="32"/>
          <w:lang w:eastAsia="zh-CN"/>
        </w:rPr>
        <w:t>年</w:t>
      </w:r>
      <w:r>
        <w:rPr>
          <w:rFonts w:hint="eastAsia" w:ascii="仿宋_GB2312" w:hAnsi="仿宋_GB2312" w:eastAsia="仿宋_GB2312" w:cs="仿宋_GB2312"/>
          <w:b/>
          <w:bCs/>
          <w:color w:val="000000"/>
          <w:sz w:val="32"/>
          <w:szCs w:val="32"/>
          <w:lang w:val="en-US" w:eastAsia="zh-CN"/>
        </w:rPr>
        <w:t>3</w:t>
      </w:r>
      <w:r>
        <w:rPr>
          <w:rFonts w:hint="eastAsia" w:ascii="仿宋_GB2312" w:hAnsi="仿宋_GB2312" w:eastAsia="仿宋_GB2312" w:cs="仿宋_GB2312"/>
          <w:b/>
          <w:bCs/>
          <w:color w:val="000000"/>
          <w:sz w:val="32"/>
          <w:szCs w:val="32"/>
          <w:lang w:eastAsia="zh-CN"/>
        </w:rPr>
        <w:t>月</w:t>
      </w:r>
      <w:r>
        <w:rPr>
          <w:rFonts w:hint="eastAsia" w:ascii="仿宋_GB2312" w:hAnsi="仿宋_GB2312" w:eastAsia="仿宋_GB2312" w:cs="仿宋_GB2312"/>
          <w:color w:val="000000"/>
          <w:sz w:val="32"/>
          <w:szCs w:val="32"/>
        </w:rPr>
        <w:t>连续三个月。</w:t>
      </w:r>
    </w:p>
    <w:p w14:paraId="0152CE57">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提供授权委托人相应社保机构出具的投标单位为其缴纳社会基本养老保险的缴纳凭证（加盖社保中心章或社保中心参保缴费证明电子专用章，非社保手册） ,缴纳时间为</w:t>
      </w:r>
      <w:r>
        <w:rPr>
          <w:rFonts w:hint="eastAsia" w:ascii="仿宋_GB2312" w:hAnsi="仿宋_GB2312" w:eastAsia="仿宋_GB2312" w:cs="仿宋_GB2312"/>
          <w:b/>
          <w:bCs/>
          <w:color w:val="000000"/>
          <w:sz w:val="32"/>
          <w:szCs w:val="32"/>
          <w:lang w:eastAsia="zh-CN"/>
        </w:rPr>
        <w:t>202</w:t>
      </w:r>
      <w:r>
        <w:rPr>
          <w:rFonts w:hint="eastAsia" w:ascii="仿宋_GB2312" w:hAnsi="仿宋_GB2312" w:eastAsia="仿宋_GB2312" w:cs="仿宋_GB2312"/>
          <w:b/>
          <w:bCs/>
          <w:color w:val="000000"/>
          <w:sz w:val="32"/>
          <w:szCs w:val="32"/>
          <w:lang w:val="en-US" w:eastAsia="zh-CN"/>
        </w:rPr>
        <w:t>5</w:t>
      </w:r>
      <w:r>
        <w:rPr>
          <w:rFonts w:hint="eastAsia" w:ascii="仿宋_GB2312" w:hAnsi="仿宋_GB2312" w:eastAsia="仿宋_GB2312" w:cs="仿宋_GB2312"/>
          <w:b/>
          <w:bCs/>
          <w:color w:val="000000"/>
          <w:sz w:val="32"/>
          <w:szCs w:val="32"/>
          <w:lang w:eastAsia="zh-CN"/>
        </w:rPr>
        <w:t>年</w:t>
      </w:r>
      <w:r>
        <w:rPr>
          <w:rFonts w:hint="eastAsia" w:ascii="仿宋_GB2312" w:hAnsi="仿宋_GB2312" w:eastAsia="仿宋_GB2312" w:cs="仿宋_GB2312"/>
          <w:b/>
          <w:bCs/>
          <w:color w:val="000000"/>
          <w:sz w:val="32"/>
          <w:szCs w:val="32"/>
          <w:lang w:val="en-US" w:eastAsia="zh-CN"/>
        </w:rPr>
        <w:t>1</w:t>
      </w:r>
      <w:r>
        <w:rPr>
          <w:rFonts w:hint="eastAsia" w:ascii="仿宋_GB2312" w:hAnsi="仿宋_GB2312" w:eastAsia="仿宋_GB2312" w:cs="仿宋_GB2312"/>
          <w:b/>
          <w:bCs/>
          <w:color w:val="000000"/>
          <w:sz w:val="32"/>
          <w:szCs w:val="32"/>
          <w:lang w:eastAsia="zh-CN"/>
        </w:rPr>
        <w:t>月至202</w:t>
      </w:r>
      <w:r>
        <w:rPr>
          <w:rFonts w:hint="eastAsia" w:ascii="仿宋_GB2312" w:hAnsi="仿宋_GB2312" w:eastAsia="仿宋_GB2312" w:cs="仿宋_GB2312"/>
          <w:b/>
          <w:bCs/>
          <w:color w:val="000000"/>
          <w:sz w:val="32"/>
          <w:szCs w:val="32"/>
          <w:lang w:val="en-US" w:eastAsia="zh-CN"/>
        </w:rPr>
        <w:t>5</w:t>
      </w:r>
      <w:r>
        <w:rPr>
          <w:rFonts w:hint="eastAsia" w:ascii="仿宋_GB2312" w:hAnsi="仿宋_GB2312" w:eastAsia="仿宋_GB2312" w:cs="仿宋_GB2312"/>
          <w:b/>
          <w:bCs/>
          <w:color w:val="000000"/>
          <w:sz w:val="32"/>
          <w:szCs w:val="32"/>
          <w:lang w:eastAsia="zh-CN"/>
        </w:rPr>
        <w:t>年</w:t>
      </w:r>
      <w:r>
        <w:rPr>
          <w:rFonts w:hint="eastAsia" w:ascii="仿宋_GB2312" w:hAnsi="仿宋_GB2312" w:eastAsia="仿宋_GB2312" w:cs="仿宋_GB2312"/>
          <w:b/>
          <w:bCs/>
          <w:color w:val="000000"/>
          <w:sz w:val="32"/>
          <w:szCs w:val="32"/>
          <w:lang w:val="en-US" w:eastAsia="zh-CN"/>
        </w:rPr>
        <w:t>3</w:t>
      </w:r>
      <w:r>
        <w:rPr>
          <w:rFonts w:hint="eastAsia" w:ascii="仿宋_GB2312" w:hAnsi="仿宋_GB2312" w:eastAsia="仿宋_GB2312" w:cs="仿宋_GB2312"/>
          <w:b/>
          <w:bCs/>
          <w:color w:val="000000"/>
          <w:sz w:val="32"/>
          <w:szCs w:val="32"/>
          <w:lang w:eastAsia="zh-CN"/>
        </w:rPr>
        <w:t>月</w:t>
      </w:r>
      <w:r>
        <w:rPr>
          <w:rFonts w:hint="eastAsia" w:ascii="仿宋_GB2312" w:hAnsi="仿宋_GB2312" w:eastAsia="仿宋_GB2312" w:cs="仿宋_GB2312"/>
          <w:color w:val="000000"/>
          <w:sz w:val="32"/>
          <w:szCs w:val="32"/>
        </w:rPr>
        <w:t>连续三个月。</w:t>
      </w:r>
    </w:p>
    <w:p w14:paraId="62A9F432">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授权委托人本人第二代居民身份证。</w:t>
      </w:r>
    </w:p>
    <w:p w14:paraId="16E2ADDA">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投标人的法定代表人或被委托人必须携带法定代表人资格书（加盖公章、格式详见</w:t>
      </w:r>
      <w:r>
        <w:rPr>
          <w:rFonts w:hint="eastAsia" w:ascii="仿宋_GB2312" w:hAnsi="仿宋_GB2312" w:eastAsia="仿宋_GB2312" w:cs="仿宋_GB2312"/>
          <w:color w:val="000000"/>
          <w:sz w:val="32"/>
          <w:szCs w:val="32"/>
          <w:lang w:eastAsia="zh-CN"/>
        </w:rPr>
        <w:t>附件三</w:t>
      </w:r>
      <w:r>
        <w:rPr>
          <w:rFonts w:hint="eastAsia" w:ascii="仿宋_GB2312" w:hAnsi="仿宋_GB2312" w:eastAsia="仿宋_GB2312" w:cs="仿宋_GB2312"/>
          <w:color w:val="000000"/>
          <w:sz w:val="32"/>
          <w:szCs w:val="32"/>
        </w:rPr>
        <w:t>）、法定代表人授权委托书（加盖公章、法人签章、格式详见</w:t>
      </w:r>
      <w:r>
        <w:rPr>
          <w:rFonts w:hint="eastAsia" w:ascii="仿宋_GB2312" w:hAnsi="仿宋_GB2312" w:eastAsia="仿宋_GB2312" w:cs="仿宋_GB2312"/>
          <w:color w:val="000000"/>
          <w:sz w:val="32"/>
          <w:szCs w:val="32"/>
          <w:lang w:eastAsia="zh-CN"/>
        </w:rPr>
        <w:t>附件三</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w:t>
      </w:r>
    </w:p>
    <w:p w14:paraId="3F1679F9">
      <w:pPr>
        <w:pStyle w:val="13"/>
        <w:keepNext w:val="0"/>
        <w:keepLines w:val="0"/>
        <w:pageBreakBefore w:val="0"/>
        <w:kinsoku/>
        <w:wordWrap/>
        <w:overflowPunct/>
        <w:topLinePunct w:val="0"/>
        <w:bidi w:val="0"/>
        <w:spacing w:after="0" w:line="560" w:lineRule="exact"/>
        <w:ind w:left="0" w:leftChars="0" w:right="0" w:rightChars="0"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4.6投标保证金缴款回单。</w:t>
      </w:r>
    </w:p>
    <w:p w14:paraId="07733FB1">
      <w:pPr>
        <w:keepNext w:val="0"/>
        <w:keepLines w:val="0"/>
        <w:pageBreakBefore w:val="0"/>
        <w:widowControl/>
        <w:tabs>
          <w:tab w:val="left" w:pos="1680"/>
        </w:tabs>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highlight w:val="none"/>
          <w:lang w:eastAsia="zh-CN"/>
        </w:rPr>
        <w:t>4.</w:t>
      </w:r>
      <w:r>
        <w:rPr>
          <w:rFonts w:hint="eastAsia" w:ascii="仿宋_GB2312" w:hAnsi="仿宋_GB2312" w:eastAsia="仿宋_GB2312" w:cs="仿宋_GB2312"/>
          <w:color w:val="000000"/>
          <w:sz w:val="32"/>
          <w:szCs w:val="32"/>
          <w:highlight w:val="none"/>
          <w:lang w:val="en-US" w:eastAsia="zh-CN"/>
        </w:rPr>
        <w:t>7</w:t>
      </w:r>
      <w:r>
        <w:rPr>
          <w:rFonts w:hint="eastAsia" w:ascii="仿宋_GB2312" w:hAnsi="仿宋_GB2312" w:eastAsia="仿宋_GB2312" w:cs="仿宋_GB2312"/>
          <w:color w:val="000000"/>
          <w:sz w:val="32"/>
          <w:szCs w:val="32"/>
          <w:highlight w:val="none"/>
          <w:lang w:eastAsia="zh-CN"/>
        </w:rPr>
        <w:t>投标人信用承诺书</w:t>
      </w:r>
      <w:r>
        <w:rPr>
          <w:rFonts w:hint="eastAsia" w:ascii="仿宋_GB2312" w:hAnsi="仿宋_GB2312" w:eastAsia="仿宋_GB2312" w:cs="仿宋_GB2312"/>
          <w:color w:val="000000"/>
          <w:sz w:val="32"/>
          <w:szCs w:val="32"/>
          <w:highlight w:val="none"/>
        </w:rPr>
        <w:t>（详见</w:t>
      </w:r>
      <w:r>
        <w:rPr>
          <w:rFonts w:hint="eastAsia" w:ascii="仿宋_GB2312" w:hAnsi="仿宋_GB2312" w:eastAsia="仿宋_GB2312" w:cs="仿宋_GB2312"/>
          <w:color w:val="000000"/>
          <w:sz w:val="32"/>
          <w:szCs w:val="32"/>
          <w:highlight w:val="none"/>
          <w:lang w:eastAsia="zh-CN"/>
        </w:rPr>
        <w:t>附件四</w:t>
      </w:r>
      <w:r>
        <w:rPr>
          <w:rFonts w:hint="eastAsia" w:ascii="仿宋_GB2312" w:hAnsi="仿宋_GB2312" w:eastAsia="仿宋_GB2312" w:cs="仿宋_GB2312"/>
          <w:color w:val="000000"/>
          <w:sz w:val="32"/>
          <w:szCs w:val="32"/>
          <w:highlight w:val="none"/>
        </w:rPr>
        <w:t>）。</w:t>
      </w:r>
    </w:p>
    <w:p w14:paraId="047E8EEF">
      <w:pPr>
        <w:keepNext w:val="0"/>
        <w:keepLines w:val="0"/>
        <w:pageBreakBefore w:val="0"/>
        <w:widowControl/>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特别提醒：</w:t>
      </w:r>
    </w:p>
    <w:p w14:paraId="54965617">
      <w:pPr>
        <w:pStyle w:val="29"/>
        <w:keepNext w:val="0"/>
        <w:keepLines w:val="0"/>
        <w:pageBreakBefore w:val="0"/>
        <w:widowControl/>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① 以上所有资料资格审查时必须提供有效复印件二份，复印件必须装订成册并加盖公章，如未提供或提供不全，作资格审查不通过处理，不接受补充资料。报名单位必须对其提供的资料的真实性负责。资审材料需单独装袋、密封（在封袋骑缝密封处加盖企业公章和企业法定代表人签章）。   </w:t>
      </w:r>
    </w:p>
    <w:p w14:paraId="6C87CE6F">
      <w:pPr>
        <w:keepNext w:val="0"/>
        <w:keepLines w:val="0"/>
        <w:pageBreakBefore w:val="0"/>
        <w:widowControl/>
        <w:tabs>
          <w:tab w:val="left" w:pos="8820"/>
        </w:tabs>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②除授权委托人身份证原件不用装袋、密封，其他资格审查资料必须一起装袋、密封（在封袋骑缝密封处加盖企业公章和企业法定代表人签章），在资格审查前一次性递交，资格审查截止时间后不再接受补充资料。</w:t>
      </w:r>
    </w:p>
    <w:p w14:paraId="253A6071">
      <w:pPr>
        <w:keepNext w:val="0"/>
        <w:keepLines w:val="0"/>
        <w:pageBreakBefore w:val="0"/>
        <w:widowControl/>
        <w:tabs>
          <w:tab w:val="left" w:pos="8820"/>
        </w:tabs>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 xml:space="preserve">③在规定时间内未能按上述要求提供以上资料的作资审不合格处理。 </w:t>
      </w:r>
    </w:p>
    <w:p w14:paraId="18B82735">
      <w:pPr>
        <w:keepNext w:val="0"/>
        <w:keepLines w:val="0"/>
        <w:pageBreakBefore w:val="0"/>
        <w:numPr>
          <w:ilvl w:val="0"/>
          <w:numId w:val="0"/>
        </w:numPr>
        <w:kinsoku/>
        <w:wordWrap/>
        <w:overflowPunct/>
        <w:topLinePunct w:val="0"/>
        <w:bidi w:val="0"/>
        <w:adjustRightInd w:val="0"/>
        <w:spacing w:line="560" w:lineRule="exact"/>
        <w:ind w:left="0" w:leftChars="0" w:right="0" w:rightChars="0" w:firstLine="643" w:firstLineChars="200"/>
        <w:jc w:val="left"/>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000000"/>
          <w:kern w:val="0"/>
          <w:sz w:val="32"/>
          <w:szCs w:val="32"/>
          <w:lang w:val="en-US" w:eastAsia="zh-CN" w:bidi="ar-SA"/>
        </w:rPr>
        <w:t>五、开标（包括资格后审）时间、地点：</w:t>
      </w:r>
      <w:r>
        <w:rPr>
          <w:rFonts w:hint="eastAsia" w:ascii="仿宋_GB2312" w:hAnsi="仿宋_GB2312" w:eastAsia="仿宋_GB2312" w:cs="仿宋_GB2312"/>
          <w:color w:val="auto"/>
          <w:sz w:val="32"/>
          <w:szCs w:val="32"/>
          <w:highlight w:val="none"/>
        </w:rPr>
        <w:t>详见招标文件投标人须知。</w:t>
      </w:r>
    </w:p>
    <w:p w14:paraId="73EF53CF">
      <w:pPr>
        <w:pStyle w:val="13"/>
        <w:ind w:firstLine="643" w:firstLineChars="200"/>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六、投标人的法定代表人（或委托代理人）须携带第二代身份证原件于投标截止时间前到达开标现场并签到，并在招标人按开标程序进行点名时，向招标人提交本人第二代身份证原件，以证明其出席，未按以上要求，其投标文件将作无效投标予以否决。</w:t>
      </w:r>
    </w:p>
    <w:p w14:paraId="593252F7">
      <w:pPr>
        <w:pStyle w:val="13"/>
        <w:ind w:firstLine="640" w:firstLineChars="200"/>
        <w:rPr>
          <w:rFonts w:hint="eastAsia" w:ascii="仿宋_GB2312" w:hAnsi="仿宋_GB2312" w:eastAsia="仿宋_GB2312" w:cs="仿宋_GB2312"/>
          <w:color w:val="000000"/>
          <w:kern w:val="2"/>
          <w:sz w:val="32"/>
          <w:szCs w:val="32"/>
          <w:lang w:val="en-US" w:eastAsia="zh-CN" w:bidi="ar-SA"/>
        </w:rPr>
      </w:pPr>
    </w:p>
    <w:p w14:paraId="7A886476">
      <w:pPr>
        <w:pStyle w:val="13"/>
        <w:numPr>
          <w:ilvl w:val="0"/>
          <w:numId w:val="0"/>
        </w:numPr>
        <w:ind w:right="-2" w:rightChars="-1"/>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备注：</w:t>
      </w:r>
    </w:p>
    <w:p w14:paraId="0982F9E3">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信息公布、招标文件（工程量清单、图纸）的下载、招标控制价的下载、招投标答疑：“</w:t>
      </w:r>
      <w:r>
        <w:rPr>
          <w:rFonts w:hint="eastAsia" w:ascii="仿宋_GB2312" w:hAnsi="仿宋_GB2312" w:eastAsia="仿宋_GB2312" w:cs="仿宋_GB2312"/>
          <w:color w:val="auto"/>
          <w:sz w:val="32"/>
          <w:szCs w:val="32"/>
          <w:highlight w:val="none"/>
          <w:lang w:eastAsia="zh-CN"/>
        </w:rPr>
        <w:t>E交易平台</w:t>
      </w:r>
      <w:r>
        <w:rPr>
          <w:rFonts w:hint="eastAsia" w:ascii="仿宋_GB2312" w:hAnsi="仿宋_GB2312" w:eastAsia="仿宋_GB2312" w:cs="仿宋_GB2312"/>
          <w:color w:val="auto"/>
          <w:sz w:val="32"/>
          <w:szCs w:val="32"/>
          <w:highlight w:val="none"/>
        </w:rPr>
        <w:t>”。</w:t>
      </w:r>
    </w:p>
    <w:p w14:paraId="57172FD9">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本工程所有的资审资料，都必须在有效期内。 </w:t>
      </w:r>
    </w:p>
    <w:p w14:paraId="1FCE30B0">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本工程不满3家投标将重新组织招标。</w:t>
      </w:r>
    </w:p>
    <w:p w14:paraId="6478DBBE">
      <w:pPr>
        <w:bidi w:val="0"/>
        <w:rPr>
          <w:rFonts w:hint="eastAsia" w:ascii="仿宋_GB2312" w:hAnsi="仿宋_GB2312" w:eastAsia="仿宋_GB2312" w:cs="仿宋_GB2312"/>
          <w:color w:val="auto"/>
          <w:sz w:val="32"/>
          <w:szCs w:val="32"/>
          <w:highlight w:val="none"/>
        </w:rPr>
      </w:pPr>
    </w:p>
    <w:p w14:paraId="5EAC9625">
      <w:pPr>
        <w:bidi w:val="0"/>
        <w:jc w:val="left"/>
        <w:rPr>
          <w:rFonts w:hint="eastAsia" w:ascii="仿宋_GB2312" w:hAnsi="仿宋_GB2312" w:eastAsia="黑体"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br w:type="page"/>
      </w: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2</w:t>
      </w:r>
    </w:p>
    <w:p w14:paraId="6394CD07">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评 标 细 则</w:t>
      </w:r>
    </w:p>
    <w:p w14:paraId="78B99843">
      <w:pPr>
        <w:pStyle w:val="12"/>
        <w:keepNext w:val="0"/>
        <w:keepLines w:val="0"/>
        <w:pageBreakBefore w:val="0"/>
        <w:shd w:val="clear" w:color="auto" w:fill="FFFFFF"/>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本着公平、公正、公开的原则对各投标单位投标文件中的商务标等方面进行评分。具体办法如下：（共计100分） </w:t>
      </w:r>
    </w:p>
    <w:p w14:paraId="5B7758A0">
      <w:pPr>
        <w:pStyle w:val="12"/>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第一步：投标文件能够满足招标文件的实质性要求； </w:t>
      </w:r>
    </w:p>
    <w:p w14:paraId="18CE2062">
      <w:pPr>
        <w:pStyle w:val="12"/>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第二步：符合性清标，商务标符合招标文件的实质性要求； </w:t>
      </w:r>
    </w:p>
    <w:p w14:paraId="178C43CA">
      <w:pPr>
        <w:pStyle w:val="12"/>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第三步：投标报价得分。</w:t>
      </w:r>
    </w:p>
    <w:p w14:paraId="73321772">
      <w:pPr>
        <w:pStyle w:val="12"/>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一、投标报价（100 分） </w:t>
      </w:r>
    </w:p>
    <w:p w14:paraId="2966A009">
      <w:pPr>
        <w:pStyle w:val="12"/>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 xml:space="preserve">确定有效投标报价。 </w:t>
      </w:r>
    </w:p>
    <w:p w14:paraId="6D175C3C">
      <w:pPr>
        <w:pStyle w:val="12"/>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凡符合招标文件、招标答疑纪要等有关招标实质性要求，且在招标控制价以下的投标文件均为有效投标文件，未能实质性响应上述有关招标要求的投标文件为无效投标文件。 </w:t>
      </w:r>
    </w:p>
    <w:p w14:paraId="03D0434D">
      <w:pPr>
        <w:pStyle w:val="12"/>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确定评标基准价C </w:t>
      </w:r>
    </w:p>
    <w:p w14:paraId="11079891">
      <w:pPr>
        <w:pStyle w:val="12"/>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（1）评标基准价C= A×K；</w:t>
      </w:r>
    </w:p>
    <w:p w14:paraId="0ED3EE2C">
      <w:pPr>
        <w:pStyle w:val="12"/>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A为所有有效投标报价的算术平均值（若有效投标文件为7家或7家以上时，去掉其中的一个最高投标报价和一个最低投标报价后取算术平均值为A，若有效投标文件为10家或10家以上时，去掉其中的两个最高投标报价和两个最低投标报价后取算术平均值为A。若有效投标文件为7家以下时所有投标人的投标报价全部参与合成算数平均值A）；</w:t>
      </w:r>
    </w:p>
    <w:p w14:paraId="768FB607">
      <w:pPr>
        <w:pStyle w:val="12"/>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（3）K值在开标时由招标人代表随机抽取确定，一经确定，在后续的评审中出现任何情形都将不改变取值结果。K值的取值范围为95%、96%、97%、98%；</w:t>
      </w:r>
    </w:p>
    <w:p w14:paraId="13F523E3">
      <w:pPr>
        <w:pStyle w:val="12"/>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评分 </w:t>
      </w:r>
    </w:p>
    <w:p w14:paraId="7205AB8A">
      <w:pPr>
        <w:pStyle w:val="12"/>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有效投标报价等于评标基准价的得满分100分，有效投标报价相对评标基准价每高</w:t>
      </w:r>
      <w:r>
        <w:rPr>
          <w:rFonts w:hint="eastAsia" w:ascii="仿宋_GB2312" w:hAnsi="仿宋_GB2312" w:eastAsia="仿宋_GB2312" w:cs="仿宋_GB2312"/>
          <w:color w:val="auto"/>
          <w:sz w:val="32"/>
          <w:szCs w:val="32"/>
          <w:highlight w:val="none"/>
          <w:lang w:val="en-US" w:eastAsia="zh-CN"/>
        </w:rPr>
        <w:t>或低</w:t>
      </w:r>
      <w:r>
        <w:rPr>
          <w:rFonts w:hint="eastAsia" w:ascii="仿宋_GB2312" w:hAnsi="仿宋_GB2312" w:eastAsia="仿宋_GB2312" w:cs="仿宋_GB2312"/>
          <w:color w:val="auto"/>
          <w:sz w:val="32"/>
          <w:szCs w:val="32"/>
          <w:highlight w:val="none"/>
        </w:rPr>
        <w:t xml:space="preserve">1%扣0.5分；若偏离不足1%，则按内插法计算得分。（注：所有计算结果均四舍五入，保留两位小数点）。  </w:t>
      </w:r>
    </w:p>
    <w:p w14:paraId="46617F2F">
      <w:pPr>
        <w:pStyle w:val="12"/>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定标办法</w:t>
      </w:r>
    </w:p>
    <w:p w14:paraId="399CC697">
      <w:pPr>
        <w:pStyle w:val="12"/>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（1）以上得分最高者为第一中标候选人；若得分相同，则选择其中投标报价低者为中标候选人；若得分相同，投标报价也相同，当场按签到顺序抽签确定中标候选人。</w:t>
      </w:r>
    </w:p>
    <w:p w14:paraId="0E8099FC">
      <w:pPr>
        <w:keepNext w:val="0"/>
        <w:keepLines w:val="0"/>
        <w:pageBreakBefore w:val="0"/>
        <w:tabs>
          <w:tab w:val="left" w:pos="1680"/>
        </w:tabs>
        <w:kinsoku/>
        <w:wordWrap/>
        <w:overflowPunct/>
        <w:topLinePunct w:val="0"/>
        <w:autoSpaceDE w:val="0"/>
        <w:autoSpaceDN w:val="0"/>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2）在评标结束前，评标委员会应在“信用中国”、中国执行信息公开网网站上对拟推荐为“中标候选人”的信用情况进行查询。投标人、项目负责人及其联合体中任何一个成员正被列为失信被执行人等情形的，评标委员会不得推荐为“中标候选人”，取消拟推荐为“中标候选人”资格后，评标委员会应按评标排名进行依次递补。</w:t>
      </w:r>
    </w:p>
    <w:p w14:paraId="60CCBF8A">
      <w:pPr>
        <w:keepNext w:val="0"/>
        <w:keepLines w:val="0"/>
        <w:pageBreakBefore w:val="0"/>
        <w:tabs>
          <w:tab w:val="left" w:pos="1680"/>
        </w:tabs>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注意事项：</w:t>
      </w:r>
    </w:p>
    <w:p w14:paraId="79D3CC7C">
      <w:pPr>
        <w:keepNext w:val="0"/>
        <w:keepLines w:val="0"/>
        <w:pageBreakBefore w:val="0"/>
        <w:widowControl w:val="0"/>
        <w:tabs>
          <w:tab w:val="left" w:pos="1680"/>
        </w:tabs>
        <w:kinsoku/>
        <w:wordWrap/>
        <w:overflowPunct/>
        <w:topLinePunct w:val="0"/>
        <w:autoSpaceDE w:val="0"/>
        <w:autoSpaceDN w:val="0"/>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１．</w:t>
      </w:r>
      <w:r>
        <w:rPr>
          <w:rFonts w:hint="eastAsia" w:ascii="仿宋_GB2312" w:hAnsi="仿宋_GB2312" w:eastAsia="仿宋_GB2312" w:cs="仿宋_GB2312"/>
          <w:color w:val="auto"/>
          <w:sz w:val="32"/>
          <w:szCs w:val="32"/>
          <w:highlight w:val="none"/>
        </w:rPr>
        <w:t xml:space="preserve">一旦发现中标候选单位的投标建造师已有在建或已另有工程中标的，则取消其中标候选人资格，同时按相关法律法规处罚。 </w:t>
      </w:r>
    </w:p>
    <w:p w14:paraId="0876FCD3">
      <w:pPr>
        <w:keepNext w:val="0"/>
        <w:keepLines w:val="0"/>
        <w:pageBreakBefore w:val="0"/>
        <w:widowControl w:val="0"/>
        <w:tabs>
          <w:tab w:val="left" w:pos="1680"/>
        </w:tabs>
        <w:kinsoku/>
        <w:wordWrap/>
        <w:overflowPunct/>
        <w:topLinePunct w:val="0"/>
        <w:autoSpaceDE w:val="0"/>
        <w:autoSpaceDN w:val="0"/>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２．</w:t>
      </w:r>
      <w:r>
        <w:rPr>
          <w:rFonts w:hint="eastAsia" w:ascii="仿宋_GB2312" w:hAnsi="仿宋_GB2312" w:eastAsia="仿宋_GB2312" w:cs="仿宋_GB2312"/>
          <w:color w:val="auto"/>
          <w:sz w:val="32"/>
          <w:szCs w:val="32"/>
          <w:highlight w:val="none"/>
        </w:rPr>
        <w:t xml:space="preserve">一旦发现中标单位存在非法转包、转让、挂靠等行为的， 将依法进行处理 ，给招标人造成损失的，依法承担赔偿责任。 </w:t>
      </w:r>
    </w:p>
    <w:p w14:paraId="3E09B397">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eastAsia="zh-CN"/>
        </w:rPr>
        <w:t>３．</w:t>
      </w:r>
      <w:r>
        <w:rPr>
          <w:rFonts w:hint="eastAsia" w:ascii="仿宋_GB2312" w:hAnsi="仿宋_GB2312" w:eastAsia="仿宋_GB2312" w:cs="仿宋_GB2312"/>
          <w:color w:val="auto"/>
          <w:sz w:val="32"/>
          <w:szCs w:val="32"/>
          <w:highlight w:val="none"/>
        </w:rPr>
        <w:t>本工程招标公告中的评标细则与招标文件中的评标细则不一致时，以招标公告中的评标细则为准</w:t>
      </w:r>
      <w:r>
        <w:rPr>
          <w:rFonts w:hint="eastAsia" w:ascii="仿宋_GB2312" w:hAnsi="仿宋_GB2312" w:eastAsia="仿宋_GB2312" w:cs="仿宋_GB2312"/>
          <w:color w:val="auto"/>
          <w:sz w:val="32"/>
          <w:szCs w:val="32"/>
        </w:rPr>
        <w:t>。</w:t>
      </w:r>
    </w:p>
    <w:p w14:paraId="1C671432">
      <w:pPr>
        <w:keepNext w:val="0"/>
        <w:keepLines w:val="0"/>
        <w:pageBreakBefore w:val="0"/>
        <w:widowControl w:val="0"/>
        <w:tabs>
          <w:tab w:val="left" w:pos="540"/>
          <w:tab w:val="left" w:pos="720"/>
          <w:tab w:val="left" w:pos="900"/>
          <w:tab w:val="left" w:pos="1080"/>
        </w:tabs>
        <w:kinsoku/>
        <w:wordWrap/>
        <w:overflowPunct/>
        <w:topLinePunct w:val="0"/>
        <w:bidi w:val="0"/>
        <w:adjustRightInd/>
        <w:snapToGrid/>
        <w:spacing w:beforeAutospacing="0" w:afterAutospacing="0" w:line="560" w:lineRule="exact"/>
        <w:ind w:left="0" w:leftChars="0" w:right="0" w:rightChars="0" w:firstLine="643" w:firstLineChars="200"/>
        <w:textAlignment w:val="auto"/>
        <w:rPr>
          <w:rFonts w:hint="eastAsia" w:ascii="仿宋_GB2312" w:hAnsi="仿宋_GB2312" w:eastAsia="仿宋_GB2312" w:cs="仿宋_GB2312"/>
          <w:b/>
          <w:color w:val="auto"/>
          <w:sz w:val="32"/>
          <w:szCs w:val="32"/>
        </w:rPr>
        <w:sectPr>
          <w:headerReference r:id="rId3" w:type="default"/>
          <w:footerReference r:id="rId4" w:type="default"/>
          <w:footerReference r:id="rId5" w:type="even"/>
          <w:pgSz w:w="11906" w:h="16838"/>
          <w:pgMar w:top="1134" w:right="1134" w:bottom="1134" w:left="1134" w:header="851" w:footer="992" w:gutter="0"/>
          <w:cols w:space="720" w:num="1"/>
          <w:titlePg/>
          <w:docGrid w:type="lines" w:linePitch="312" w:charSpace="0"/>
        </w:sectPr>
      </w:pPr>
    </w:p>
    <w:p w14:paraId="67E3E2B8">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left"/>
        <w:textAlignment w:val="auto"/>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3</w:t>
      </w:r>
    </w:p>
    <w:p w14:paraId="3EECCC27">
      <w:pPr>
        <w:keepNext w:val="0"/>
        <w:keepLines w:val="0"/>
        <w:pageBreakBefore w:val="0"/>
        <w:tabs>
          <w:tab w:val="left" w:pos="0"/>
        </w:tabs>
        <w:kinsoku/>
        <w:wordWrap/>
        <w:overflowPunct/>
        <w:topLinePunct w:val="0"/>
        <w:bidi w:val="0"/>
        <w:spacing w:line="560" w:lineRule="exact"/>
        <w:ind w:left="0" w:leftChars="0" w:right="0" w:rightChars="0" w:firstLine="643" w:firstLineChars="200"/>
        <w:jc w:val="center"/>
        <w:rPr>
          <w:rFonts w:hint="eastAsia" w:ascii="仿宋_GB2312" w:hAnsi="仿宋_GB2312" w:eastAsia="仿宋_GB2312" w:cs="仿宋_GB2312"/>
          <w:b/>
          <w:color w:val="auto"/>
          <w:sz w:val="32"/>
          <w:szCs w:val="32"/>
        </w:rPr>
      </w:pPr>
    </w:p>
    <w:p w14:paraId="14EDD8F5">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法定代表人资格书</w:t>
      </w:r>
    </w:p>
    <w:p w14:paraId="7E1DB027">
      <w:pPr>
        <w:pStyle w:val="9"/>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单位名称：</w:t>
      </w:r>
    </w:p>
    <w:p w14:paraId="0B5A705C">
      <w:pPr>
        <w:pStyle w:val="9"/>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w:t>
      </w:r>
    </w:p>
    <w:p w14:paraId="34B42C37">
      <w:pPr>
        <w:pStyle w:val="9"/>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姓名：             性别：          年龄：          职务：</w:t>
      </w:r>
    </w:p>
    <w:p w14:paraId="7DD4B2CB">
      <w:pPr>
        <w:pStyle w:val="9"/>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系</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的法定代表人。为施工、竣工和保修</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的工程，签署上述工程的报名材料、资审材料、投标文件、进行合同谈判、签署合同和处理与之有关的一切事务。</w:t>
      </w:r>
    </w:p>
    <w:p w14:paraId="05EF9F01">
      <w:pPr>
        <w:pStyle w:val="9"/>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特此证明。</w:t>
      </w:r>
    </w:p>
    <w:p w14:paraId="2909BFD2">
      <w:pPr>
        <w:pStyle w:val="9"/>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投标人：(盖章)</w:t>
      </w:r>
    </w:p>
    <w:p w14:paraId="113FF05B">
      <w:pPr>
        <w:pStyle w:val="9"/>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日期：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14:paraId="0E6A9ECF">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5359309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231140</wp:posOffset>
                </wp:positionH>
                <wp:positionV relativeFrom="paragraph">
                  <wp:posOffset>258445</wp:posOffset>
                </wp:positionV>
                <wp:extent cx="4933950" cy="2882900"/>
                <wp:effectExtent l="4445" t="4445" r="14605" b="8255"/>
                <wp:wrapNone/>
                <wp:docPr id="4" name="文本框 4"/>
                <wp:cNvGraphicFramePr/>
                <a:graphic xmlns:a="http://schemas.openxmlformats.org/drawingml/2006/main">
                  <a:graphicData uri="http://schemas.microsoft.com/office/word/2010/wordprocessingShape">
                    <wps:wsp>
                      <wps:cNvSpPr txBox="1"/>
                      <wps:spPr>
                        <a:xfrm>
                          <a:off x="0" y="0"/>
                          <a:ext cx="4933950" cy="2882900"/>
                        </a:xfrm>
                        <a:prstGeom prst="rect">
                          <a:avLst/>
                        </a:prstGeom>
                        <a:noFill/>
                        <a:ln w="9525" cap="flat" cmpd="sng">
                          <a:solidFill>
                            <a:srgbClr val="000000"/>
                          </a:solidFill>
                          <a:prstDash val="solid"/>
                          <a:miter/>
                          <a:headEnd type="none" w="med" len="med"/>
                          <a:tailEnd type="none" w="med" len="med"/>
                        </a:ln>
                        <a:effectLst/>
                      </wps:spPr>
                      <wps:txbx>
                        <w:txbxContent>
                          <w:p w14:paraId="41187F43">
                            <w:pPr>
                              <w:rPr>
                                <w:b/>
                              </w:rPr>
                            </w:pPr>
                            <w:r>
                              <w:rPr>
                                <w:rFonts w:hint="eastAsia"/>
                                <w:b/>
                              </w:rPr>
                              <w:t>（此处为法定代表人身份证复印件粘贴处，未提供复印件的视为无效身份证明）</w:t>
                            </w:r>
                          </w:p>
                          <w:p w14:paraId="16741D64"/>
                        </w:txbxContent>
                      </wps:txbx>
                      <wps:bodyPr upright="1"/>
                    </wps:wsp>
                  </a:graphicData>
                </a:graphic>
              </wp:anchor>
            </w:drawing>
          </mc:Choice>
          <mc:Fallback>
            <w:pict>
              <v:shape id="_x0000_s1026" o:spid="_x0000_s1026" o:spt="202" type="#_x0000_t202" style="position:absolute;left:0pt;margin-left:18.2pt;margin-top:20.35pt;height:227pt;width:388.5pt;z-index:251659264;mso-width-relative:page;mso-height-relative:page;" filled="f" stroked="t" coordsize="21600,21600" o:gfxdata="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mJ731gAAAAkBAAAPAAAAAAAAAAEAIAAA&#10;ACIAAABkcnMvZG93bnJldi54bWxQSwECFAAUAAAACACHTuJAGUz52A4CAAAcBAAADgAAAAAAAAAB&#10;ACAAAAAlAQAAZHJzL2Uyb0RvYy54bWxQSwUGAAAAAAYABgBZAQAApQUAAAAA&#10;">
                <v:fill on="f" focussize="0,0"/>
                <v:stroke color="#000000" joinstyle="miter"/>
                <v:imagedata o:title=""/>
                <o:lock v:ext="edit" aspectratio="f"/>
                <v:textbox>
                  <w:txbxContent>
                    <w:p w14:paraId="41187F43">
                      <w:pPr>
                        <w:rPr>
                          <w:b/>
                        </w:rPr>
                      </w:pPr>
                      <w:r>
                        <w:rPr>
                          <w:rFonts w:hint="eastAsia"/>
                          <w:b/>
                        </w:rPr>
                        <w:t>（此处为法定代表人身份证复印件粘贴处，未提供复印件的视为无效身份证明）</w:t>
                      </w:r>
                    </w:p>
                    <w:p w14:paraId="16741D64"/>
                  </w:txbxContent>
                </v:textbox>
              </v:shape>
            </w:pict>
          </mc:Fallback>
        </mc:AlternateContent>
      </w:r>
    </w:p>
    <w:p w14:paraId="50127DD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6C2D516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7455A67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5230B12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31DB741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63AE49B2">
      <w:pPr>
        <w:keepNext w:val="0"/>
        <w:keepLines w:val="0"/>
        <w:pageBreakBefore w:val="0"/>
        <w:tabs>
          <w:tab w:val="left" w:pos="0"/>
        </w:tabs>
        <w:kinsoku/>
        <w:wordWrap/>
        <w:overflowPunct/>
        <w:topLinePunct w:val="0"/>
        <w:bidi w:val="0"/>
        <w:spacing w:line="560" w:lineRule="exact"/>
        <w:ind w:left="0" w:leftChars="0" w:right="0" w:rightChars="0" w:firstLine="643" w:firstLineChars="200"/>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br w:type="page"/>
      </w:r>
      <w:r>
        <w:rPr>
          <w:rFonts w:hint="eastAsia" w:ascii="方正小标宋简体" w:hAnsi="Times New Roman" w:eastAsia="方正小标宋简体" w:cs="方正小标宋简体"/>
          <w:bCs/>
          <w:color w:val="auto"/>
          <w:kern w:val="44"/>
          <w:sz w:val="44"/>
          <w:szCs w:val="44"/>
          <w:highlight w:val="none"/>
          <w:lang w:bidi="ar"/>
        </w:rPr>
        <w:t>授权委托书</w:t>
      </w:r>
    </w:p>
    <w:p w14:paraId="47556DA7">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本授权委托书声明：本人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（姓名）系</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（投标人名称）的法定代表人，现授权委托</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（单位名称）的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（姓名）为我公司代理人，参加</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（招标人）的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工程的投标活动。代理人在报名、资审、开标、评标、合同谈判过程中所签署的一切文件和处理与之有关的一切事务，我均予以承认。</w:t>
      </w:r>
    </w:p>
    <w:p w14:paraId="420C5615">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代理人无转委权。特此委托。</w:t>
      </w:r>
    </w:p>
    <w:p w14:paraId="38A15DA6">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代理人：     性别：    出生日期：</w:t>
      </w:r>
    </w:p>
    <w:p w14:paraId="08AA43DB">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       部门：    职务：</w:t>
      </w:r>
    </w:p>
    <w:p w14:paraId="18D0F0A2">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投标人：（盖章）</w:t>
      </w:r>
    </w:p>
    <w:p w14:paraId="45AC1DF6">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法定代表人：（签字或盖章）</w:t>
      </w:r>
    </w:p>
    <w:p w14:paraId="0A543072">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14:paraId="40A43DE1">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342265</wp:posOffset>
                </wp:positionH>
                <wp:positionV relativeFrom="paragraph">
                  <wp:posOffset>196850</wp:posOffset>
                </wp:positionV>
                <wp:extent cx="4933950" cy="2330450"/>
                <wp:effectExtent l="4445" t="4445" r="14605" b="12065"/>
                <wp:wrapNone/>
                <wp:docPr id="5" name="文本框 5"/>
                <wp:cNvGraphicFramePr/>
                <a:graphic xmlns:a="http://schemas.openxmlformats.org/drawingml/2006/main">
                  <a:graphicData uri="http://schemas.microsoft.com/office/word/2010/wordprocessingShape">
                    <wps:wsp>
                      <wps:cNvSpPr txBox="1"/>
                      <wps:spPr>
                        <a:xfrm>
                          <a:off x="0" y="0"/>
                          <a:ext cx="4933950" cy="2330450"/>
                        </a:xfrm>
                        <a:prstGeom prst="rect">
                          <a:avLst/>
                        </a:prstGeom>
                        <a:noFill/>
                        <a:ln w="9525" cap="flat" cmpd="sng">
                          <a:solidFill>
                            <a:srgbClr val="000000"/>
                          </a:solidFill>
                          <a:prstDash val="solid"/>
                          <a:miter/>
                          <a:headEnd type="none" w="med" len="med"/>
                          <a:tailEnd type="none" w="med" len="med"/>
                        </a:ln>
                        <a:effectLst/>
                      </wps:spPr>
                      <wps:txbx>
                        <w:txbxContent>
                          <w:p w14:paraId="352C301D">
                            <w:pPr>
                              <w:rPr>
                                <w:b/>
                              </w:rPr>
                            </w:pPr>
                            <w:r>
                              <w:rPr>
                                <w:rFonts w:hint="eastAsia"/>
                                <w:b/>
                              </w:rPr>
                              <w:t>（此处为被委托人身份证复印件粘贴处，未提供复印件的视为无效身份证明）</w:t>
                            </w:r>
                          </w:p>
                          <w:p w14:paraId="099E6201"/>
                        </w:txbxContent>
                      </wps:txbx>
                      <wps:bodyPr upright="1"/>
                    </wps:wsp>
                  </a:graphicData>
                </a:graphic>
              </wp:anchor>
            </w:drawing>
          </mc:Choice>
          <mc:Fallback>
            <w:pict>
              <v:shape id="_x0000_s1026" o:spid="_x0000_s1026" o:spt="202" type="#_x0000_t202" style="position:absolute;left:0pt;margin-left:26.95pt;margin-top:15.5pt;height:183.5pt;width:388.5pt;z-index:251660288;mso-width-relative:page;mso-height-relative:page;" filled="f" stroked="t" coordsize="21600,21600" o:gfxdata="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3gffzTAAAACQEAAA8AAAAAAAAAAQAgAAAAIgAAAGRy&#10;cy9kb3ducmV2LnhtbFBLAQIUABQAAAAIAIdO4kDQ6uo9CgIAABwEAAAOAAAAAAAAAAEAIAAAACIB&#10;AABkcnMvZTJvRG9jLnhtbFBLBQYAAAAABgAGAFkBAACeBQAAAAA=&#10;">
                <v:fill on="f" focussize="0,0"/>
                <v:stroke color="#000000" joinstyle="miter"/>
                <v:imagedata o:title=""/>
                <o:lock v:ext="edit" aspectratio="f"/>
                <v:textbox>
                  <w:txbxContent>
                    <w:p w14:paraId="352C301D">
                      <w:pPr>
                        <w:rPr>
                          <w:b/>
                        </w:rPr>
                      </w:pPr>
                      <w:r>
                        <w:rPr>
                          <w:rFonts w:hint="eastAsia"/>
                          <w:b/>
                        </w:rPr>
                        <w:t>（此处为被委托人身份证复印件粘贴处，未提供复印件的视为无效身份证明）</w:t>
                      </w:r>
                    </w:p>
                    <w:p w14:paraId="099E6201"/>
                  </w:txbxContent>
                </v:textbox>
              </v:shape>
            </w:pict>
          </mc:Fallback>
        </mc:AlternateContent>
      </w:r>
    </w:p>
    <w:p w14:paraId="2AA13E6F">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64FC59A6">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5CD355F5">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011C627A">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27445726">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08C31327">
      <w:pPr>
        <w:keepNext w:val="0"/>
        <w:keepLines w:val="0"/>
        <w:pageBreakBefore w:val="0"/>
        <w:tabs>
          <w:tab w:val="left" w:pos="0"/>
          <w:tab w:val="left" w:pos="993"/>
          <w:tab w:val="left" w:pos="1134"/>
        </w:tabs>
        <w:kinsoku/>
        <w:wordWrap/>
        <w:overflowPunct/>
        <w:topLinePunct w:val="0"/>
        <w:bidi w:val="0"/>
        <w:adjustRightInd w:val="0"/>
        <w:snapToGrid w:val="0"/>
        <w:spacing w:line="560" w:lineRule="exact"/>
        <w:ind w:left="0" w:leftChars="0" w:right="0" w:rightChars="0" w:firstLine="643" w:firstLineChars="200"/>
        <w:rPr>
          <w:rFonts w:hint="eastAsia" w:ascii="仿宋_GB2312" w:hAnsi="仿宋_GB2312" w:eastAsia="仿宋_GB2312" w:cs="仿宋_GB2312"/>
          <w:b/>
          <w:color w:val="auto"/>
          <w:sz w:val="32"/>
          <w:szCs w:val="32"/>
        </w:rPr>
      </w:pPr>
    </w:p>
    <w:p w14:paraId="03C4FD1E">
      <w:pPr>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br w:type="page"/>
      </w:r>
    </w:p>
    <w:p w14:paraId="52A12847">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left"/>
        <w:textAlignment w:val="auto"/>
        <w:rPr>
          <w:rFonts w:hint="eastAsia" w:ascii="黑体" w:hAnsi="宋体" w:eastAsia="黑体" w:cs="黑体"/>
          <w:bCs/>
          <w:color w:val="auto"/>
          <w:sz w:val="32"/>
          <w:szCs w:val="32"/>
          <w:highlight w:val="none"/>
          <w:lang w:bidi="ar"/>
        </w:rPr>
        <w:sectPr>
          <w:footerReference r:id="rId6" w:type="default"/>
          <w:pgSz w:w="11906" w:h="16838"/>
          <w:pgMar w:top="1928" w:right="1361" w:bottom="2154" w:left="1474" w:header="851" w:footer="992" w:gutter="0"/>
          <w:pgNumType w:fmt="numberInDash"/>
          <w:cols w:space="0" w:num="1"/>
          <w:docGrid w:type="lines" w:linePitch="312" w:charSpace="0"/>
        </w:sectPr>
      </w:pPr>
    </w:p>
    <w:p w14:paraId="644F7BA6">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left"/>
        <w:textAlignment w:val="auto"/>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4</w:t>
      </w:r>
    </w:p>
    <w:p w14:paraId="6F3FD4EA">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投标人信用承诺书</w:t>
      </w:r>
    </w:p>
    <w:p w14:paraId="05FA9390">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本单位及法定代表人，清楚知晓并参与本项目的招投标活动，并作出承诺如下：</w:t>
      </w:r>
    </w:p>
    <w:p w14:paraId="16DF6A9D">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一、遵循公开、公平、公正和诚实信用的原则，依法依规参与本项目招投标活动。</w:t>
      </w:r>
    </w:p>
    <w:p w14:paraId="78300E99">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二、严格按照本次招标文件中的投标人资格要求提供相应投标资料，并在</w:t>
      </w:r>
      <w:r>
        <w:rPr>
          <w:rFonts w:hint="eastAsia" w:ascii="仿宋_GB2312" w:hAnsi="仿宋_GB2312" w:eastAsia="仿宋_GB2312" w:cs="仿宋_GB2312"/>
          <w:color w:val="auto"/>
          <w:sz w:val="32"/>
          <w:szCs w:val="32"/>
          <w:highlight w:val="none"/>
          <w:lang w:eastAsia="zh-CN"/>
        </w:rPr>
        <w:t>E交易平台</w:t>
      </w:r>
      <w:r>
        <w:rPr>
          <w:rFonts w:hint="eastAsia" w:ascii="仿宋_GB2312" w:hAnsi="仿宋_GB2312" w:eastAsia="仿宋_GB2312" w:cs="仿宋_GB2312"/>
          <w:color w:val="auto"/>
          <w:sz w:val="32"/>
          <w:szCs w:val="32"/>
          <w:highlight w:val="none"/>
        </w:rPr>
        <w:t>中录入的所有企业信息和上传的企业资料都是真实、有效、准确且合法的，没有弄虚作假的情形。</w:t>
      </w:r>
    </w:p>
    <w:p w14:paraId="6A5C51A1">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三、在参与本项目招标投标活动中，不存在任何围标串标活动，也不存在以他人名义投标的行为。</w:t>
      </w:r>
    </w:p>
    <w:p w14:paraId="01A59609">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、在参与本项目招投标活动中，若投标人或项目负责人为失信被执行人的，自愿放弃本次投标资格。</w:t>
      </w:r>
    </w:p>
    <w:p w14:paraId="40E00A19">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、正确履行法律法规规定的投标人权利和义务，遵纪守法，清正廉洁，不徇私枉法，服从建设等行政主管部门监管，接受社会监督。</w:t>
      </w:r>
    </w:p>
    <w:p w14:paraId="30CEA936">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以上承诺是本单位及法定代表人真实意思的表示。若有违背上述承诺，存在违法违规、弄虚作假情形的，本单位及法定代表人自愿接受招标人否决本单位的投标资格或中标结果，承担相应法律责任，接受相应的行政处罚、失信惩戒、扣除信用分。</w:t>
      </w:r>
    </w:p>
    <w:p w14:paraId="2505E318">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本承诺书一经签订即作为中标合同的组成部分，对本单位参与本项目招投标活动的行为具有法律约束力。 </w:t>
      </w:r>
    </w:p>
    <w:p w14:paraId="329CC087">
      <w:pPr>
        <w:keepNext w:val="0"/>
        <w:keepLines w:val="0"/>
        <w:pageBreakBefore w:val="0"/>
        <w:kinsoku/>
        <w:wordWrap/>
        <w:overflowPunct/>
        <w:topLinePunct w:val="0"/>
        <w:bidi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投标人（盖章）：</w:t>
      </w:r>
    </w:p>
    <w:p w14:paraId="4206B067">
      <w:pPr>
        <w:keepNext w:val="0"/>
        <w:keepLines w:val="0"/>
        <w:pageBreakBefore w:val="0"/>
        <w:kinsoku/>
        <w:wordWrap/>
        <w:overflowPunct/>
        <w:topLinePunct w:val="0"/>
        <w:bidi w:val="0"/>
        <w:snapToGrid w:val="0"/>
        <w:spacing w:line="560" w:lineRule="exact"/>
        <w:ind w:left="0" w:leftChars="0" w:right="0" w:rightChars="0" w:firstLine="640" w:firstLineChars="200"/>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法定代表人（签字或盖章）：</w:t>
      </w:r>
    </w:p>
    <w:p w14:paraId="3262F171">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453CD32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7FE6A16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0C474D6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00AEB73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1805E7D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704AE43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5A9AAEBB">
      <w:pPr>
        <w:keepNext w:val="0"/>
        <w:keepLines w:val="0"/>
        <w:pageBreakBefore w:val="0"/>
        <w:kinsoku/>
        <w:wordWrap/>
        <w:overflowPunct/>
        <w:topLinePunct w:val="0"/>
        <w:autoSpaceDE w:val="0"/>
        <w:autoSpaceDN w:val="0"/>
        <w:bidi w:val="0"/>
        <w:spacing w:line="560" w:lineRule="exact"/>
        <w:ind w:left="0" w:leftChars="0" w:right="0" w:rightChars="0" w:firstLine="624" w:firstLineChars="200"/>
        <w:textAlignment w:val="auto"/>
        <w:rPr>
          <w:rFonts w:hint="eastAsia" w:ascii="仿宋_GB2312" w:hAnsi="仿宋_GB2312" w:eastAsia="仿宋_GB2312" w:cs="仿宋_GB2312"/>
          <w:color w:val="auto"/>
          <w:spacing w:val="-4"/>
          <w:sz w:val="32"/>
          <w:szCs w:val="32"/>
          <w:highlight w:val="none"/>
        </w:rPr>
      </w:pPr>
    </w:p>
    <w:p w14:paraId="2047592D">
      <w:pPr>
        <w:keepNext w:val="0"/>
        <w:keepLines w:val="0"/>
        <w:pageBreakBefore w:val="0"/>
        <w:kinsoku/>
        <w:wordWrap/>
        <w:overflowPunct/>
        <w:topLinePunct w:val="0"/>
        <w:autoSpaceDE w:val="0"/>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p>
    <w:p w14:paraId="7055284A">
      <w:pPr>
        <w:keepNext w:val="0"/>
        <w:keepLines w:val="0"/>
        <w:pageBreakBefore w:val="0"/>
        <w:kinsoku/>
        <w:wordWrap/>
        <w:overflowPunct/>
        <w:topLinePunct w:val="0"/>
        <w:autoSpaceDE w:val="0"/>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p>
    <w:p w14:paraId="7AF596E8">
      <w:pPr>
        <w:keepNext w:val="0"/>
        <w:keepLines w:val="0"/>
        <w:pageBreakBefore w:val="0"/>
        <w:kinsoku/>
        <w:wordWrap/>
        <w:overflowPunct/>
        <w:topLinePunct w:val="0"/>
        <w:autoSpaceDE w:val="0"/>
        <w:autoSpaceDN w:val="0"/>
        <w:bidi w:val="0"/>
        <w:spacing w:line="560" w:lineRule="exact"/>
        <w:ind w:left="0" w:leftChars="0" w:right="0" w:rightChars="0" w:firstLine="624" w:firstLineChars="200"/>
        <w:textAlignment w:val="auto"/>
        <w:rPr>
          <w:rFonts w:hint="eastAsia" w:ascii="仿宋_GB2312" w:hAnsi="仿宋_GB2312" w:eastAsia="仿宋_GB2312" w:cs="仿宋_GB2312"/>
          <w:color w:val="auto"/>
          <w:spacing w:val="-4"/>
          <w:sz w:val="32"/>
          <w:szCs w:val="32"/>
          <w:highlight w:val="none"/>
          <w:lang w:val="en-US" w:eastAsia="zh-CN"/>
        </w:rPr>
      </w:pPr>
    </w:p>
    <w:sectPr>
      <w:pgSz w:w="11906" w:h="16838"/>
      <w:pgMar w:top="1928" w:right="1361" w:bottom="2154" w:left="147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B3CCDF0-11E3-46A9-93BD-8E2D1580AAB4}"/>
  </w:font>
  <w:font w:name="黑体">
    <w:panose1 w:val="02010609060101010101"/>
    <w:charset w:val="86"/>
    <w:family w:val="auto"/>
    <w:pitch w:val="default"/>
    <w:sig w:usb0="800002BF" w:usb1="38CF7CFA" w:usb2="00000016" w:usb3="00000000" w:csb0="00040001" w:csb1="00000000"/>
    <w:embedRegular r:id="rId2" w:fontKey="{3CE57BA4-75DE-4E2F-B3BC-0AF3D32EC39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embedRegular r:id="rId3" w:fontKey="{38B4E8B5-658D-4FDA-B362-D47D601D7183}"/>
  </w:font>
  <w:font w:name="仿宋_GB2312">
    <w:panose1 w:val="02010609030101010101"/>
    <w:charset w:val="86"/>
    <w:family w:val="auto"/>
    <w:pitch w:val="default"/>
    <w:sig w:usb0="00000001" w:usb1="080E0000" w:usb2="00000000" w:usb3="00000000" w:csb0="00040000" w:csb1="00000000"/>
    <w:embedRegular r:id="rId4" w:fontKey="{F54EFCD7-F4BC-4442-B051-1CEE99288D9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9E52E">
    <w:pPr>
      <w:pStyle w:val="10"/>
      <w:framePr w:wrap="around" w:vAnchor="text" w:hAnchor="margin" w:xAlign="center" w:y="2"/>
      <w:rPr>
        <w:rStyle w:val="17"/>
      </w:rPr>
    </w:pPr>
    <w:r>
      <w:fldChar w:fldCharType="begin"/>
    </w:r>
    <w:r>
      <w:rPr>
        <w:rStyle w:val="17"/>
      </w:rPr>
      <w:instrText xml:space="preserve">PAGE  </w:instrText>
    </w:r>
    <w:r>
      <w:fldChar w:fldCharType="separate"/>
    </w:r>
    <w:r>
      <w:rPr>
        <w:rStyle w:val="17"/>
      </w:rPr>
      <w:t>2</w:t>
    </w:r>
    <w:r>
      <w:fldChar w:fldCharType="end"/>
    </w:r>
  </w:p>
  <w:p w14:paraId="1E8D8E9A">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CFFF9">
    <w:pPr>
      <w:pStyle w:val="10"/>
      <w:framePr w:wrap="around" w:vAnchor="text" w:hAnchor="margin" w:xAlign="center" w:y="2"/>
      <w:rPr>
        <w:rStyle w:val="17"/>
      </w:rPr>
    </w:pPr>
    <w:r>
      <w:fldChar w:fldCharType="begin"/>
    </w:r>
    <w:r>
      <w:rPr>
        <w:rStyle w:val="17"/>
      </w:rPr>
      <w:instrText xml:space="preserve">PAGE  </w:instrText>
    </w:r>
    <w:r>
      <w:fldChar w:fldCharType="end"/>
    </w:r>
  </w:p>
  <w:p w14:paraId="0E894B15">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A79E1">
    <w:pPr>
      <w:pStyle w:val="10"/>
      <w:ind w:firstLine="360"/>
    </w:pPr>
    <w:r>
      <mc:AlternateContent>
        <mc:Choice Requires="wps">
          <w:drawing>
            <wp:anchor distT="0" distB="0" distL="114300" distR="114300" simplePos="0" relativeHeight="251659264" behindDoc="0" locked="0" layoutInCell="1" allowOverlap="1">
              <wp:simplePos x="0" y="0"/>
              <wp:positionH relativeFrom="margin">
                <wp:posOffset>2546985</wp:posOffset>
              </wp:positionH>
              <wp:positionV relativeFrom="paragraph">
                <wp:posOffset>-130810</wp:posOffset>
              </wp:positionV>
              <wp:extent cx="602615" cy="281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02615" cy="281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57BD48">
                          <w:pPr>
                            <w:pStyle w:val="10"/>
                            <w:jc w:val="center"/>
                            <w:rPr>
                              <w:sz w:val="28"/>
                            </w:rPr>
                          </w:pPr>
                          <w:r>
                            <w:rPr>
                              <w:sz w:val="28"/>
                            </w:rPr>
                            <w:fldChar w:fldCharType="begin"/>
                          </w:r>
                          <w:r>
                            <w:rPr>
                              <w:sz w:val="28"/>
                            </w:rPr>
                            <w:instrText xml:space="preserve"> PAGE  \* MERGEFORMAT </w:instrText>
                          </w:r>
                          <w:r>
                            <w:rPr>
                              <w:sz w:val="28"/>
                            </w:rPr>
                            <w:fldChar w:fldCharType="separate"/>
                          </w:r>
                          <w:r>
                            <w:rPr>
                              <w:sz w:val="28"/>
                            </w:rPr>
                            <w:t>1</w:t>
                          </w:r>
                          <w:r>
                            <w:rPr>
                              <w:sz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0.55pt;margin-top:-10.3pt;height:22.2pt;width:47.45pt;mso-position-horizontal-relative:margin;z-index:251659264;mso-width-relative:page;mso-height-relative:page;" filled="f" stroked="f" coordsize="21600,21600" o:gfxdata="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0kdzZ2QAAAAoBAAAPAAAAAAAAAAEAIAAAACIAAABkcnMvZG93bnJldi54bWxQ&#10;SwECFAAUAAAACACHTuJAvS1t1C8CAABVBAAADgAAAAAAAAABACAAAAAoAQAAZHJzL2Uyb0RvYy54&#10;bWxQSwUGAAAAAAYABgBZAQAAyQUAAAAA&#10;">
              <v:fill on="f" focussize="0,0"/>
              <v:stroke on="f" weight="0.5pt"/>
              <v:imagedata o:title=""/>
              <o:lock v:ext="edit" aspectratio="f"/>
              <v:textbox inset="0mm,0mm,0mm,0mm">
                <w:txbxContent>
                  <w:p w14:paraId="3E57BD48">
                    <w:pPr>
                      <w:pStyle w:val="10"/>
                      <w:jc w:val="center"/>
                      <w:rPr>
                        <w:sz w:val="28"/>
                      </w:rPr>
                    </w:pPr>
                    <w:r>
                      <w:rPr>
                        <w:sz w:val="28"/>
                      </w:rPr>
                      <w:fldChar w:fldCharType="begin"/>
                    </w:r>
                    <w:r>
                      <w:rPr>
                        <w:sz w:val="28"/>
                      </w:rPr>
                      <w:instrText xml:space="preserve"> PAGE  \* MERGEFORMAT </w:instrText>
                    </w:r>
                    <w:r>
                      <w:rPr>
                        <w:sz w:val="28"/>
                      </w:rPr>
                      <w:fldChar w:fldCharType="separate"/>
                    </w:r>
                    <w:r>
                      <w:rPr>
                        <w:sz w:val="28"/>
                      </w:rPr>
                      <w:t>1</w:t>
                    </w:r>
                    <w:r>
                      <w:rPr>
                        <w:sz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7CA5D">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MDJhOGQyNjk0MWY4MjFkYWRjODc3ZmY5YzM2OGQifQ=="/>
  </w:docVars>
  <w:rsids>
    <w:rsidRoot w:val="4E7A625A"/>
    <w:rsid w:val="000942B7"/>
    <w:rsid w:val="00A01A0A"/>
    <w:rsid w:val="00B51FAF"/>
    <w:rsid w:val="00C220B7"/>
    <w:rsid w:val="00F0589F"/>
    <w:rsid w:val="013851DA"/>
    <w:rsid w:val="01722330"/>
    <w:rsid w:val="018E14F6"/>
    <w:rsid w:val="01BE1198"/>
    <w:rsid w:val="029137FA"/>
    <w:rsid w:val="02B14547"/>
    <w:rsid w:val="03647853"/>
    <w:rsid w:val="03BF0421"/>
    <w:rsid w:val="054144F3"/>
    <w:rsid w:val="05C33AC0"/>
    <w:rsid w:val="05CB4E38"/>
    <w:rsid w:val="06033F82"/>
    <w:rsid w:val="06236B88"/>
    <w:rsid w:val="06690735"/>
    <w:rsid w:val="068E3768"/>
    <w:rsid w:val="06940536"/>
    <w:rsid w:val="073C3880"/>
    <w:rsid w:val="07DA5CCD"/>
    <w:rsid w:val="08AD2EF4"/>
    <w:rsid w:val="08CC4A1B"/>
    <w:rsid w:val="090048DC"/>
    <w:rsid w:val="0A305844"/>
    <w:rsid w:val="0AC63F81"/>
    <w:rsid w:val="0BBE4019"/>
    <w:rsid w:val="0C10591B"/>
    <w:rsid w:val="0C7B72F6"/>
    <w:rsid w:val="0E96630C"/>
    <w:rsid w:val="0EC31B94"/>
    <w:rsid w:val="0F362BEE"/>
    <w:rsid w:val="10495085"/>
    <w:rsid w:val="105E7254"/>
    <w:rsid w:val="10623011"/>
    <w:rsid w:val="110A7A19"/>
    <w:rsid w:val="113B44EC"/>
    <w:rsid w:val="11B81FE1"/>
    <w:rsid w:val="12396644"/>
    <w:rsid w:val="13B33406"/>
    <w:rsid w:val="13BF3DBE"/>
    <w:rsid w:val="1407618A"/>
    <w:rsid w:val="140A17A1"/>
    <w:rsid w:val="141E6E98"/>
    <w:rsid w:val="154D25EA"/>
    <w:rsid w:val="157C2289"/>
    <w:rsid w:val="1586742B"/>
    <w:rsid w:val="161964C6"/>
    <w:rsid w:val="168D7598"/>
    <w:rsid w:val="17251F02"/>
    <w:rsid w:val="178F5078"/>
    <w:rsid w:val="191507FE"/>
    <w:rsid w:val="19694374"/>
    <w:rsid w:val="1A734CF7"/>
    <w:rsid w:val="1B213295"/>
    <w:rsid w:val="1B4A3ACE"/>
    <w:rsid w:val="1B4C2CD0"/>
    <w:rsid w:val="1B565763"/>
    <w:rsid w:val="1C391C39"/>
    <w:rsid w:val="1C3D736A"/>
    <w:rsid w:val="1CB117C2"/>
    <w:rsid w:val="1CD84695"/>
    <w:rsid w:val="1D777799"/>
    <w:rsid w:val="1DD65CC8"/>
    <w:rsid w:val="1E170592"/>
    <w:rsid w:val="1E56319D"/>
    <w:rsid w:val="1F163E84"/>
    <w:rsid w:val="1F325180"/>
    <w:rsid w:val="1F8343DB"/>
    <w:rsid w:val="20396400"/>
    <w:rsid w:val="20480747"/>
    <w:rsid w:val="2164555B"/>
    <w:rsid w:val="218B0B78"/>
    <w:rsid w:val="219C367C"/>
    <w:rsid w:val="21DD7533"/>
    <w:rsid w:val="21FD729B"/>
    <w:rsid w:val="220B1557"/>
    <w:rsid w:val="22993263"/>
    <w:rsid w:val="24A7216D"/>
    <w:rsid w:val="24AA7A3F"/>
    <w:rsid w:val="24B56E14"/>
    <w:rsid w:val="24BB4C9A"/>
    <w:rsid w:val="25CA2B30"/>
    <w:rsid w:val="269F1681"/>
    <w:rsid w:val="26B618CC"/>
    <w:rsid w:val="26BF5E53"/>
    <w:rsid w:val="27DE2FC0"/>
    <w:rsid w:val="28CA01D8"/>
    <w:rsid w:val="2A614A98"/>
    <w:rsid w:val="2C244FA1"/>
    <w:rsid w:val="2C6142AE"/>
    <w:rsid w:val="2CCF4C96"/>
    <w:rsid w:val="2E417D09"/>
    <w:rsid w:val="2EA3406A"/>
    <w:rsid w:val="2F124E51"/>
    <w:rsid w:val="2F4733FE"/>
    <w:rsid w:val="2F913390"/>
    <w:rsid w:val="2FBD0A5E"/>
    <w:rsid w:val="2FE619F1"/>
    <w:rsid w:val="30731155"/>
    <w:rsid w:val="33081F33"/>
    <w:rsid w:val="33AA05A4"/>
    <w:rsid w:val="33D32CCC"/>
    <w:rsid w:val="34FD1935"/>
    <w:rsid w:val="35ED5E2D"/>
    <w:rsid w:val="35EE3516"/>
    <w:rsid w:val="365252A8"/>
    <w:rsid w:val="38267D0A"/>
    <w:rsid w:val="384977AD"/>
    <w:rsid w:val="38F17347"/>
    <w:rsid w:val="39CB40BB"/>
    <w:rsid w:val="3B4F6D79"/>
    <w:rsid w:val="3CFD4441"/>
    <w:rsid w:val="3DDE0DD4"/>
    <w:rsid w:val="3DF8713D"/>
    <w:rsid w:val="3E0A4B97"/>
    <w:rsid w:val="3EA9688B"/>
    <w:rsid w:val="3EBA0082"/>
    <w:rsid w:val="3EFD02AE"/>
    <w:rsid w:val="3F6F2FB1"/>
    <w:rsid w:val="3FB0357B"/>
    <w:rsid w:val="3FE24949"/>
    <w:rsid w:val="40774C14"/>
    <w:rsid w:val="409A6D9D"/>
    <w:rsid w:val="410200B3"/>
    <w:rsid w:val="425158A3"/>
    <w:rsid w:val="42AC759A"/>
    <w:rsid w:val="42C002CF"/>
    <w:rsid w:val="44FA347A"/>
    <w:rsid w:val="45290F50"/>
    <w:rsid w:val="452B1BAF"/>
    <w:rsid w:val="45812155"/>
    <w:rsid w:val="463C0801"/>
    <w:rsid w:val="48193586"/>
    <w:rsid w:val="484D176C"/>
    <w:rsid w:val="48F32012"/>
    <w:rsid w:val="4A7919BE"/>
    <w:rsid w:val="4A7B65EB"/>
    <w:rsid w:val="4B751DCD"/>
    <w:rsid w:val="4D1865A3"/>
    <w:rsid w:val="4E3E6DEE"/>
    <w:rsid w:val="4E7A625A"/>
    <w:rsid w:val="4EDD74E8"/>
    <w:rsid w:val="4F020368"/>
    <w:rsid w:val="4F80608F"/>
    <w:rsid w:val="4FC43323"/>
    <w:rsid w:val="503572C0"/>
    <w:rsid w:val="511757F2"/>
    <w:rsid w:val="511D4F82"/>
    <w:rsid w:val="51B3364F"/>
    <w:rsid w:val="53645A96"/>
    <w:rsid w:val="53A62E82"/>
    <w:rsid w:val="553F163A"/>
    <w:rsid w:val="55850EFA"/>
    <w:rsid w:val="55AD03B6"/>
    <w:rsid w:val="566B3D9C"/>
    <w:rsid w:val="574D580D"/>
    <w:rsid w:val="57DA1D5C"/>
    <w:rsid w:val="57DD440B"/>
    <w:rsid w:val="57F24E68"/>
    <w:rsid w:val="58BB30A2"/>
    <w:rsid w:val="58EF4377"/>
    <w:rsid w:val="58F447C2"/>
    <w:rsid w:val="594E12AA"/>
    <w:rsid w:val="59537B91"/>
    <w:rsid w:val="5966217F"/>
    <w:rsid w:val="59C15A6E"/>
    <w:rsid w:val="59F2097D"/>
    <w:rsid w:val="5A186745"/>
    <w:rsid w:val="5AB3021C"/>
    <w:rsid w:val="5B432946"/>
    <w:rsid w:val="5B822E9D"/>
    <w:rsid w:val="5B9301A8"/>
    <w:rsid w:val="5BD73D3B"/>
    <w:rsid w:val="5C1473E0"/>
    <w:rsid w:val="5E137A36"/>
    <w:rsid w:val="5E5553C7"/>
    <w:rsid w:val="607C3927"/>
    <w:rsid w:val="612B684E"/>
    <w:rsid w:val="61527712"/>
    <w:rsid w:val="63176E75"/>
    <w:rsid w:val="637A5646"/>
    <w:rsid w:val="639A01CB"/>
    <w:rsid w:val="63F4603A"/>
    <w:rsid w:val="63FA4B54"/>
    <w:rsid w:val="64093F70"/>
    <w:rsid w:val="65071118"/>
    <w:rsid w:val="651346D9"/>
    <w:rsid w:val="65923B91"/>
    <w:rsid w:val="65F14AFE"/>
    <w:rsid w:val="66017F6E"/>
    <w:rsid w:val="66D90E30"/>
    <w:rsid w:val="68110444"/>
    <w:rsid w:val="68352BB8"/>
    <w:rsid w:val="68551FC8"/>
    <w:rsid w:val="68AB6990"/>
    <w:rsid w:val="69173724"/>
    <w:rsid w:val="692E51DF"/>
    <w:rsid w:val="69563E69"/>
    <w:rsid w:val="6AA40BD1"/>
    <w:rsid w:val="6BEB5FCA"/>
    <w:rsid w:val="6BFA3EFD"/>
    <w:rsid w:val="6CBF479C"/>
    <w:rsid w:val="6E2C2368"/>
    <w:rsid w:val="6F257305"/>
    <w:rsid w:val="700D4DA4"/>
    <w:rsid w:val="70162D6E"/>
    <w:rsid w:val="704045D3"/>
    <w:rsid w:val="70E76A1A"/>
    <w:rsid w:val="71726A12"/>
    <w:rsid w:val="72223297"/>
    <w:rsid w:val="73B75D5F"/>
    <w:rsid w:val="73E0463F"/>
    <w:rsid w:val="74231ACE"/>
    <w:rsid w:val="748553D3"/>
    <w:rsid w:val="76527987"/>
    <w:rsid w:val="773E295A"/>
    <w:rsid w:val="77B57F4F"/>
    <w:rsid w:val="77D15D7E"/>
    <w:rsid w:val="78091B5E"/>
    <w:rsid w:val="783B658D"/>
    <w:rsid w:val="78AD248D"/>
    <w:rsid w:val="7A4C17D5"/>
    <w:rsid w:val="7C865339"/>
    <w:rsid w:val="7C8B58FC"/>
    <w:rsid w:val="7C907F65"/>
    <w:rsid w:val="7C98391B"/>
    <w:rsid w:val="7D64046A"/>
    <w:rsid w:val="7D8A04D8"/>
    <w:rsid w:val="7DC26768"/>
    <w:rsid w:val="7E5D61B0"/>
    <w:rsid w:val="7EB70070"/>
    <w:rsid w:val="7EB8677B"/>
    <w:rsid w:val="7EF34B8D"/>
    <w:rsid w:val="7FA97DB0"/>
    <w:rsid w:val="7FC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0" w:after="20" w:line="415" w:lineRule="auto"/>
      <w:outlineLvl w:val="2"/>
    </w:pPr>
    <w:rPr>
      <w:rFonts w:ascii="Calibri" w:hAnsi="Calibri" w:eastAsia="黑体" w:cs="Calibri"/>
      <w:bCs/>
      <w:kern w:val="0"/>
      <w:sz w:val="24"/>
    </w:rPr>
  </w:style>
  <w:style w:type="paragraph" w:styleId="4">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00" w:line="440" w:lineRule="exact"/>
      <w:ind w:right="-2" w:rightChars="-1"/>
    </w:pPr>
    <w:rPr>
      <w:rFonts w:ascii="宋体" w:hAnsi="宋体"/>
      <w:sz w:val="28"/>
    </w:rPr>
  </w:style>
  <w:style w:type="paragraph" w:styleId="5">
    <w:name w:val="table of authorities"/>
    <w:basedOn w:val="1"/>
    <w:next w:val="1"/>
    <w:unhideWhenUsed/>
    <w:qFormat/>
    <w:uiPriority w:val="99"/>
    <w:pPr>
      <w:ind w:left="420" w:leftChars="200"/>
    </w:pPr>
  </w:style>
  <w:style w:type="paragraph" w:styleId="6">
    <w:name w:val="annotation text"/>
    <w:basedOn w:val="1"/>
    <w:qFormat/>
    <w:uiPriority w:val="0"/>
    <w:pPr>
      <w:jc w:val="left"/>
    </w:pPr>
  </w:style>
  <w:style w:type="paragraph" w:styleId="7">
    <w:name w:val="Body Text Indent"/>
    <w:basedOn w:val="1"/>
    <w:next w:val="8"/>
    <w:autoRedefine/>
    <w:qFormat/>
    <w:uiPriority w:val="0"/>
    <w:pPr>
      <w:spacing w:line="360" w:lineRule="auto"/>
      <w:ind w:firstLine="570"/>
    </w:pPr>
    <w:rPr>
      <w:sz w:val="24"/>
    </w:rPr>
  </w:style>
  <w:style w:type="paragraph" w:styleId="8">
    <w:name w:val="Body Text First Indent 2"/>
    <w:basedOn w:val="1"/>
    <w:next w:val="1"/>
    <w:autoRedefine/>
    <w:qFormat/>
    <w:uiPriority w:val="99"/>
    <w:pPr>
      <w:spacing w:after="120"/>
      <w:ind w:left="420" w:leftChars="200" w:firstLine="420"/>
    </w:pPr>
    <w:rPr>
      <w:color w:val="000000"/>
      <w:sz w:val="20"/>
    </w:rPr>
  </w:style>
  <w:style w:type="paragraph" w:styleId="9">
    <w:name w:val="Plain Text"/>
    <w:basedOn w:val="1"/>
    <w:qFormat/>
    <w:uiPriority w:val="0"/>
    <w:rPr>
      <w:rFonts w:ascii="宋体" w:hAnsi="Courier New"/>
      <w:szCs w:val="24"/>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Body Text First Indent"/>
    <w:basedOn w:val="2"/>
    <w:autoRedefine/>
    <w:qFormat/>
    <w:uiPriority w:val="0"/>
    <w:pPr>
      <w:ind w:firstLine="420" w:firstLineChars="100"/>
    </w:pPr>
  </w:style>
  <w:style w:type="character" w:styleId="16">
    <w:name w:val="Strong"/>
    <w:basedOn w:val="15"/>
    <w:autoRedefine/>
    <w:qFormat/>
    <w:uiPriority w:val="22"/>
    <w:rPr>
      <w:b/>
      <w:bCs/>
    </w:rPr>
  </w:style>
  <w:style w:type="character" w:styleId="17">
    <w:name w:val="page number"/>
    <w:qFormat/>
    <w:uiPriority w:val="0"/>
  </w:style>
  <w:style w:type="character" w:styleId="18">
    <w:name w:val="FollowedHyperlink"/>
    <w:basedOn w:val="15"/>
    <w:qFormat/>
    <w:uiPriority w:val="0"/>
    <w:rPr>
      <w:color w:val="800080"/>
      <w:u w:val="none"/>
    </w:rPr>
  </w:style>
  <w:style w:type="character" w:styleId="19">
    <w:name w:val="Emphasis"/>
    <w:basedOn w:val="15"/>
    <w:qFormat/>
    <w:uiPriority w:val="0"/>
  </w:style>
  <w:style w:type="character" w:styleId="20">
    <w:name w:val="HTML Definition"/>
    <w:basedOn w:val="15"/>
    <w:qFormat/>
    <w:uiPriority w:val="0"/>
  </w:style>
  <w:style w:type="character" w:styleId="21">
    <w:name w:val="HTML Typewriter"/>
    <w:basedOn w:val="15"/>
    <w:qFormat/>
    <w:uiPriority w:val="0"/>
    <w:rPr>
      <w:rFonts w:hint="default" w:ascii="monospace" w:hAnsi="monospace" w:eastAsia="monospace" w:cs="monospace"/>
      <w:sz w:val="20"/>
    </w:rPr>
  </w:style>
  <w:style w:type="character" w:styleId="22">
    <w:name w:val="HTML Acronym"/>
    <w:basedOn w:val="15"/>
    <w:qFormat/>
    <w:uiPriority w:val="0"/>
  </w:style>
  <w:style w:type="character" w:styleId="23">
    <w:name w:val="HTML Variable"/>
    <w:basedOn w:val="15"/>
    <w:qFormat/>
    <w:uiPriority w:val="0"/>
  </w:style>
  <w:style w:type="character" w:styleId="24">
    <w:name w:val="Hyperlink"/>
    <w:basedOn w:val="15"/>
    <w:autoRedefine/>
    <w:qFormat/>
    <w:uiPriority w:val="0"/>
    <w:rPr>
      <w:color w:val="0000FF"/>
      <w:u w:val="single"/>
    </w:rPr>
  </w:style>
  <w:style w:type="character" w:styleId="25">
    <w:name w:val="HTML Code"/>
    <w:basedOn w:val="15"/>
    <w:qFormat/>
    <w:uiPriority w:val="0"/>
    <w:rPr>
      <w:rFonts w:hint="default" w:ascii="monospace" w:hAnsi="monospace" w:eastAsia="monospace" w:cs="monospace"/>
      <w:sz w:val="20"/>
    </w:rPr>
  </w:style>
  <w:style w:type="character" w:styleId="26">
    <w:name w:val="HTML Cite"/>
    <w:basedOn w:val="15"/>
    <w:qFormat/>
    <w:uiPriority w:val="0"/>
  </w:style>
  <w:style w:type="character" w:styleId="27">
    <w:name w:val="HTML Keyboard"/>
    <w:basedOn w:val="15"/>
    <w:qFormat/>
    <w:uiPriority w:val="0"/>
    <w:rPr>
      <w:rFonts w:hint="default" w:ascii="monospace" w:hAnsi="monospace" w:eastAsia="monospace" w:cs="monospace"/>
      <w:sz w:val="20"/>
    </w:rPr>
  </w:style>
  <w:style w:type="character" w:styleId="28">
    <w:name w:val="HTML Sample"/>
    <w:basedOn w:val="15"/>
    <w:qFormat/>
    <w:uiPriority w:val="0"/>
    <w:rPr>
      <w:rFonts w:ascii="monospace" w:hAnsi="monospace" w:eastAsia="monospace" w:cs="monospace"/>
    </w:rPr>
  </w:style>
  <w:style w:type="paragraph" w:customStyle="1" w:styleId="29">
    <w:name w:val="p0"/>
    <w:basedOn w:val="1"/>
    <w:qFormat/>
    <w:uiPriority w:val="0"/>
    <w:pPr>
      <w:widowControl/>
    </w:pPr>
    <w:rPr>
      <w:rFonts w:ascii="Calibri" w:hAnsi="Calibri" w:cs="宋体"/>
      <w:kern w:val="0"/>
      <w:szCs w:val="21"/>
    </w:rPr>
  </w:style>
  <w:style w:type="character" w:customStyle="1" w:styleId="30">
    <w:name w:val="hour_am"/>
    <w:basedOn w:val="15"/>
    <w:qFormat/>
    <w:uiPriority w:val="0"/>
  </w:style>
  <w:style w:type="character" w:customStyle="1" w:styleId="31">
    <w:name w:val="old"/>
    <w:basedOn w:val="15"/>
    <w:qFormat/>
    <w:uiPriority w:val="0"/>
    <w:rPr>
      <w:color w:val="999999"/>
    </w:rPr>
  </w:style>
  <w:style w:type="character" w:customStyle="1" w:styleId="32">
    <w:name w:val="hover"/>
    <w:basedOn w:val="15"/>
    <w:qFormat/>
    <w:uiPriority w:val="0"/>
    <w:rPr>
      <w:shd w:val="clear" w:fill="EEEEEE"/>
    </w:rPr>
  </w:style>
  <w:style w:type="character" w:customStyle="1" w:styleId="33">
    <w:name w:val="glyphicon"/>
    <w:basedOn w:val="15"/>
    <w:qFormat/>
    <w:uiPriority w:val="0"/>
  </w:style>
  <w:style w:type="character" w:customStyle="1" w:styleId="34">
    <w:name w:val="hour_pm"/>
    <w:basedOn w:val="15"/>
    <w:qFormat/>
    <w:uiPriority w:val="0"/>
  </w:style>
  <w:style w:type="character" w:customStyle="1" w:styleId="35">
    <w:name w:val="layui-layer-tabnow"/>
    <w:basedOn w:val="15"/>
    <w:qFormat/>
    <w:uiPriority w:val="0"/>
    <w:rPr>
      <w:bdr w:val="single" w:color="CCCCCC" w:sz="6" w:space="0"/>
      <w:shd w:val="clear" w:fill="FFFFFF"/>
    </w:rPr>
  </w:style>
  <w:style w:type="character" w:customStyle="1" w:styleId="36">
    <w:name w:val="first-child"/>
    <w:basedOn w:val="15"/>
    <w:qFormat/>
    <w:uiPriority w:val="0"/>
  </w:style>
  <w:style w:type="character" w:customStyle="1" w:styleId="37">
    <w:name w:val="hover2"/>
    <w:basedOn w:val="15"/>
    <w:qFormat/>
    <w:uiPriority w:val="0"/>
    <w:rPr>
      <w:shd w:val="clear" w:fill="EEEEEE"/>
    </w:rPr>
  </w:style>
  <w:style w:type="paragraph" w:customStyle="1" w:styleId="38">
    <w:name w:val="无间隔_0_1"/>
    <w:basedOn w:val="1"/>
    <w:autoRedefine/>
    <w:qFormat/>
    <w:uiPriority w:val="0"/>
    <w:pPr>
      <w:jc w:val="center"/>
    </w:pPr>
    <w:rPr>
      <w:rFonts w:ascii="Times New Roman" w:hAnsi="Times New Roman" w:eastAsia="黑体" w:cs="Times New Roman"/>
      <w:sz w:val="30"/>
      <w:szCs w:val="30"/>
    </w:rPr>
  </w:style>
  <w:style w:type="paragraph" w:customStyle="1" w:styleId="39">
    <w:name w:val="正文_2_0"/>
    <w:basedOn w:val="1"/>
    <w:autoRedefine/>
    <w:qFormat/>
    <w:uiPriority w:val="0"/>
    <w:rPr>
      <w:rFonts w:ascii="Arial" w:hAnsi="Arial" w:eastAsia="宋体" w:cs="Arial"/>
      <w:szCs w:val="21"/>
    </w:rPr>
  </w:style>
  <w:style w:type="paragraph" w:customStyle="1" w:styleId="40">
    <w:name w:val="Body text|1"/>
    <w:basedOn w:val="1"/>
    <w:qFormat/>
    <w:uiPriority w:val="0"/>
    <w:pPr>
      <w:widowControl w:val="0"/>
      <w:shd w:val="clear" w:color="auto" w:fill="auto"/>
      <w:spacing w:line="439" w:lineRule="auto"/>
      <w:ind w:firstLine="400"/>
    </w:pPr>
    <w:rPr>
      <w:rFonts w:ascii="宋体" w:hAnsi="宋体" w:eastAsia="宋体" w:cs="宋体"/>
      <w:sz w:val="22"/>
      <w:szCs w:val="22"/>
      <w:u w:val="none"/>
      <w:shd w:val="clear" w:color="auto" w:fill="auto"/>
      <w:lang w:val="zh-TW" w:eastAsia="zh-TW" w:bidi="zh-TW"/>
    </w:rPr>
  </w:style>
  <w:style w:type="character" w:customStyle="1" w:styleId="41">
    <w:name w:val="NormalCharacter"/>
    <w:qFormat/>
    <w:uiPriority w:val="0"/>
    <w:rPr>
      <w:rFonts w:ascii="Times New Roman" w:hAnsi="Times New Roman" w:eastAsia="宋体" w:cs="Times New Roman"/>
      <w:kern w:val="2"/>
      <w:sz w:val="21"/>
      <w:lang w:val="en-US" w:eastAsia="zh-CN" w:bidi="ar-SA"/>
    </w:rPr>
  </w:style>
  <w:style w:type="paragraph" w:styleId="42">
    <w:name w:val="No Spacing"/>
    <w:basedOn w:val="1"/>
    <w:autoRedefine/>
    <w:qFormat/>
    <w:uiPriority w:val="0"/>
    <w:rPr>
      <w:rFonts w:ascii="Times New Roman" w:hAnsi="Times New Roman" w:eastAsia="宋体" w:cs="Times New Roman"/>
      <w:szCs w:val="21"/>
    </w:rPr>
  </w:style>
  <w:style w:type="paragraph" w:customStyle="1" w:styleId="43">
    <w:name w:val="无间隔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4532</Words>
  <Characters>4718</Characters>
  <Lines>19</Lines>
  <Paragraphs>5</Paragraphs>
  <TotalTime>2</TotalTime>
  <ScaleCrop>false</ScaleCrop>
  <LinksUpToDate>false</LinksUpToDate>
  <CharactersWithSpaces>4980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2024-01-31T19:09:00Z</dcterms:created>
  <dc:creator>糖果</dc:creator>
  <cp:lastModifiedBy>刘潍</cp:lastModifiedBy>
  <dcterms:modified xsi:type="dcterms:W3CDTF">2025-05-06T07:36:05Z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C96692153B74481BBA19355AFDA78C73_13</vt:lpwstr>
  </property>
  <property fmtid="{D5CDD505-2E9C-101B-9397-08002B2CF9AE}" pid="4" name="KSOTemplateDocerSaveRecord">
    <vt:lpwstr>eyJoZGlkIjoiMDc3OTNlYWQ1N2NiMGU1ODNiOTdkNWRiYjRlY2Q5ZTciLCJ1c2VySWQiOiI2MDg1NjgyMTAifQ==</vt:lpwstr>
  </property>
</Properties>
</file>