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bookmarkStart w:id="3" w:name="_GoBack"/>
      <w:bookmarkEnd w:id="3"/>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常州上鸿科技服务有限公司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中瑞（常州）国际合作产业园二期项目1#楼（</w:t>
      </w:r>
      <w:r>
        <w:rPr>
          <w:rFonts w:hint="eastAsia" w:ascii="仿宋_GB2312" w:hAnsi="仿宋_GB2312" w:eastAsia="仿宋_GB2312" w:cs="仿宋_GB2312"/>
          <w:color w:val="auto"/>
          <w:kern w:val="0"/>
          <w:sz w:val="32"/>
          <w:szCs w:val="32"/>
          <w:highlight w:val="none"/>
          <w:u w:val="single"/>
          <w:lang w:val="en-US" w:eastAsia="zh-CN"/>
        </w:rPr>
        <w:t>一层大堂及三层</w:t>
      </w:r>
      <w:r>
        <w:rPr>
          <w:rFonts w:hint="eastAsia" w:ascii="仿宋_GB2312" w:hAnsi="仿宋_GB2312" w:eastAsia="仿宋_GB2312" w:cs="仿宋_GB2312"/>
          <w:color w:val="auto"/>
          <w:kern w:val="0"/>
          <w:sz w:val="32"/>
          <w:szCs w:val="32"/>
          <w:highlight w:val="none"/>
          <w:u w:val="single"/>
          <w:lang w:eastAsia="zh-CN"/>
        </w:rPr>
        <w:t>会议中心）</w:t>
      </w:r>
      <w:r>
        <w:rPr>
          <w:rFonts w:hint="eastAsia" w:ascii="仿宋_GB2312" w:hAnsi="仿宋_GB2312" w:eastAsia="仿宋_GB2312" w:cs="仿宋_GB2312"/>
          <w:color w:val="auto"/>
          <w:kern w:val="0"/>
          <w:sz w:val="32"/>
          <w:szCs w:val="32"/>
          <w:highlight w:val="none"/>
          <w:u w:val="single"/>
          <w:lang w:val="en-US" w:eastAsia="zh-CN"/>
        </w:rPr>
        <w:t>以及13#食堂</w:t>
      </w:r>
      <w:r>
        <w:rPr>
          <w:rFonts w:hint="eastAsia" w:ascii="仿宋_GB2312" w:hAnsi="仿宋_GB2312" w:eastAsia="仿宋_GB2312" w:cs="仿宋_GB2312"/>
          <w:color w:val="auto"/>
          <w:kern w:val="0"/>
          <w:sz w:val="32"/>
          <w:szCs w:val="32"/>
          <w:highlight w:val="none"/>
          <w:u w:val="single"/>
          <w:lang w:eastAsia="zh-CN"/>
        </w:rPr>
        <w:t>软装采购安装</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2.1.1建设地点：常州市新北区龙江北路以西、赣江路以北；玉龙路以东、赣江路以北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含税价806088</w:t>
      </w:r>
      <w:r>
        <w:rPr>
          <w:rFonts w:hint="eastAsia" w:ascii="仿宋_GB2312" w:hAnsi="仿宋_GB2312" w:eastAsia="仿宋_GB2312" w:cs="仿宋_GB2312"/>
          <w:bCs/>
          <w:color w:val="auto"/>
          <w:sz w:val="32"/>
          <w:szCs w:val="32"/>
          <w:highlight w:val="none"/>
          <w:u w:val="none"/>
          <w:lang w:eastAsia="zh-CN"/>
        </w:rPr>
        <w:t>元；</w:t>
      </w:r>
      <w:r>
        <w:rPr>
          <w:rFonts w:hint="eastAsia" w:ascii="仿宋_GB2312" w:hAnsi="仿宋_GB2312" w:eastAsia="仿宋_GB2312" w:cs="仿宋_GB2312"/>
          <w:bCs/>
          <w:color w:val="auto"/>
          <w:sz w:val="32"/>
          <w:szCs w:val="32"/>
          <w:highlight w:val="none"/>
          <w:u w:val="none"/>
          <w:lang w:val="en-US" w:eastAsia="zh-CN"/>
        </w:rPr>
        <w:t>不含税价713352元，税率13%</w:t>
      </w:r>
      <w:r>
        <w:rPr>
          <w:rFonts w:hint="eastAsia" w:ascii="仿宋_GB2312" w:hAnsi="仿宋_GB2312" w:eastAsia="仿宋_GB2312" w:cs="仿宋_GB2312"/>
          <w:bCs/>
          <w:color w:val="auto"/>
          <w:sz w:val="32"/>
          <w:szCs w:val="32"/>
          <w:highlight w:val="none"/>
          <w:u w:val="none"/>
          <w:lang w:eastAsia="zh-CN"/>
        </w:rPr>
        <w:t>。</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3合同履行期限</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合同签订后40日历天</w:t>
      </w:r>
      <w:r>
        <w:rPr>
          <w:rFonts w:hint="eastAsia" w:ascii="仿宋_GB2312" w:hAnsi="仿宋_GB2312" w:eastAsia="仿宋_GB2312" w:cs="仿宋_GB2312"/>
          <w:bCs/>
          <w:color w:val="auto"/>
          <w:sz w:val="32"/>
          <w:szCs w:val="32"/>
          <w:highlight w:val="none"/>
          <w:u w:val="none"/>
        </w:rPr>
        <w:t>供货、安装完毕，验收合格具备投入使用条件</w:t>
      </w:r>
      <w:r>
        <w:rPr>
          <w:rFonts w:hint="eastAsia"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eastAsia="zh-CN"/>
        </w:rPr>
        <w:t>1#楼（</w:t>
      </w:r>
      <w:r>
        <w:rPr>
          <w:rFonts w:hint="eastAsia" w:ascii="仿宋_GB2312" w:hAnsi="仿宋_GB2312" w:eastAsia="仿宋_GB2312" w:cs="仿宋_GB2312"/>
          <w:color w:val="auto"/>
          <w:kern w:val="0"/>
          <w:sz w:val="32"/>
          <w:szCs w:val="32"/>
          <w:highlight w:val="none"/>
          <w:u w:val="none"/>
          <w:lang w:val="en-US" w:eastAsia="zh-CN"/>
        </w:rPr>
        <w:t>一层大堂及三层</w:t>
      </w:r>
      <w:r>
        <w:rPr>
          <w:rFonts w:hint="eastAsia" w:ascii="仿宋_GB2312" w:hAnsi="仿宋_GB2312" w:eastAsia="仿宋_GB2312" w:cs="仿宋_GB2312"/>
          <w:color w:val="auto"/>
          <w:kern w:val="0"/>
          <w:sz w:val="32"/>
          <w:szCs w:val="32"/>
          <w:highlight w:val="none"/>
          <w:u w:val="none"/>
          <w:lang w:eastAsia="zh-CN"/>
        </w:rPr>
        <w:t>会议中心）</w:t>
      </w:r>
      <w:r>
        <w:rPr>
          <w:rFonts w:hint="eastAsia" w:ascii="仿宋_GB2312" w:hAnsi="仿宋_GB2312" w:eastAsia="仿宋_GB2312" w:cs="仿宋_GB2312"/>
          <w:color w:val="auto"/>
          <w:kern w:val="0"/>
          <w:sz w:val="32"/>
          <w:szCs w:val="32"/>
          <w:highlight w:val="none"/>
          <w:u w:val="none"/>
          <w:lang w:val="en-US" w:eastAsia="zh-CN"/>
        </w:rPr>
        <w:t>以及13#食堂软装采购及安装，</w:t>
      </w:r>
      <w:r>
        <w:rPr>
          <w:rFonts w:hint="eastAsia" w:ascii="仿宋_GB2312" w:hAnsi="仿宋_GB2312" w:eastAsia="仿宋_GB2312" w:cs="仿宋_GB2312"/>
          <w:bCs/>
          <w:color w:val="auto"/>
          <w:sz w:val="32"/>
          <w:szCs w:val="32"/>
          <w:highlight w:val="none"/>
          <w:u w:val="none"/>
          <w:lang w:val="en-US" w:eastAsia="zh-CN"/>
        </w:rPr>
        <w:t>招标内容包括相应产品供货前的准备（包括现场踏勘、技术核对等）、采购、运输、装卸、安装、技术指导培训、检验、质保期及维保服务，根据方案效果图免费提供茶水间/会议服务中心/大会议室/无纸化办公圆桌会议室/中会议室/培训室/吸烟室/候会室兼接待室/接待室共计9个空间3D环绕效果图/720效果图等全部内容</w:t>
      </w:r>
      <w:r>
        <w:rPr>
          <w:rFonts w:hint="eastAsia" w:ascii="仿宋_GB2312" w:hAnsi="仿宋_GB2312" w:eastAsia="仿宋_GB2312" w:cs="仿宋_GB2312"/>
          <w:color w:val="auto"/>
          <w:kern w:val="0"/>
          <w:sz w:val="32"/>
          <w:szCs w:val="32"/>
          <w:highlight w:val="none"/>
          <w:u w:val="none"/>
          <w:lang w:val="en-US" w:eastAsia="zh-CN"/>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lang w:val="en-US" w:eastAsia="zh-CN"/>
        </w:rPr>
        <w:t>有效营业执照</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w:t>
      </w:r>
      <w:r>
        <w:rPr>
          <w:rFonts w:hint="eastAsia" w:ascii="仿宋_GB2312" w:hAnsi="仿宋_GB2312" w:eastAsia="仿宋_GB2312" w:cs="仿宋_GB2312"/>
          <w:color w:val="auto"/>
          <w:kern w:val="0"/>
          <w:sz w:val="32"/>
          <w:szCs w:val="32"/>
          <w:highlight w:val="none"/>
          <w:lang w:val="en-US" w:eastAsia="zh-CN"/>
        </w:rPr>
        <w:t>一名</w:t>
      </w:r>
      <w:r>
        <w:rPr>
          <w:rFonts w:hint="eastAsia" w:ascii="仿宋_GB2312" w:hAnsi="仿宋_GB2312" w:eastAsia="仿宋_GB2312" w:cs="仿宋_GB2312"/>
          <w:color w:val="auto"/>
          <w:kern w:val="0"/>
          <w:sz w:val="32"/>
          <w:szCs w:val="32"/>
          <w:highlight w:val="none"/>
        </w:rPr>
        <w:t>项目负责人。</w:t>
      </w:r>
    </w:p>
    <w:p w14:paraId="680D697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业绩要求：投标人提供近三年内（从投标截止时间往前推算）至少一份单项合同金额60万元以上的星级酒店或大型会议中心类似业绩合同（时间、金额以合同为准，合同不能显示的，提供其他证明资料，原件核查）。</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lang w:eastAsia="zh-CN"/>
        </w:rPr>
        <w:t>日17：00。</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5</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19</w:t>
      </w:r>
      <w:r>
        <w:rPr>
          <w:rFonts w:hint="eastAsia" w:ascii="仿宋_GB2312" w:hAnsi="仿宋_GB2312" w:eastAsia="仿宋_GB2312" w:cs="仿宋_GB2312"/>
          <w:bCs/>
          <w:color w:val="auto"/>
          <w:kern w:val="0"/>
          <w:sz w:val="32"/>
          <w:szCs w:val="32"/>
          <w:highlight w:val="none"/>
          <w:u w:val="single"/>
          <w:lang w:eastAsia="zh-CN"/>
        </w:rPr>
        <w:t>日14时</w:t>
      </w:r>
      <w:r>
        <w:rPr>
          <w:rFonts w:hint="eastAsia" w:ascii="仿宋_GB2312" w:hAnsi="仿宋_GB2312" w:eastAsia="仿宋_GB2312" w:cs="仿宋_GB2312"/>
          <w:bCs/>
          <w:color w:val="auto"/>
          <w:kern w:val="0"/>
          <w:sz w:val="32"/>
          <w:szCs w:val="32"/>
          <w:highlight w:val="none"/>
          <w:u w:val="single"/>
          <w:lang w:val="en-US" w:eastAsia="zh-CN"/>
        </w:rPr>
        <w:t>3</w:t>
      </w:r>
      <w:r>
        <w:rPr>
          <w:rFonts w:hint="eastAsia" w:ascii="仿宋_GB2312" w:hAnsi="仿宋_GB2312" w:eastAsia="仿宋_GB2312" w:cs="仿宋_GB2312"/>
          <w:bCs/>
          <w:color w:val="auto"/>
          <w:kern w:val="0"/>
          <w:sz w:val="32"/>
          <w:szCs w:val="32"/>
          <w:highlight w:val="none"/>
          <w:u w:val="single"/>
          <w:lang w:eastAsia="zh-CN"/>
        </w:rPr>
        <w:t>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4"/>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常州上鸿科技服务有限公司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89065130"/>
      <w:bookmarkStart w:id="1" w:name="_Toc522797139"/>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6B38C60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5．满足《中华人民共和国政府采购法》第二十二条规定的资格要求；</w:t>
      </w:r>
    </w:p>
    <w:p w14:paraId="5484D94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须为在中华人民共和国境内注册，能在国内合法提供相应的服务；</w:t>
      </w:r>
    </w:p>
    <w:p w14:paraId="4FF430B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参加政府采购活动前三年内，在经营活动中没有重大违法记录，且未被列入失信被执行人、严重失信主体、重大税收违法失信、政府采购严重违法失信行为记录名单，信用信息以“中国执行信息公开网”</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信用中国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、“中国政府采购网”网站公布为准及“中国裁判文书网”无行贿记录证明；</w:t>
      </w:r>
    </w:p>
    <w:p w14:paraId="449EC50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．法律、法规及招标文件规定的其他条件</w:t>
      </w:r>
      <w:r>
        <w:rPr>
          <w:rFonts w:hint="eastAsia" w:ascii="仿宋_GB2312" w:hAnsi="仿宋_GB2312" w:eastAsia="仿宋_GB2312" w:cs="仿宋_GB2312"/>
          <w:color w:val="auto"/>
          <w:kern w:val="0"/>
          <w:sz w:val="32"/>
          <w:szCs w:val="32"/>
          <w:highlight w:val="none"/>
        </w:rPr>
        <w:t>。</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提供投标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color w:val="000000"/>
          <w:sz w:val="32"/>
          <w:szCs w:val="32"/>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color w:val="000000"/>
          <w:sz w:val="32"/>
          <w:szCs w:val="32"/>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授权委托人本人第二代居民身份证</w:t>
      </w:r>
      <w:r>
        <w:rPr>
          <w:rFonts w:hint="eastAsia" w:ascii="仿宋_GB2312" w:hAnsi="仿宋_GB2312" w:eastAsia="仿宋_GB2312" w:cs="仿宋_GB2312"/>
          <w:color w:val="000000"/>
          <w:sz w:val="32"/>
          <w:szCs w:val="32"/>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13"/>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4.6投标保证金缴款回单；</w:t>
      </w:r>
    </w:p>
    <w:p w14:paraId="07733FB1">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投标人信用承诺书</w:t>
      </w:r>
      <w:r>
        <w:rPr>
          <w:rFonts w:hint="eastAsia" w:ascii="仿宋_GB2312" w:hAnsi="仿宋_GB2312" w:eastAsia="仿宋_GB2312" w:cs="仿宋_GB2312"/>
          <w:color w:val="000000"/>
          <w:sz w:val="32"/>
          <w:szCs w:val="32"/>
          <w:highlight w:val="none"/>
        </w:rPr>
        <w:t>（详见</w:t>
      </w:r>
      <w:r>
        <w:rPr>
          <w:rFonts w:hint="eastAsia" w:ascii="仿宋_GB2312" w:hAnsi="仿宋_GB2312" w:eastAsia="仿宋_GB2312" w:cs="仿宋_GB2312"/>
          <w:color w:val="000000"/>
          <w:sz w:val="32"/>
          <w:szCs w:val="32"/>
          <w:highlight w:val="none"/>
          <w:lang w:eastAsia="zh-CN"/>
        </w:rPr>
        <w:t>附件四</w:t>
      </w:r>
      <w:r>
        <w:rPr>
          <w:rFonts w:hint="eastAsia" w:ascii="仿宋_GB2312" w:hAnsi="仿宋_GB2312" w:eastAsia="仿宋_GB2312" w:cs="仿宋_GB2312"/>
          <w:color w:val="000000"/>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29"/>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3"/>
        <w:ind w:firstLine="643" w:firstLineChars="200"/>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3"/>
        <w:ind w:firstLine="640" w:firstLineChars="200"/>
        <w:rPr>
          <w:rFonts w:hint="eastAsia" w:ascii="仿宋_GB2312" w:hAnsi="仿宋_GB2312" w:eastAsia="仿宋_GB2312" w:cs="仿宋_GB2312"/>
          <w:color w:val="000000"/>
          <w:kern w:val="2"/>
          <w:sz w:val="32"/>
          <w:szCs w:val="32"/>
          <w:lang w:val="en-US" w:eastAsia="zh-CN" w:bidi="ar-SA"/>
        </w:rPr>
      </w:pPr>
    </w:p>
    <w:p w14:paraId="7A886476">
      <w:pPr>
        <w:pStyle w:val="13"/>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eastAsia="zh-CN" w:bidi="ar"/>
        </w:rPr>
      </w:pPr>
      <w:r>
        <w:rPr>
          <w:rFonts w:hint="eastAsia" w:ascii="方正小标宋简体" w:hAnsi="Times New Roman" w:eastAsia="方正小标宋简体" w:cs="方正小标宋简体"/>
          <w:bCs/>
          <w:color w:val="auto"/>
          <w:kern w:val="44"/>
          <w:sz w:val="44"/>
          <w:szCs w:val="44"/>
          <w:highlight w:val="none"/>
          <w:lang w:bidi="ar"/>
        </w:rPr>
        <w:t>评 标 细 则</w:t>
      </w:r>
      <w:r>
        <w:rPr>
          <w:rFonts w:hint="eastAsia" w:ascii="方正小标宋简体" w:eastAsia="方正小标宋简体" w:cs="方正小标宋简体"/>
          <w:bCs/>
          <w:color w:val="auto"/>
          <w:kern w:val="44"/>
          <w:sz w:val="44"/>
          <w:szCs w:val="44"/>
          <w:highlight w:val="none"/>
          <w:lang w:eastAsia="zh-CN" w:bidi="ar"/>
        </w:rPr>
        <w:t>（</w:t>
      </w:r>
      <w:r>
        <w:rPr>
          <w:rFonts w:hint="eastAsia" w:ascii="方正小标宋简体" w:eastAsia="方正小标宋简体" w:cs="方正小标宋简体"/>
          <w:bCs/>
          <w:color w:val="auto"/>
          <w:kern w:val="44"/>
          <w:sz w:val="44"/>
          <w:szCs w:val="44"/>
          <w:highlight w:val="none"/>
          <w:lang w:val="en-US" w:eastAsia="zh-CN" w:bidi="ar"/>
        </w:rPr>
        <w:t>AK评标</w:t>
      </w:r>
      <w:r>
        <w:rPr>
          <w:rFonts w:hint="eastAsia" w:ascii="方正小标宋简体" w:eastAsia="方正小标宋简体" w:cs="方正小标宋简体"/>
          <w:bCs/>
          <w:color w:val="auto"/>
          <w:kern w:val="44"/>
          <w:sz w:val="44"/>
          <w:szCs w:val="44"/>
          <w:highlight w:val="none"/>
          <w:lang w:eastAsia="zh-CN" w:bidi="ar"/>
        </w:rPr>
        <w:t>）</w:t>
      </w:r>
    </w:p>
    <w:p w14:paraId="78B99843">
      <w:pPr>
        <w:pStyle w:val="12"/>
        <w:keepNext w:val="0"/>
        <w:keepLines w:val="0"/>
        <w:pageBreakBefore w:val="0"/>
        <w:shd w:val="clear" w:color="auto" w:fill="FFFFFF"/>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5B7758A0">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18CE2062">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178C43CA">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5A712C4B">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一、投标报价（100 分） </w:t>
      </w:r>
    </w:p>
    <w:p w14:paraId="6D66E318">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确定有效投标报价。 </w:t>
      </w:r>
    </w:p>
    <w:p w14:paraId="78AC75D3">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凡符合招标文件、招标答疑纪要等有关招标实质性要求，且在招标控制价以下的投标文件均为有效投标文件，未能实质性响应上述有关招标要求的投标文件为无效投标文件。 </w:t>
      </w:r>
    </w:p>
    <w:p w14:paraId="03D0434D">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确定评标基准价C </w:t>
      </w:r>
    </w:p>
    <w:p w14:paraId="11079891">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（1）评标基准价C= A×K；</w:t>
      </w:r>
    </w:p>
    <w:p w14:paraId="0ED3EE2C">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A为所有有效投标报价的算术平均值（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14:paraId="768FB607">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（3）K值在开标时由招标人代表随机抽取确定，一经确定，在后续的评审中出现任何情形都将不改变取值结果。K值的取值范围为95%、96%、97%、98%；</w:t>
      </w:r>
    </w:p>
    <w:p w14:paraId="13F523E3">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评分 </w:t>
      </w:r>
    </w:p>
    <w:p w14:paraId="2C6588FB">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有效投标报价等于评标基准价的得满分100分，有效投标报价相对评标基准价每高</w:t>
      </w:r>
      <w:r>
        <w:rPr>
          <w:rFonts w:hint="eastAsia" w:ascii="仿宋_GB2312" w:hAnsi="仿宋_GB2312" w:eastAsia="仿宋_GB2312" w:cs="仿宋_GB2312"/>
          <w:color w:val="auto"/>
          <w:sz w:val="32"/>
          <w:szCs w:val="32"/>
          <w:highlight w:val="none"/>
          <w:lang w:val="en-US" w:eastAsia="zh-CN"/>
        </w:rPr>
        <w:t>或低</w:t>
      </w:r>
      <w:r>
        <w:rPr>
          <w:rFonts w:hint="eastAsia" w:ascii="仿宋_GB2312" w:hAnsi="仿宋_GB2312" w:eastAsia="仿宋_GB2312" w:cs="仿宋_GB2312"/>
          <w:color w:val="auto"/>
          <w:sz w:val="32"/>
          <w:szCs w:val="32"/>
          <w:highlight w:val="none"/>
        </w:rPr>
        <w:t xml:space="preserve">1%扣0.5分；若偏离不足1%，则按内插法计算得分。（注：所有计算结果均四舍五入，保留两位小数点）。  </w:t>
      </w:r>
    </w:p>
    <w:p w14:paraId="5706F4E8">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10B96409">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r>
        <w:rPr>
          <w:rFonts w:hint="eastAsia" w:ascii="仿宋_GB2312" w:hAnsi="仿宋_GB2312" w:eastAsia="仿宋_GB2312" w:cs="仿宋_GB2312"/>
          <w:color w:val="auto"/>
          <w:sz w:val="32"/>
          <w:szCs w:val="32"/>
          <w:highlight w:val="none"/>
          <w:lang w:eastAsia="zh-CN"/>
        </w:rPr>
        <w:t>；</w:t>
      </w:r>
    </w:p>
    <w:p w14:paraId="3AC71DDC">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29740CBA">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13C69211">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1E69637D">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58AC5D1F">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r>
        <w:rPr>
          <w:rFonts w:hint="eastAsia" w:ascii="仿宋_GB2312" w:hAnsi="仿宋_GB2312" w:eastAsia="仿宋_GB2312" w:cs="仿宋_GB2312"/>
          <w:color w:val="auto"/>
          <w:sz w:val="32"/>
          <w:szCs w:val="32"/>
        </w:rPr>
        <w:t>。</w:t>
      </w:r>
    </w:p>
    <w:p w14:paraId="406527F0">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96CAD7-4368-41F2-BEB5-E79EF5DD11B4}"/>
  </w:font>
  <w:font w:name="黑体">
    <w:panose1 w:val="02010609060101010101"/>
    <w:charset w:val="86"/>
    <w:family w:val="auto"/>
    <w:pitch w:val="default"/>
    <w:sig w:usb0="800002BF" w:usb1="38CF7CFA" w:usb2="00000016" w:usb3="00000000" w:csb0="00040001" w:csb1="00000000"/>
    <w:embedRegular r:id="rId2" w:fontKey="{4CC04F82-EB9D-44AC-9D79-1C83956979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208C072E-D469-4FB7-8978-81AB8F594610}"/>
  </w:font>
  <w:font w:name="仿宋_GB2312">
    <w:panose1 w:val="02010609030101010101"/>
    <w:charset w:val="86"/>
    <w:family w:val="auto"/>
    <w:pitch w:val="default"/>
    <w:sig w:usb0="00000001" w:usb1="080E0000" w:usb2="00000000" w:usb3="00000000" w:csb0="00040000" w:csb1="00000000"/>
    <w:embedRegular r:id="rId4" w:fontKey="{BFD43BB0-1108-4CED-A218-9FA58D6E3B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2C0B">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02241E0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1BFE">
    <w:pPr>
      <w:pStyle w:val="10"/>
      <w:framePr w:wrap="around" w:vAnchor="text" w:hAnchor="margin" w:xAlign="center" w:y="2"/>
      <w:rPr>
        <w:rStyle w:val="17"/>
      </w:rPr>
    </w:pPr>
    <w:r>
      <w:fldChar w:fldCharType="begin"/>
    </w:r>
    <w:r>
      <w:rPr>
        <w:rStyle w:val="17"/>
      </w:rPr>
      <w:instrText xml:space="preserve">PAGE  </w:instrText>
    </w:r>
    <w:r>
      <w:fldChar w:fldCharType="end"/>
    </w:r>
  </w:p>
  <w:p w14:paraId="09819ED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10"/>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10"/>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52F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3BF0421"/>
    <w:rsid w:val="054144F3"/>
    <w:rsid w:val="05CB4E38"/>
    <w:rsid w:val="06033F82"/>
    <w:rsid w:val="06236B88"/>
    <w:rsid w:val="06690735"/>
    <w:rsid w:val="068E3768"/>
    <w:rsid w:val="06940536"/>
    <w:rsid w:val="073C3880"/>
    <w:rsid w:val="07A429B7"/>
    <w:rsid w:val="088A1ADE"/>
    <w:rsid w:val="08AD2EF4"/>
    <w:rsid w:val="08CC4A1B"/>
    <w:rsid w:val="090048DC"/>
    <w:rsid w:val="0A305844"/>
    <w:rsid w:val="0AC63F81"/>
    <w:rsid w:val="0B0E106E"/>
    <w:rsid w:val="0BBE4019"/>
    <w:rsid w:val="0C10591B"/>
    <w:rsid w:val="0C7B72F6"/>
    <w:rsid w:val="0E96630C"/>
    <w:rsid w:val="0EC31B94"/>
    <w:rsid w:val="0F362BEE"/>
    <w:rsid w:val="100D367B"/>
    <w:rsid w:val="10495085"/>
    <w:rsid w:val="105E7254"/>
    <w:rsid w:val="10623011"/>
    <w:rsid w:val="113B44EC"/>
    <w:rsid w:val="11B81FE1"/>
    <w:rsid w:val="12396644"/>
    <w:rsid w:val="128E19A9"/>
    <w:rsid w:val="13B33406"/>
    <w:rsid w:val="13BF3DBE"/>
    <w:rsid w:val="1407618A"/>
    <w:rsid w:val="140A17A1"/>
    <w:rsid w:val="141E6E98"/>
    <w:rsid w:val="154D25EA"/>
    <w:rsid w:val="157C2289"/>
    <w:rsid w:val="1586742B"/>
    <w:rsid w:val="15FE656C"/>
    <w:rsid w:val="161964C6"/>
    <w:rsid w:val="168D7598"/>
    <w:rsid w:val="17251F02"/>
    <w:rsid w:val="178F5078"/>
    <w:rsid w:val="191507FE"/>
    <w:rsid w:val="19395391"/>
    <w:rsid w:val="19694374"/>
    <w:rsid w:val="1A734CF7"/>
    <w:rsid w:val="1B213295"/>
    <w:rsid w:val="1B4A3ACE"/>
    <w:rsid w:val="1B4C2CD0"/>
    <w:rsid w:val="1B565763"/>
    <w:rsid w:val="1C391C39"/>
    <w:rsid w:val="1C3D736A"/>
    <w:rsid w:val="1CB117C2"/>
    <w:rsid w:val="1CD84695"/>
    <w:rsid w:val="1D777799"/>
    <w:rsid w:val="1DD65CC8"/>
    <w:rsid w:val="1E170592"/>
    <w:rsid w:val="1E56319D"/>
    <w:rsid w:val="1F163E84"/>
    <w:rsid w:val="1F325180"/>
    <w:rsid w:val="1F8343DB"/>
    <w:rsid w:val="20396400"/>
    <w:rsid w:val="20480747"/>
    <w:rsid w:val="2164555B"/>
    <w:rsid w:val="218B0B78"/>
    <w:rsid w:val="219C367C"/>
    <w:rsid w:val="21CF060D"/>
    <w:rsid w:val="21DD7533"/>
    <w:rsid w:val="21FD729B"/>
    <w:rsid w:val="220B1557"/>
    <w:rsid w:val="228B1CFF"/>
    <w:rsid w:val="22993263"/>
    <w:rsid w:val="24A7216D"/>
    <w:rsid w:val="24AA7A3F"/>
    <w:rsid w:val="24B56E14"/>
    <w:rsid w:val="24BB4C9A"/>
    <w:rsid w:val="25CA2B30"/>
    <w:rsid w:val="269F1681"/>
    <w:rsid w:val="26B618CC"/>
    <w:rsid w:val="26BF5E53"/>
    <w:rsid w:val="27DE2FC0"/>
    <w:rsid w:val="281B5EC4"/>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B453BB"/>
    <w:rsid w:val="34FD1935"/>
    <w:rsid w:val="35EE3516"/>
    <w:rsid w:val="36E92893"/>
    <w:rsid w:val="378160EC"/>
    <w:rsid w:val="384977AD"/>
    <w:rsid w:val="38F17347"/>
    <w:rsid w:val="39CB40BB"/>
    <w:rsid w:val="3CFD4441"/>
    <w:rsid w:val="3DDE0DD4"/>
    <w:rsid w:val="3DF8713D"/>
    <w:rsid w:val="3E0A4B97"/>
    <w:rsid w:val="3EA9688B"/>
    <w:rsid w:val="3EBA0082"/>
    <w:rsid w:val="3EFD02AE"/>
    <w:rsid w:val="3F6F2FB1"/>
    <w:rsid w:val="3FA03901"/>
    <w:rsid w:val="3FB0357B"/>
    <w:rsid w:val="3FE24949"/>
    <w:rsid w:val="40774C14"/>
    <w:rsid w:val="410200B3"/>
    <w:rsid w:val="425158A3"/>
    <w:rsid w:val="42AC759A"/>
    <w:rsid w:val="42C002CF"/>
    <w:rsid w:val="44FA347A"/>
    <w:rsid w:val="45290F50"/>
    <w:rsid w:val="452B1BAF"/>
    <w:rsid w:val="45812155"/>
    <w:rsid w:val="463C0801"/>
    <w:rsid w:val="46F74905"/>
    <w:rsid w:val="48193586"/>
    <w:rsid w:val="484D176C"/>
    <w:rsid w:val="48BB0626"/>
    <w:rsid w:val="48F32012"/>
    <w:rsid w:val="4A7919BE"/>
    <w:rsid w:val="4A7B65EB"/>
    <w:rsid w:val="4B7230B4"/>
    <w:rsid w:val="4B751DCD"/>
    <w:rsid w:val="4D1865A3"/>
    <w:rsid w:val="4E3E6DEE"/>
    <w:rsid w:val="4E7A625A"/>
    <w:rsid w:val="4EDD74E8"/>
    <w:rsid w:val="4F020368"/>
    <w:rsid w:val="4F80608F"/>
    <w:rsid w:val="4FC43323"/>
    <w:rsid w:val="503572C0"/>
    <w:rsid w:val="511757F2"/>
    <w:rsid w:val="511D4F82"/>
    <w:rsid w:val="51B3364F"/>
    <w:rsid w:val="53A62E82"/>
    <w:rsid w:val="553F163A"/>
    <w:rsid w:val="553F2BAD"/>
    <w:rsid w:val="55850EFA"/>
    <w:rsid w:val="55AD03B6"/>
    <w:rsid w:val="566B3D9C"/>
    <w:rsid w:val="574D580D"/>
    <w:rsid w:val="57DA1D5C"/>
    <w:rsid w:val="57DD440B"/>
    <w:rsid w:val="57F24E68"/>
    <w:rsid w:val="58BB30A2"/>
    <w:rsid w:val="58EF4377"/>
    <w:rsid w:val="58F447C2"/>
    <w:rsid w:val="594E12AA"/>
    <w:rsid w:val="59537B91"/>
    <w:rsid w:val="5966217F"/>
    <w:rsid w:val="59C15A6E"/>
    <w:rsid w:val="59DF6834"/>
    <w:rsid w:val="59F2097D"/>
    <w:rsid w:val="5A186745"/>
    <w:rsid w:val="5AB3021C"/>
    <w:rsid w:val="5B432946"/>
    <w:rsid w:val="5B822E9D"/>
    <w:rsid w:val="5BD73D3B"/>
    <w:rsid w:val="5C1473E0"/>
    <w:rsid w:val="5E137A36"/>
    <w:rsid w:val="5E5553C7"/>
    <w:rsid w:val="607C3927"/>
    <w:rsid w:val="612B684E"/>
    <w:rsid w:val="61527712"/>
    <w:rsid w:val="63176E75"/>
    <w:rsid w:val="637A5646"/>
    <w:rsid w:val="639A01CB"/>
    <w:rsid w:val="63F4603A"/>
    <w:rsid w:val="63FA4B54"/>
    <w:rsid w:val="64093F70"/>
    <w:rsid w:val="64D23995"/>
    <w:rsid w:val="651346D9"/>
    <w:rsid w:val="65923B91"/>
    <w:rsid w:val="65F14AFE"/>
    <w:rsid w:val="66017F6E"/>
    <w:rsid w:val="66D90E30"/>
    <w:rsid w:val="68110444"/>
    <w:rsid w:val="68352BB8"/>
    <w:rsid w:val="683F7B6F"/>
    <w:rsid w:val="68551FC8"/>
    <w:rsid w:val="68AB6990"/>
    <w:rsid w:val="69173724"/>
    <w:rsid w:val="6AA40BD1"/>
    <w:rsid w:val="6BEB5FCA"/>
    <w:rsid w:val="6BFA3EFD"/>
    <w:rsid w:val="6CBF479C"/>
    <w:rsid w:val="6E2C2368"/>
    <w:rsid w:val="6EE63F95"/>
    <w:rsid w:val="6F257305"/>
    <w:rsid w:val="700D4DA4"/>
    <w:rsid w:val="70162D6E"/>
    <w:rsid w:val="704045D3"/>
    <w:rsid w:val="70E76A1A"/>
    <w:rsid w:val="71726A12"/>
    <w:rsid w:val="72223297"/>
    <w:rsid w:val="73B75D5F"/>
    <w:rsid w:val="73E0463F"/>
    <w:rsid w:val="73EC5E1A"/>
    <w:rsid w:val="74231ACE"/>
    <w:rsid w:val="748553D3"/>
    <w:rsid w:val="76527987"/>
    <w:rsid w:val="773E295A"/>
    <w:rsid w:val="77721E8E"/>
    <w:rsid w:val="77B57F4F"/>
    <w:rsid w:val="77D15D7E"/>
    <w:rsid w:val="78091B5E"/>
    <w:rsid w:val="783B658D"/>
    <w:rsid w:val="78AD248D"/>
    <w:rsid w:val="7A4C17D5"/>
    <w:rsid w:val="7C5C47A0"/>
    <w:rsid w:val="7C865339"/>
    <w:rsid w:val="7C907F65"/>
    <w:rsid w:val="7C98391B"/>
    <w:rsid w:val="7D64046A"/>
    <w:rsid w:val="7D8A04D8"/>
    <w:rsid w:val="7DC26768"/>
    <w:rsid w:val="7E5D61B0"/>
    <w:rsid w:val="7EB70070"/>
    <w:rsid w:val="7EB8677B"/>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5">
    <w:name w:val="table of authorities"/>
    <w:basedOn w:val="1"/>
    <w:next w:val="1"/>
    <w:unhideWhenUsed/>
    <w:qFormat/>
    <w:uiPriority w:val="99"/>
    <w:pPr>
      <w:ind w:left="420" w:leftChars="200"/>
    </w:pPr>
  </w:style>
  <w:style w:type="paragraph" w:styleId="6">
    <w:name w:val="annotation text"/>
    <w:basedOn w:val="1"/>
    <w:qFormat/>
    <w:uiPriority w:val="0"/>
    <w:pPr>
      <w:jc w:val="left"/>
    </w:pPr>
  </w:style>
  <w:style w:type="paragraph" w:styleId="7">
    <w:name w:val="Body Text Indent"/>
    <w:basedOn w:val="1"/>
    <w:next w:val="8"/>
    <w:autoRedefine/>
    <w:qFormat/>
    <w:uiPriority w:val="0"/>
    <w:pPr>
      <w:spacing w:line="360" w:lineRule="auto"/>
      <w:ind w:firstLine="570"/>
    </w:pPr>
    <w:rPr>
      <w:sz w:val="24"/>
    </w:rPr>
  </w:style>
  <w:style w:type="paragraph" w:styleId="8">
    <w:name w:val="Body Text First Indent 2"/>
    <w:basedOn w:val="1"/>
    <w:next w:val="1"/>
    <w:autoRedefine/>
    <w:qFormat/>
    <w:uiPriority w:val="99"/>
    <w:pPr>
      <w:spacing w:after="120"/>
      <w:ind w:left="420" w:leftChars="200" w:firstLine="420"/>
    </w:pPr>
    <w:rPr>
      <w:color w:val="000000"/>
      <w:sz w:val="20"/>
    </w:rPr>
  </w:style>
  <w:style w:type="paragraph" w:styleId="9">
    <w:name w:val="Plain Text"/>
    <w:basedOn w:val="1"/>
    <w:qFormat/>
    <w:uiPriority w:val="0"/>
    <w:rPr>
      <w:rFonts w:ascii="宋体" w:hAnsi="Courier New"/>
      <w:szCs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autoRedefine/>
    <w:qFormat/>
    <w:uiPriority w:val="0"/>
    <w:pPr>
      <w:ind w:firstLine="420" w:firstLineChars="100"/>
    </w:pPr>
  </w:style>
  <w:style w:type="character" w:styleId="16">
    <w:name w:val="Strong"/>
    <w:basedOn w:val="15"/>
    <w:autoRedefine/>
    <w:qFormat/>
    <w:uiPriority w:val="22"/>
    <w:rPr>
      <w:b/>
      <w:bCs/>
    </w:rPr>
  </w:style>
  <w:style w:type="character" w:styleId="17">
    <w:name w:val="page number"/>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autoRedefine/>
    <w:qFormat/>
    <w:uiPriority w:val="0"/>
    <w:rPr>
      <w:color w:val="0000FF"/>
      <w:u w:val="singl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p0"/>
    <w:basedOn w:val="1"/>
    <w:qFormat/>
    <w:uiPriority w:val="0"/>
    <w:pPr>
      <w:widowControl/>
    </w:pPr>
    <w:rPr>
      <w:rFonts w:ascii="Calibri" w:hAnsi="Calibri" w:cs="宋体"/>
      <w:kern w:val="0"/>
      <w:szCs w:val="21"/>
    </w:rPr>
  </w:style>
  <w:style w:type="character" w:customStyle="1" w:styleId="30">
    <w:name w:val="hour_am"/>
    <w:basedOn w:val="15"/>
    <w:qFormat/>
    <w:uiPriority w:val="0"/>
  </w:style>
  <w:style w:type="character" w:customStyle="1" w:styleId="31">
    <w:name w:val="old"/>
    <w:basedOn w:val="15"/>
    <w:qFormat/>
    <w:uiPriority w:val="0"/>
    <w:rPr>
      <w:color w:val="999999"/>
    </w:rPr>
  </w:style>
  <w:style w:type="character" w:customStyle="1" w:styleId="32">
    <w:name w:val="hover"/>
    <w:basedOn w:val="15"/>
    <w:qFormat/>
    <w:uiPriority w:val="0"/>
    <w:rPr>
      <w:shd w:val="clear" w:fill="EEEEEE"/>
    </w:rPr>
  </w:style>
  <w:style w:type="character" w:customStyle="1" w:styleId="33">
    <w:name w:val="glyphicon"/>
    <w:basedOn w:val="15"/>
    <w:qFormat/>
    <w:uiPriority w:val="0"/>
  </w:style>
  <w:style w:type="character" w:customStyle="1" w:styleId="34">
    <w:name w:val="hour_pm"/>
    <w:basedOn w:val="15"/>
    <w:qFormat/>
    <w:uiPriority w:val="0"/>
  </w:style>
  <w:style w:type="character" w:customStyle="1" w:styleId="35">
    <w:name w:val="layui-layer-tabnow"/>
    <w:basedOn w:val="15"/>
    <w:qFormat/>
    <w:uiPriority w:val="0"/>
    <w:rPr>
      <w:bdr w:val="single" w:color="CCCCCC" w:sz="6" w:space="0"/>
      <w:shd w:val="clear" w:fill="FFFFFF"/>
    </w:rPr>
  </w:style>
  <w:style w:type="character" w:customStyle="1" w:styleId="36">
    <w:name w:val="first-child"/>
    <w:basedOn w:val="15"/>
    <w:qFormat/>
    <w:uiPriority w:val="0"/>
  </w:style>
  <w:style w:type="character" w:customStyle="1" w:styleId="37">
    <w:name w:val="hover2"/>
    <w:basedOn w:val="15"/>
    <w:qFormat/>
    <w:uiPriority w:val="0"/>
    <w:rPr>
      <w:shd w:val="clear" w:fill="EEEEEE"/>
    </w:rPr>
  </w:style>
  <w:style w:type="paragraph" w:customStyle="1" w:styleId="38">
    <w:name w:val="无间隔_0_1"/>
    <w:basedOn w:val="1"/>
    <w:autoRedefine/>
    <w:qFormat/>
    <w:uiPriority w:val="0"/>
    <w:pPr>
      <w:jc w:val="center"/>
    </w:pPr>
    <w:rPr>
      <w:rFonts w:ascii="Times New Roman" w:hAnsi="Times New Roman" w:eastAsia="黑体" w:cs="Times New Roman"/>
      <w:sz w:val="30"/>
      <w:szCs w:val="30"/>
    </w:rPr>
  </w:style>
  <w:style w:type="paragraph" w:customStyle="1" w:styleId="39">
    <w:name w:val="正文_2_0"/>
    <w:basedOn w:val="1"/>
    <w:autoRedefine/>
    <w:qFormat/>
    <w:uiPriority w:val="0"/>
    <w:rPr>
      <w:rFonts w:ascii="Arial" w:hAnsi="Arial" w:eastAsia="宋体" w:cs="Arial"/>
      <w:szCs w:val="21"/>
    </w:rPr>
  </w:style>
  <w:style w:type="paragraph" w:customStyle="1" w:styleId="40">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1">
    <w:name w:val="NormalCharacter"/>
    <w:qFormat/>
    <w:uiPriority w:val="0"/>
    <w:rPr>
      <w:rFonts w:ascii="Times New Roman" w:hAnsi="Times New Roman" w:eastAsia="宋体" w:cs="Times New Roman"/>
      <w:kern w:val="2"/>
      <w:sz w:val="21"/>
      <w:lang w:val="en-US" w:eastAsia="zh-CN" w:bidi="ar-SA"/>
    </w:rPr>
  </w:style>
  <w:style w:type="paragraph" w:styleId="42">
    <w:name w:val="No Spacing"/>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4518</Words>
  <Characters>4715</Characters>
  <Lines>19</Lines>
  <Paragraphs>5</Paragraphs>
  <TotalTime>16</TotalTime>
  <ScaleCrop>false</ScaleCrop>
  <LinksUpToDate>false</LinksUpToDate>
  <CharactersWithSpaces>4975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2025-05-06T07:38:09Z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644B6EF7A8F5471B8618E261E325CE23_13</vt:lpwstr>
  </property>
  <property fmtid="{D5CDD505-2E9C-101B-9397-08002B2CF9AE}" pid="4" name="KSOTemplateDocerSaveRecord">
    <vt:lpwstr>eyJoZGlkIjoiMDc3OTNlYWQ1N2NiMGU1ODNiOTdkNWRiYjRlY2Q5ZTciLCJ1c2VySWQiOiI2MDg1NjgyMTAifQ==</vt:lpwstr>
  </property>
</Properties>
</file>