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91635">
      <w:pPr>
        <w:pStyle w:val="3"/>
        <w:spacing w:line="400" w:lineRule="atLeast"/>
        <w:jc w:val="center"/>
        <w:rPr>
          <w:rFonts w:ascii="宋体" w:hAnsi="宋体" w:cs="宋体"/>
          <w:b/>
          <w:sz w:val="30"/>
          <w:szCs w:val="30"/>
        </w:rPr>
      </w:pPr>
      <w:r>
        <w:rPr>
          <w:rFonts w:ascii="宋体" w:hAnsi="宋体" w:cs="宋体"/>
          <w:b/>
          <w:bCs/>
          <w:sz w:val="30"/>
          <w:szCs w:val="30"/>
        </w:rPr>
        <w:t>孟城北街公园附属用房装修工程工程</w:t>
      </w:r>
      <w:r>
        <w:rPr>
          <w:rFonts w:ascii="宋体" w:hAnsi="宋体" w:cs="宋体"/>
          <w:b/>
          <w:sz w:val="30"/>
          <w:szCs w:val="30"/>
        </w:rPr>
        <w:t>清单、控制价编制说明</w:t>
      </w:r>
    </w:p>
    <w:p w14:paraId="3E9529F6">
      <w:pPr>
        <w:spacing w:line="500" w:lineRule="exact"/>
        <w:ind w:firstLine="360"/>
        <w:rPr>
          <w:rFonts w:ascii="宋体" w:hAnsi="宋体" w:cs="宋体"/>
          <w:sz w:val="18"/>
          <w:szCs w:val="18"/>
        </w:rPr>
      </w:pPr>
      <w:r>
        <w:rPr>
          <w:rFonts w:ascii="宋体" w:hAnsi="宋体" w:cs="宋体"/>
          <w:color w:val="FF0000"/>
          <w:sz w:val="18"/>
          <w:szCs w:val="18"/>
        </w:rPr>
        <w:t>本编制说明共有六款</w:t>
      </w:r>
      <w:r>
        <w:rPr>
          <w:rFonts w:ascii="宋体" w:hAnsi="宋体" w:cs="宋体"/>
          <w:sz w:val="18"/>
          <w:szCs w:val="18"/>
        </w:rPr>
        <w:t>。</w:t>
      </w:r>
    </w:p>
    <w:p w14:paraId="5EC585EF">
      <w:pPr>
        <w:pStyle w:val="3"/>
        <w:spacing w:line="360" w:lineRule="auto"/>
        <w:rPr>
          <w:rFonts w:ascii="宋体" w:hAnsi="宋体" w:cs="宋体"/>
          <w:b/>
          <w:sz w:val="18"/>
          <w:szCs w:val="18"/>
        </w:rPr>
      </w:pPr>
      <w:r>
        <w:rPr>
          <w:rFonts w:ascii="宋体" w:hAnsi="宋体" w:cs="宋体"/>
          <w:b/>
          <w:sz w:val="18"/>
          <w:szCs w:val="18"/>
        </w:rPr>
        <w:t>一、工程概况</w:t>
      </w:r>
    </w:p>
    <w:p w14:paraId="29330834">
      <w:pPr>
        <w:spacing w:line="500" w:lineRule="exact"/>
        <w:ind w:firstLine="360"/>
        <w:rPr>
          <w:rFonts w:ascii="宋体" w:hAnsi="宋体" w:cs="宋体"/>
          <w:sz w:val="18"/>
          <w:szCs w:val="18"/>
        </w:rPr>
      </w:pPr>
      <w:r>
        <w:rPr>
          <w:rFonts w:ascii="宋体" w:hAnsi="宋体" w:cs="宋体"/>
          <w:sz w:val="18"/>
          <w:szCs w:val="18"/>
        </w:rPr>
        <w:t>本工程位于基地位于常州市新北区孟河镇 。工程内容包括附属用房的室内、外装饰及水电等。</w:t>
      </w:r>
    </w:p>
    <w:p w14:paraId="1BC868BB">
      <w:pPr>
        <w:pStyle w:val="3"/>
        <w:spacing w:line="360" w:lineRule="auto"/>
        <w:rPr>
          <w:rFonts w:ascii="宋体" w:hAnsi="宋体" w:cs="宋体"/>
          <w:b/>
          <w:sz w:val="18"/>
          <w:szCs w:val="18"/>
        </w:rPr>
      </w:pPr>
      <w:r>
        <w:rPr>
          <w:rFonts w:ascii="宋体" w:hAnsi="宋体" w:cs="宋体"/>
          <w:b/>
          <w:sz w:val="18"/>
          <w:szCs w:val="18"/>
        </w:rPr>
        <w:t>二、编制范围</w:t>
      </w:r>
    </w:p>
    <w:p w14:paraId="327A3B1C">
      <w:pPr>
        <w:pStyle w:val="3"/>
        <w:spacing w:line="360" w:lineRule="auto"/>
        <w:ind w:firstLine="0"/>
        <w:rPr>
          <w:rFonts w:ascii="宋体" w:hAnsi="宋体" w:cs="宋体"/>
          <w:sz w:val="18"/>
          <w:szCs w:val="18"/>
        </w:rPr>
      </w:pPr>
      <w:r>
        <w:rPr>
          <w:rFonts w:ascii="宋体" w:hAnsi="宋体" w:cs="宋体"/>
          <w:sz w:val="18"/>
          <w:szCs w:val="18"/>
        </w:rPr>
        <w:t xml:space="preserve">    设计图纸范围及设计、甲方答疑。</w:t>
      </w:r>
    </w:p>
    <w:p w14:paraId="1472D31D">
      <w:pPr>
        <w:pStyle w:val="3"/>
        <w:spacing w:line="360" w:lineRule="auto"/>
        <w:rPr>
          <w:rFonts w:ascii="宋体" w:hAnsi="宋体" w:cs="宋体"/>
          <w:b/>
          <w:sz w:val="18"/>
          <w:szCs w:val="18"/>
        </w:rPr>
      </w:pPr>
      <w:r>
        <w:rPr>
          <w:rFonts w:ascii="宋体" w:hAnsi="宋体" w:cs="宋体"/>
          <w:b/>
          <w:sz w:val="18"/>
          <w:szCs w:val="18"/>
        </w:rPr>
        <w:t>三、编制依据</w:t>
      </w:r>
    </w:p>
    <w:p w14:paraId="65C7B819">
      <w:pPr>
        <w:pStyle w:val="3"/>
        <w:numPr>
          <w:ilvl w:val="0"/>
          <w:numId w:val="1"/>
        </w:numPr>
        <w:spacing w:line="360" w:lineRule="auto"/>
        <w:rPr>
          <w:rFonts w:ascii="宋体" w:hAnsi="宋体" w:cs="宋体"/>
          <w:sz w:val="18"/>
          <w:szCs w:val="18"/>
        </w:rPr>
      </w:pPr>
      <w:r>
        <w:rPr>
          <w:rFonts w:ascii="宋体" w:hAnsi="宋体" w:cs="宋体"/>
          <w:sz w:val="18"/>
          <w:szCs w:val="18"/>
        </w:rPr>
        <w:t>现行国家、地方有关法律、法规；</w:t>
      </w:r>
    </w:p>
    <w:p w14:paraId="231F77FD">
      <w:pPr>
        <w:pStyle w:val="3"/>
        <w:numPr>
          <w:ilvl w:val="0"/>
          <w:numId w:val="1"/>
        </w:numPr>
        <w:spacing w:line="360" w:lineRule="auto"/>
        <w:rPr>
          <w:rFonts w:ascii="宋体" w:hAnsi="宋体" w:cs="宋体"/>
          <w:sz w:val="18"/>
          <w:szCs w:val="18"/>
        </w:rPr>
      </w:pPr>
      <w:r>
        <w:rPr>
          <w:rFonts w:ascii="宋体" w:hAnsi="宋体" w:cs="宋体"/>
          <w:sz w:val="18"/>
          <w:szCs w:val="18"/>
        </w:rPr>
        <w:t>委托方提供的设计图纸、招标文件、编标要求及编标答疑等；</w:t>
      </w:r>
    </w:p>
    <w:p w14:paraId="74907252">
      <w:pPr>
        <w:pStyle w:val="3"/>
        <w:numPr>
          <w:ilvl w:val="0"/>
          <w:numId w:val="1"/>
        </w:numPr>
        <w:spacing w:line="360" w:lineRule="auto"/>
        <w:rPr>
          <w:rFonts w:ascii="宋体" w:hAnsi="宋体" w:cs="宋体"/>
          <w:sz w:val="18"/>
          <w:szCs w:val="18"/>
        </w:rPr>
      </w:pPr>
      <w:r>
        <w:rPr>
          <w:rFonts w:ascii="宋体" w:hAnsi="宋体" w:cs="宋体"/>
          <w:sz w:val="18"/>
          <w:szCs w:val="18"/>
        </w:rPr>
        <w:t>苏建价(2014)448号文 省住房城乡建设厅关于《建设工程工程量清单计价规范》（GB50500-2013）及其9本工程量计算规范的贯彻意见；</w:t>
      </w:r>
    </w:p>
    <w:p w14:paraId="7690757B">
      <w:pPr>
        <w:pStyle w:val="3"/>
        <w:numPr>
          <w:ilvl w:val="0"/>
          <w:numId w:val="1"/>
        </w:numPr>
        <w:spacing w:line="360" w:lineRule="auto"/>
        <w:rPr>
          <w:rFonts w:ascii="宋体" w:hAnsi="宋体" w:cs="宋体"/>
          <w:sz w:val="18"/>
          <w:szCs w:val="18"/>
        </w:rPr>
      </w:pPr>
      <w:r>
        <w:rPr>
          <w:rFonts w:ascii="宋体" w:hAnsi="宋体" w:cs="宋体"/>
          <w:sz w:val="18"/>
          <w:szCs w:val="18"/>
        </w:rPr>
        <w:t>《建设工程工程量清单计价规范》（GB50500-2013）、</w:t>
      </w:r>
      <w:r>
        <w:rPr>
          <w:rFonts w:ascii="宋体" w:hAnsi="宋体" w:cs="宋体"/>
          <w:bCs/>
          <w:sz w:val="18"/>
          <w:szCs w:val="18"/>
        </w:rPr>
        <w:t>2007版《江苏省仿古建筑与园林工程计价表》、</w:t>
      </w:r>
      <w:r>
        <w:rPr>
          <w:rFonts w:ascii="宋体" w:hAnsi="宋体" w:cs="宋体"/>
          <w:sz w:val="18"/>
          <w:szCs w:val="18"/>
        </w:rPr>
        <w:t>2014版《江苏省市政工程计价定额》、</w:t>
      </w:r>
      <w:r>
        <w:rPr>
          <w:rFonts w:ascii="宋体" w:hAnsi="宋体" w:cs="宋体"/>
          <w:bCs/>
          <w:sz w:val="18"/>
          <w:szCs w:val="18"/>
        </w:rPr>
        <w:t>2014版《江苏省建筑与装饰工程计价定额》、</w:t>
      </w:r>
      <w:r>
        <w:rPr>
          <w:rFonts w:ascii="宋体" w:hAnsi="宋体" w:cs="宋体"/>
          <w:sz w:val="18"/>
          <w:szCs w:val="18"/>
        </w:rPr>
        <w:t>《江苏省2014机械台班定额》、2014版《江苏省建设工程费用定额》；</w:t>
      </w:r>
    </w:p>
    <w:p w14:paraId="5ADEB819">
      <w:pPr>
        <w:pStyle w:val="3"/>
        <w:numPr>
          <w:ilvl w:val="0"/>
          <w:numId w:val="1"/>
        </w:numPr>
        <w:spacing w:line="360" w:lineRule="auto"/>
        <w:rPr>
          <w:rFonts w:ascii="宋体" w:hAnsi="宋体" w:cs="宋体"/>
          <w:sz w:val="18"/>
          <w:szCs w:val="18"/>
        </w:rPr>
      </w:pPr>
      <w:r>
        <w:rPr>
          <w:rFonts w:ascii="宋体" w:hAnsi="宋体" w:cs="宋体"/>
          <w:sz w:val="18"/>
          <w:szCs w:val="18"/>
        </w:rPr>
        <w:t>常建（2014）279号文《关于贯彻《建设工程工程量清单计价规范》（GB50500-2013）等国家标准和省2014年建筑与装饰、安装、市政等专业工程计价定额及费用定额的通知》；</w:t>
      </w:r>
    </w:p>
    <w:p w14:paraId="46770197">
      <w:pPr>
        <w:pStyle w:val="3"/>
        <w:numPr>
          <w:ilvl w:val="0"/>
          <w:numId w:val="1"/>
        </w:numPr>
        <w:spacing w:line="360" w:lineRule="auto"/>
        <w:rPr>
          <w:rFonts w:ascii="宋体" w:hAnsi="宋体" w:cs="宋体"/>
          <w:sz w:val="18"/>
          <w:szCs w:val="18"/>
        </w:rPr>
      </w:pPr>
      <w:r>
        <w:rPr>
          <w:rFonts w:ascii="宋体" w:hAnsi="宋体" w:cs="宋体"/>
          <w:sz w:val="18"/>
          <w:szCs w:val="18"/>
        </w:rPr>
        <w:t>常建（2016）94号关于转发《省住房城乡建设厅关于建筑业实施营改增后江苏省建设工程计价依据调整的通知》的通知；</w:t>
      </w:r>
    </w:p>
    <w:p w14:paraId="5DA4E1FA">
      <w:pPr>
        <w:pStyle w:val="3"/>
        <w:numPr>
          <w:ilvl w:val="0"/>
          <w:numId w:val="1"/>
        </w:numPr>
        <w:spacing w:line="360" w:lineRule="auto"/>
        <w:rPr>
          <w:rFonts w:ascii="宋体" w:hAnsi="宋体" w:cs="宋体"/>
          <w:sz w:val="18"/>
          <w:szCs w:val="18"/>
        </w:rPr>
      </w:pPr>
      <w:r>
        <w:rPr>
          <w:rFonts w:ascii="宋体" w:hAnsi="宋体" w:cs="宋体"/>
          <w:sz w:val="18"/>
          <w:szCs w:val="18"/>
        </w:rPr>
        <w:t>常建（2019）1号文关于贯彻《省住房城乡建设厅关于调整建设工程按质论价等费用计取方法的公告》的通知；</w:t>
      </w:r>
    </w:p>
    <w:p w14:paraId="29A2F2AA">
      <w:pPr>
        <w:pStyle w:val="3"/>
        <w:numPr>
          <w:ilvl w:val="0"/>
          <w:numId w:val="1"/>
        </w:numPr>
        <w:spacing w:line="360" w:lineRule="auto"/>
        <w:rPr>
          <w:rFonts w:ascii="宋体" w:hAnsi="宋体" w:cs="宋体"/>
          <w:sz w:val="18"/>
          <w:szCs w:val="18"/>
        </w:rPr>
      </w:pPr>
      <w:r>
        <w:rPr>
          <w:rFonts w:ascii="宋体" w:hAnsi="宋体" w:cs="宋体"/>
          <w:sz w:val="18"/>
          <w:szCs w:val="18"/>
        </w:rPr>
        <w:t>苏建（2019）19号文关于贯彻《省住房城乡建设厅关于建筑工人实名制费用计取方法的公告》的通知；</w:t>
      </w:r>
    </w:p>
    <w:p w14:paraId="5FB36584">
      <w:pPr>
        <w:pStyle w:val="3"/>
        <w:numPr>
          <w:ilvl w:val="0"/>
          <w:numId w:val="1"/>
        </w:numPr>
        <w:spacing w:line="360" w:lineRule="auto"/>
        <w:rPr>
          <w:rFonts w:ascii="宋体" w:hAnsi="宋体" w:cs="宋体"/>
          <w:sz w:val="18"/>
          <w:szCs w:val="18"/>
        </w:rPr>
      </w:pPr>
      <w:r>
        <w:rPr>
          <w:rFonts w:ascii="宋体" w:hAnsi="宋体" w:cs="宋体"/>
          <w:sz w:val="18"/>
          <w:szCs w:val="18"/>
        </w:rPr>
        <w:t>苏建函价〔2019〕178号文《省住房城乡建设厅关于调整建设工程计价增值税税率的通知》；</w:t>
      </w:r>
    </w:p>
    <w:p w14:paraId="4A670C49">
      <w:pPr>
        <w:pStyle w:val="3"/>
        <w:numPr>
          <w:ilvl w:val="0"/>
          <w:numId w:val="1"/>
        </w:numPr>
        <w:spacing w:line="360" w:lineRule="auto"/>
        <w:rPr>
          <w:rFonts w:ascii="宋体" w:hAnsi="宋体" w:cs="宋体"/>
          <w:sz w:val="18"/>
          <w:szCs w:val="18"/>
        </w:rPr>
      </w:pPr>
      <w:r>
        <w:rPr>
          <w:rFonts w:ascii="宋体" w:hAnsi="宋体" w:cs="宋体"/>
          <w:sz w:val="18"/>
          <w:szCs w:val="18"/>
        </w:rPr>
        <w:t>江苏省及常州市有关计价方面的政策规定；</w:t>
      </w:r>
    </w:p>
    <w:p w14:paraId="4334549C">
      <w:pPr>
        <w:numPr>
          <w:ilvl w:val="0"/>
          <w:numId w:val="1"/>
        </w:numPr>
        <w:spacing w:line="360" w:lineRule="auto"/>
        <w:rPr>
          <w:rFonts w:ascii="宋体" w:hAnsi="宋体" w:cs="宋体"/>
          <w:bCs/>
          <w:sz w:val="18"/>
          <w:szCs w:val="18"/>
        </w:rPr>
      </w:pPr>
      <w:r>
        <w:rPr>
          <w:rFonts w:ascii="宋体" w:hAnsi="宋体" w:cs="宋体"/>
          <w:bCs/>
          <w:sz w:val="18"/>
          <w:szCs w:val="18"/>
        </w:rPr>
        <w:t>人工工资单价按苏建函价【2024】</w:t>
      </w:r>
      <w:r>
        <w:rPr>
          <w:rFonts w:ascii="宋体" w:hAnsi="宋体" w:cs="宋体"/>
          <w:sz w:val="18"/>
          <w:szCs w:val="18"/>
        </w:rPr>
        <w:t>348</w:t>
      </w:r>
      <w:r>
        <w:rPr>
          <w:rFonts w:ascii="宋体" w:hAnsi="宋体" w:cs="宋体"/>
          <w:bCs/>
          <w:sz w:val="18"/>
          <w:szCs w:val="18"/>
        </w:rPr>
        <w:t>号《省住房和城乡建设厅关于发布建设工程人工工资指导价的通知》调整；</w:t>
      </w:r>
    </w:p>
    <w:p w14:paraId="7B5BD657">
      <w:pPr>
        <w:numPr>
          <w:ilvl w:val="0"/>
          <w:numId w:val="1"/>
        </w:numPr>
        <w:spacing w:line="360" w:lineRule="auto"/>
        <w:rPr>
          <w:rFonts w:ascii="宋体" w:hAnsi="宋体" w:cs="宋体"/>
          <w:bCs/>
          <w:sz w:val="18"/>
          <w:szCs w:val="18"/>
        </w:rPr>
      </w:pPr>
      <w:r>
        <w:rPr>
          <w:rFonts w:ascii="宋体" w:hAnsi="宋体" w:cs="宋体"/>
          <w:bCs/>
          <w:sz w:val="18"/>
          <w:szCs w:val="18"/>
        </w:rPr>
        <w:t>材料价格按2025年</w:t>
      </w:r>
      <w:r>
        <w:rPr>
          <w:rFonts w:hint="eastAsia" w:ascii="宋体" w:hAnsi="宋体" w:cs="宋体"/>
          <w:bCs/>
          <w:sz w:val="18"/>
          <w:szCs w:val="18"/>
          <w:lang w:val="en-US" w:eastAsia="zh-CN"/>
        </w:rPr>
        <w:t>4</w:t>
      </w:r>
      <w:bookmarkStart w:id="0" w:name="_GoBack"/>
      <w:bookmarkEnd w:id="0"/>
      <w:r>
        <w:rPr>
          <w:rFonts w:ascii="宋体" w:hAnsi="宋体" w:cs="宋体"/>
          <w:bCs/>
          <w:sz w:val="18"/>
          <w:szCs w:val="18"/>
        </w:rPr>
        <w:t>月份《常州市工程造价信息》除税指导价的价格执行；若遇本期没有的，价格按前一个月份的除税指导价的价格，以此类推；信息价缺项的按市场询价。</w:t>
      </w:r>
    </w:p>
    <w:p w14:paraId="529147D0">
      <w:pPr>
        <w:pStyle w:val="3"/>
        <w:numPr>
          <w:ilvl w:val="0"/>
          <w:numId w:val="1"/>
        </w:numPr>
        <w:spacing w:line="360" w:lineRule="auto"/>
        <w:rPr>
          <w:rFonts w:ascii="宋体" w:hAnsi="宋体" w:cs="宋体"/>
          <w:sz w:val="18"/>
          <w:szCs w:val="18"/>
        </w:rPr>
      </w:pPr>
      <w:r>
        <w:rPr>
          <w:rFonts w:ascii="宋体" w:hAnsi="宋体" w:cs="宋体"/>
          <w:sz w:val="18"/>
          <w:szCs w:val="18"/>
        </w:rPr>
        <w:t>工程类别：建筑工程按三类工程考虑。</w:t>
      </w:r>
    </w:p>
    <w:p w14:paraId="69E9F195">
      <w:pPr>
        <w:pStyle w:val="3"/>
        <w:spacing w:line="360" w:lineRule="auto"/>
        <w:rPr>
          <w:rFonts w:ascii="宋体" w:hAnsi="宋体" w:cs="宋体"/>
          <w:b/>
          <w:sz w:val="18"/>
          <w:szCs w:val="18"/>
        </w:rPr>
      </w:pPr>
      <w:r>
        <w:rPr>
          <w:rFonts w:ascii="宋体" w:hAnsi="宋体" w:cs="宋体"/>
          <w:b/>
          <w:sz w:val="18"/>
          <w:szCs w:val="18"/>
        </w:rPr>
        <w:t>四、编制说明</w:t>
      </w:r>
    </w:p>
    <w:p w14:paraId="021BF78B">
      <w:pPr>
        <w:numPr>
          <w:ilvl w:val="0"/>
          <w:numId w:val="2"/>
        </w:numPr>
        <w:spacing w:line="360" w:lineRule="auto"/>
        <w:rPr>
          <w:rFonts w:ascii="宋体" w:hAnsi="宋体" w:cs="宋体"/>
          <w:sz w:val="18"/>
          <w:szCs w:val="18"/>
        </w:rPr>
      </w:pPr>
      <w:r>
        <w:rPr>
          <w:rFonts w:ascii="宋体" w:hAnsi="宋体" w:cs="宋体"/>
          <w:sz w:val="18"/>
          <w:szCs w:val="18"/>
        </w:rPr>
        <w:t>所有材料的卸力费、保管费、二次搬运费以及施工范围内的垃圾清运均由投标人在报价中自行考虑，结算时不调整及另计（单独立项的除外）；</w:t>
      </w:r>
    </w:p>
    <w:p w14:paraId="216EF3F2">
      <w:pPr>
        <w:numPr>
          <w:ilvl w:val="0"/>
          <w:numId w:val="2"/>
        </w:numPr>
        <w:spacing w:line="360" w:lineRule="auto"/>
        <w:rPr>
          <w:rFonts w:ascii="宋体" w:hAnsi="宋体" w:cs="宋体"/>
          <w:sz w:val="18"/>
          <w:szCs w:val="18"/>
        </w:rPr>
      </w:pPr>
      <w:r>
        <w:rPr>
          <w:rFonts w:ascii="宋体" w:hAnsi="宋体" w:cs="宋体"/>
          <w:sz w:val="18"/>
          <w:szCs w:val="18"/>
        </w:rPr>
        <w:t>拆除方式、运输方式、运距、处置费用及拆除后的所有建筑材料（设备）剩余残值均由投标人在报价中自行考虑，结算时不调整及另计；</w:t>
      </w:r>
    </w:p>
    <w:p w14:paraId="168A57D2">
      <w:pPr>
        <w:numPr>
          <w:ilvl w:val="0"/>
          <w:numId w:val="2"/>
        </w:numPr>
        <w:spacing w:line="360" w:lineRule="auto"/>
        <w:rPr>
          <w:rFonts w:ascii="宋体" w:hAnsi="宋体" w:cs="宋体"/>
          <w:sz w:val="18"/>
          <w:szCs w:val="18"/>
        </w:rPr>
      </w:pPr>
      <w:r>
        <w:rPr>
          <w:rFonts w:ascii="宋体" w:hAnsi="宋体" w:cs="宋体"/>
          <w:sz w:val="18"/>
          <w:szCs w:val="18"/>
        </w:rPr>
        <w:t>垃圾处理费、办理渣土外运和垃圾外运的各种手续及涉及的其他所有费用均由投标人在报价中自行考虑，结算时不调整及另计；</w:t>
      </w:r>
    </w:p>
    <w:p w14:paraId="0F261CC3">
      <w:pPr>
        <w:numPr>
          <w:ilvl w:val="0"/>
          <w:numId w:val="2"/>
        </w:numPr>
        <w:spacing w:line="360" w:lineRule="auto"/>
        <w:rPr>
          <w:rFonts w:ascii="宋体" w:hAnsi="宋体" w:cs="宋体"/>
          <w:sz w:val="18"/>
          <w:szCs w:val="18"/>
        </w:rPr>
      </w:pPr>
      <w:r>
        <w:rPr>
          <w:rFonts w:ascii="宋体" w:hAnsi="宋体" w:cs="宋体"/>
          <w:sz w:val="18"/>
          <w:szCs w:val="18"/>
        </w:rPr>
        <w:t>工程所用的机械费用及脚手架费用由投标人在报价中自行考虑，结算时不调整及另计；</w:t>
      </w:r>
    </w:p>
    <w:p w14:paraId="2ED1553B">
      <w:pPr>
        <w:numPr>
          <w:ilvl w:val="0"/>
          <w:numId w:val="2"/>
        </w:numPr>
        <w:spacing w:line="500" w:lineRule="exact"/>
        <w:jc w:val="left"/>
        <w:rPr>
          <w:rFonts w:ascii="宋体" w:hAnsi="宋体" w:cs="宋体"/>
          <w:kern w:val="0"/>
          <w:sz w:val="18"/>
          <w:szCs w:val="18"/>
        </w:rPr>
      </w:pPr>
      <w:r>
        <w:rPr>
          <w:rFonts w:ascii="宋体" w:hAnsi="宋体" w:cs="宋体"/>
          <w:sz w:val="18"/>
          <w:szCs w:val="18"/>
        </w:rPr>
        <w:t>土方开挖如需在支撑下开挖土方、或遇障碍物等需纯人工开挖的，均在土方报价中综合考虑，结算不另行签证计量</w:t>
      </w:r>
      <w:r>
        <w:rPr>
          <w:rFonts w:ascii="宋体" w:hAnsi="宋体" w:cs="宋体"/>
          <w:kern w:val="0"/>
          <w:sz w:val="18"/>
          <w:szCs w:val="18"/>
        </w:rPr>
        <w:t>；</w:t>
      </w:r>
      <w:r>
        <w:rPr>
          <w:rFonts w:ascii="宋体" w:hAnsi="宋体" w:cs="宋体"/>
          <w:sz w:val="18"/>
          <w:szCs w:val="18"/>
        </w:rPr>
        <w:t>因环保及大气管控要求导致的土方临时周转或弃运间断所增加的费用投标人自行考虑，结算时不调整；</w:t>
      </w:r>
    </w:p>
    <w:p w14:paraId="21BAAA03">
      <w:pPr>
        <w:numPr>
          <w:ilvl w:val="0"/>
          <w:numId w:val="2"/>
        </w:numPr>
        <w:spacing w:line="360" w:lineRule="auto"/>
        <w:rPr>
          <w:rFonts w:ascii="宋体" w:hAnsi="宋体" w:cs="宋体"/>
          <w:bCs/>
          <w:sz w:val="18"/>
          <w:szCs w:val="18"/>
        </w:rPr>
      </w:pPr>
      <w:r>
        <w:rPr>
          <w:rFonts w:ascii="宋体" w:hAnsi="宋体" w:cs="宋体"/>
          <w:kern w:val="0"/>
          <w:sz w:val="18"/>
          <w:szCs w:val="18"/>
        </w:rPr>
        <w:t>设计图中的甲供家具及另项施工的内容：如乒乓求台、麻将桌等，注明是甲供的均由业主采购时安装到位，不在本次招标范围，也不存在配合施工、总包服务费等。</w:t>
      </w:r>
    </w:p>
    <w:p w14:paraId="77990F4B">
      <w:pPr>
        <w:pStyle w:val="3"/>
        <w:numPr>
          <w:ilvl w:val="0"/>
          <w:numId w:val="2"/>
        </w:numPr>
        <w:spacing w:line="360" w:lineRule="auto"/>
        <w:rPr>
          <w:rFonts w:ascii="宋体" w:hAnsi="宋体" w:cs="宋体"/>
          <w:sz w:val="18"/>
          <w:szCs w:val="18"/>
          <w:shd w:val="clear" w:fill="D9D9D9"/>
        </w:rPr>
      </w:pPr>
      <w:r>
        <w:rPr>
          <w:rFonts w:ascii="宋体" w:hAnsi="宋体" w:cs="宋体"/>
          <w:sz w:val="18"/>
          <w:szCs w:val="18"/>
        </w:rPr>
        <w:t>工程中所有现浇砼或预制砼均采用商品砼,</w:t>
      </w:r>
      <w:r>
        <w:rPr>
          <w:rFonts w:ascii="宋体" w:hAnsi="宋体" w:cs="宋体"/>
          <w:bCs/>
          <w:sz w:val="18"/>
          <w:szCs w:val="18"/>
        </w:rPr>
        <w:t xml:space="preserve"> 投标人自行在报价中考虑泵送与非泵送施工方式；</w:t>
      </w:r>
      <w:r>
        <w:rPr>
          <w:rFonts w:ascii="宋体" w:hAnsi="宋体" w:cs="宋体"/>
          <w:sz w:val="18"/>
          <w:szCs w:val="18"/>
        </w:rPr>
        <w:t>砂浆采用预拌水泥砂浆；楼层吊顶高度据现场功能按招标人据实调整；</w:t>
      </w:r>
    </w:p>
    <w:p w14:paraId="0EEA0D52">
      <w:pPr>
        <w:numPr>
          <w:ilvl w:val="0"/>
          <w:numId w:val="2"/>
        </w:numPr>
        <w:spacing w:line="500" w:lineRule="exact"/>
        <w:jc w:val="left"/>
        <w:rPr>
          <w:rFonts w:ascii="宋体" w:hAnsi="宋体" w:cs="宋体"/>
          <w:kern w:val="0"/>
          <w:sz w:val="18"/>
          <w:szCs w:val="18"/>
        </w:rPr>
      </w:pPr>
      <w:r>
        <w:rPr>
          <w:rFonts w:ascii="宋体" w:hAnsi="宋体" w:cs="宋体"/>
          <w:bCs/>
          <w:sz w:val="18"/>
          <w:szCs w:val="18"/>
        </w:rPr>
        <w:t>所有的构造缝设置均包含在相应的基层、面层等项目中，相应费用在报价中综合考虑，结算不再另计；</w:t>
      </w:r>
    </w:p>
    <w:p w14:paraId="2607AEBC">
      <w:pPr>
        <w:numPr>
          <w:ilvl w:val="0"/>
          <w:numId w:val="2"/>
        </w:numPr>
        <w:spacing w:line="500" w:lineRule="exact"/>
        <w:jc w:val="left"/>
        <w:rPr>
          <w:rFonts w:ascii="宋体" w:hAnsi="宋体" w:cs="宋体"/>
          <w:kern w:val="0"/>
          <w:sz w:val="18"/>
          <w:szCs w:val="18"/>
        </w:rPr>
      </w:pPr>
      <w:r>
        <w:rPr>
          <w:rFonts w:ascii="宋体" w:hAnsi="宋体" w:cs="宋体"/>
          <w:kern w:val="0"/>
          <w:sz w:val="18"/>
          <w:szCs w:val="18"/>
        </w:rPr>
        <w:t>装饰材料单价已包括加工、异形切割、磨边、防腐、采购保管等所有费用，结算时不作调整。</w:t>
      </w:r>
    </w:p>
    <w:p w14:paraId="5B23621C">
      <w:pPr>
        <w:numPr>
          <w:ilvl w:val="0"/>
          <w:numId w:val="2"/>
        </w:numPr>
        <w:spacing w:line="500" w:lineRule="exact"/>
        <w:jc w:val="left"/>
        <w:rPr>
          <w:rFonts w:ascii="宋体" w:hAnsi="宋体" w:cs="宋体"/>
          <w:kern w:val="0"/>
          <w:sz w:val="18"/>
          <w:szCs w:val="18"/>
        </w:rPr>
      </w:pPr>
      <w:r>
        <w:rPr>
          <w:rFonts w:ascii="宋体" w:hAnsi="宋体" w:cs="宋体"/>
          <w:kern w:val="0"/>
          <w:sz w:val="18"/>
          <w:szCs w:val="18"/>
        </w:rPr>
        <w:t>脚手架、钢结构工程投标单位应充分考虑现场实际情况，合理安排吊装机械，钢结构部分的吊装、运输等费用在相应单价中自行考虑，结算时不作调整。</w:t>
      </w:r>
    </w:p>
    <w:p w14:paraId="24AB3EB9">
      <w:pPr>
        <w:spacing w:line="360" w:lineRule="auto"/>
        <w:rPr>
          <w:rFonts w:ascii="宋体" w:hAnsi="宋体" w:cs="宋体"/>
          <w:sz w:val="18"/>
          <w:szCs w:val="18"/>
        </w:rPr>
      </w:pPr>
      <w:r>
        <w:rPr>
          <w:rFonts w:ascii="宋体" w:hAnsi="宋体" w:cs="宋体"/>
          <w:b/>
          <w:bCs/>
          <w:sz w:val="18"/>
          <w:szCs w:val="18"/>
        </w:rPr>
        <w:t>五、其他说明</w:t>
      </w:r>
    </w:p>
    <w:p w14:paraId="64D2BC81">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施工图、招标文件、技术要求、有关施工规范及工程量清单中的项目特征互为补充，均作为编制报价的依据，如图纸与工程量清单中项目特征描述有不同处，以工程量清单为准报价；</w:t>
      </w:r>
    </w:p>
    <w:p w14:paraId="77686D4C">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本工程施工过程必须严格执行《常州市建筑施工扬尘控制实施细则》和其他扬尘方面的相关规定，承包单位在报价中应充分考虑扬尘控制措施的相关费用，除“扬尘污染防治增加费”按文件规定计算以外，投标人须根据本工程设计图纸、工地现场情况、扬尘控制的相关要求，制定扬尘防治的实施方案，如裸土覆盖、道路硬化、车辆冲洗平台、喷淋降尘系统、雾炮车、临时绿化等措施相关费用由投标人自行考虑，结算时不再另计；</w:t>
      </w:r>
    </w:p>
    <w:p w14:paraId="2624FC71">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投标人应自行认真勘察现场，对清单中单价措施项目或总价措施项目需要补充的，必须在招标释疑中提出，否则结算时按原有清单措施项目进行结算，不再补充相应措施项目。结算时，除工程变更引起的施工方案改变外，不得以措施项目清单漏项为由要求新增措施项目；</w:t>
      </w:r>
    </w:p>
    <w:p w14:paraId="77153F28">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临时水电：由投标人自行考虑，相关建设费用均由投标人自行承担；</w:t>
      </w:r>
    </w:p>
    <w:p w14:paraId="3C5D58AF">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建筑工人实名制取费按照省住建厅〔2019〕第19号文中取费表计取，如建筑工人实名制设备由建筑工人工资专用账户开户银行提供的，结算时按照（分部分项工程费+单价措施项目费-除税工程设备费）*建筑工人实名制文件规定费率*0.5予以扣除；</w:t>
      </w:r>
    </w:p>
    <w:p w14:paraId="2C9B666B">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按建筑工地扬尘防治标准和上级主管部门建设工程扬尘防治实施细则要求实施所需增加的费用应考虑在相应的综合单价内，施工中不再另行签证，结算时不调整；</w:t>
      </w:r>
    </w:p>
    <w:p w14:paraId="7F8192FB">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对已完工程及设备保护采取覆盖、包裹、封闭、隔离、不同材质、方式、方法等必要保护措施所发生的任何费用均由投标人综合考虑报价，结算时不调整；</w:t>
      </w:r>
    </w:p>
    <w:p w14:paraId="5DE7776F">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现场材料（设备）的二次搬运所发生的费用，由投标人依据现场实际情况自行考虑，均含在相应的综合单价内，不另行签证计取；</w:t>
      </w:r>
    </w:p>
    <w:p w14:paraId="0CDFD173">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投标人现场施工需按照常住建〔2021〕174号文件的规定，满足安全生产标准化管理、安全生产标准化示范工地等提升要求，所增加的费用均应包含在措施项目费中，结算时不另行计取，投标人报价时应充分考虑此因素后报价；</w:t>
      </w:r>
    </w:p>
    <w:p w14:paraId="5AF0C9FF">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承包单位自行去项目现场踏勘，报价综合考虑临时设施用地，施工过程中不得以任何形式进行索赔，结算时不另行增加此项费用；</w:t>
      </w:r>
    </w:p>
    <w:p w14:paraId="5A79709A">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以“项”为单位的清单及单价措施项或包干价在结算时费用不予调整，投标人应充分熟悉现场情况，考虑实际项目的施工组织设计，现场根据甲方管理要求增加与此相关的配合零星机械及人工等其他情况也应在报价中予以考虑。</w:t>
      </w:r>
    </w:p>
    <w:p w14:paraId="215D5181">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品牌及材料技术要求详见招标文件。</w:t>
      </w:r>
    </w:p>
    <w:p w14:paraId="4B07D7E4">
      <w:pPr>
        <w:numPr>
          <w:ilvl w:val="0"/>
          <w:numId w:val="3"/>
        </w:numPr>
        <w:tabs>
          <w:tab w:val="left" w:pos="418"/>
        </w:tabs>
        <w:snapToGrid w:val="0"/>
        <w:spacing w:line="360" w:lineRule="auto"/>
        <w:rPr>
          <w:rFonts w:ascii="宋体" w:hAnsi="宋体" w:cs="宋体"/>
          <w:sz w:val="18"/>
          <w:szCs w:val="18"/>
        </w:rPr>
      </w:pPr>
      <w:r>
        <w:rPr>
          <w:rFonts w:ascii="宋体" w:hAnsi="宋体" w:cs="宋体"/>
          <w:sz w:val="18"/>
          <w:szCs w:val="18"/>
        </w:rPr>
        <w:t xml:space="preserve">安装工程及洁具：现场水电整体管线埋地或顶棚内吊装，局部开槽。  </w:t>
      </w:r>
    </w:p>
    <w:p w14:paraId="22A0A977">
      <w:pPr>
        <w:pStyle w:val="19"/>
        <w:numPr>
          <w:ilvl w:val="0"/>
          <w:numId w:val="4"/>
        </w:numPr>
        <w:spacing w:line="360" w:lineRule="auto"/>
        <w:rPr>
          <w:rFonts w:ascii="宋体" w:hAnsi="宋体" w:cs="宋体"/>
          <w:sz w:val="18"/>
          <w:szCs w:val="18"/>
        </w:rPr>
      </w:pPr>
      <w:r>
        <w:rPr>
          <w:rFonts w:ascii="宋体" w:hAnsi="宋体" w:cs="宋体"/>
          <w:b/>
          <w:bCs/>
          <w:color w:val="FF0000"/>
          <w:sz w:val="28"/>
          <w:szCs w:val="28"/>
        </w:rPr>
        <w:t>特别说明</w:t>
      </w:r>
    </w:p>
    <w:p w14:paraId="0A4C6B6A">
      <w:pPr>
        <w:tabs>
          <w:tab w:val="left" w:pos="0"/>
          <w:tab w:val="left" w:pos="418"/>
        </w:tabs>
        <w:snapToGrid w:val="0"/>
        <w:spacing w:line="360" w:lineRule="auto"/>
        <w:rPr>
          <w:rFonts w:ascii="宋体" w:hAnsi="宋体" w:cs="宋体"/>
          <w:sz w:val="18"/>
          <w:szCs w:val="18"/>
        </w:rPr>
      </w:pPr>
      <w:r>
        <w:rPr>
          <w:rFonts w:ascii="宋体" w:hAnsi="宋体" w:cs="宋体"/>
          <w:sz w:val="18"/>
          <w:szCs w:val="18"/>
        </w:rPr>
        <w:t>1．投标人（承包人）自行去项目现场充分踏勘，熟悉施工图纸，充分了解清单，招标人的图纸及清单是招标人对完成项目的基本要求，承包人中标后不以设计缺陷或清单描述不一致而索赔、增加工程造价；</w:t>
      </w:r>
    </w:p>
    <w:p w14:paraId="4614D1CF">
      <w:pPr>
        <w:tabs>
          <w:tab w:val="left" w:pos="0"/>
          <w:tab w:val="left" w:pos="418"/>
        </w:tabs>
        <w:snapToGrid w:val="0"/>
        <w:spacing w:line="360" w:lineRule="auto"/>
        <w:rPr>
          <w:rFonts w:ascii="宋体" w:hAnsi="宋体" w:cs="宋体"/>
          <w:sz w:val="18"/>
          <w:szCs w:val="18"/>
        </w:rPr>
      </w:pPr>
      <w:r>
        <w:rPr>
          <w:rFonts w:ascii="宋体" w:hAnsi="宋体" w:cs="宋体"/>
          <w:sz w:val="18"/>
          <w:szCs w:val="18"/>
        </w:rPr>
        <w:t>2.施工图、招标文件、技术要求、有关施工规范及工程量清单中的项目特征互为补充，均作为编制报价的依据，如图纸与工程量清单中项目特征描述有不同处，投标人综合考虑报价，结算时不作调整。</w:t>
      </w:r>
    </w:p>
    <w:p w14:paraId="20960E5E">
      <w:pPr>
        <w:pStyle w:val="3"/>
        <w:spacing w:line="360" w:lineRule="auto"/>
        <w:ind w:firstLine="480"/>
        <w:jc w:val="center"/>
        <w:rPr>
          <w:rFonts w:ascii="宋体" w:hAnsi="宋体"/>
          <w:sz w:val="24"/>
        </w:rPr>
      </w:pPr>
      <w:r>
        <w:rPr>
          <w:rFonts w:ascii="宋体" w:hAnsi="宋体"/>
          <w:sz w:val="24"/>
        </w:rPr>
        <w:t xml:space="preserve">常州青果招投标有限公司     </w:t>
      </w:r>
    </w:p>
    <w:p w14:paraId="72E95B30">
      <w:pPr>
        <w:pStyle w:val="3"/>
        <w:spacing w:before="0" w:after="160" w:line="360" w:lineRule="auto"/>
        <w:ind w:firstLine="480"/>
        <w:jc w:val="center"/>
        <w:rPr>
          <w:rFonts w:ascii="宋体" w:hAnsi="宋体"/>
          <w:sz w:val="24"/>
        </w:rPr>
      </w:pPr>
      <w:r>
        <w:rPr>
          <w:rFonts w:ascii="宋体" w:hAnsi="宋体"/>
          <w:sz w:val="24"/>
        </w:rPr>
        <w:t xml:space="preserve">            2025-04-13</w:t>
      </w:r>
    </w:p>
    <w:sectPr>
      <w:headerReference r:id="rId7" w:type="first"/>
      <w:headerReference r:id="rId5" w:type="default"/>
      <w:headerReference r:id="rId6" w:type="even"/>
      <w:pgSz w:w="11906" w:h="16838"/>
      <w:pgMar w:top="1418" w:right="1179" w:bottom="1157" w:left="1463" w:header="851" w:footer="0" w:gutter="0"/>
      <w:pgNumType w:fmt="decimal"/>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Liberation Sans">
    <w:altName w:val="宋体"/>
    <w:panose1 w:val="00000000000000000000"/>
    <w:charset w:val="86"/>
    <w:family w:val="swiss"/>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Noto Sans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3A68C">
    <w:pPr>
      <w:pStyle w:val="7"/>
      <w:pBdr>
        <w:bottom w:val="none" w:color="auto" w:sz="0" w:space="0"/>
      </w:pBdr>
      <w:spacing w:before="0" w:after="1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EF2EC">
    <w:pPr>
      <w:pStyle w:val="7"/>
      <w:spacing w:before="0" w:after="1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4E128">
    <w:pPr>
      <w:pStyle w:val="7"/>
      <w:pBdr>
        <w:bottom w:val="none" w:color="auto" w:sz="0" w:space="0"/>
      </w:pBdr>
      <w:spacing w:before="0" w:after="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6"/>
      <w:numFmt w:val="chineseCountingThousand"/>
      <w:lvlText w:val="%1、"/>
      <w:lvlJc w:val="left"/>
      <w:pPr>
        <w:tabs>
          <w:tab w:val="left" w:pos="0"/>
        </w:tabs>
        <w:ind w:left="375" w:hanging="375"/>
      </w:pPr>
      <w:rPr>
        <w:b/>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abstractNum w:abstractNumId="1">
    <w:nsid w:val="CF092B84"/>
    <w:multiLevelType w:val="multilevel"/>
    <w:tmpl w:val="CF092B84"/>
    <w:lvl w:ilvl="0" w:tentative="0">
      <w:start w:val="1"/>
      <w:numFmt w:val="decimal"/>
      <w:lvlText w:val="%1."/>
      <w:lvlJc w:val="left"/>
      <w:pPr>
        <w:tabs>
          <w:tab w:val="left" w:pos="0"/>
        </w:tabs>
        <w:ind w:left="425" w:hanging="425"/>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0053208E"/>
    <w:multiLevelType w:val="multilevel"/>
    <w:tmpl w:val="0053208E"/>
    <w:lvl w:ilvl="0" w:tentative="0">
      <w:start w:val="1"/>
      <w:numFmt w:val="decimal"/>
      <w:lvlText w:val="%1."/>
      <w:lvlJc w:val="left"/>
      <w:pPr>
        <w:tabs>
          <w:tab w:val="left" w:pos="0"/>
        </w:tabs>
        <w:ind w:left="425" w:hanging="425"/>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59ADCABA"/>
    <w:multiLevelType w:val="multilevel"/>
    <w:tmpl w:val="59ADCABA"/>
    <w:lvl w:ilvl="0" w:tentative="0">
      <w:start w:val="1"/>
      <w:numFmt w:val="decimal"/>
      <w:lvlText w:val="%1."/>
      <w:lvlJc w:val="left"/>
      <w:pPr>
        <w:tabs>
          <w:tab w:val="left" w:pos="0"/>
        </w:tabs>
        <w:ind w:left="425" w:hanging="425"/>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autoHyphenation/>
  <w:hyphenationZone w:val="0"/>
  <w:footnotePr>
    <w:footnote w:id="0"/>
    <w:footnote w:id="1"/>
  </w:footnotePr>
  <w:endnotePr>
    <w:endnote w:id="0"/>
    <w:endnote w:id="1"/>
  </w:endnotePr>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kMzY0YzM3NTJmOTkxNmU2NzQ5NTYyNzk0MTdjMDEifQ=="/>
  </w:docVars>
  <w:rsids>
    <w:rsidRoot w:val="00000000"/>
    <w:rsid w:val="58EF3D22"/>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spacing w:before="0" w:after="160" w:line="278" w:lineRule="auto"/>
      <w:jc w:val="both"/>
    </w:pPr>
    <w:rPr>
      <w:rFonts w:ascii="Calibri" w:hAnsi="Calibri" w:eastAsia="宋体" w:cs="Times New Roman"/>
      <w:color w:val="auto"/>
      <w:kern w:val="2"/>
      <w:sz w:val="21"/>
      <w:szCs w:val="24"/>
      <w:lang w:val="en-US" w:eastAsia="zh-CN" w:bidi="ar-SA"/>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rFonts w:cs="Arial"/>
      <w:i/>
      <w:iCs/>
      <w:sz w:val="24"/>
      <w:szCs w:val="24"/>
    </w:rPr>
  </w:style>
  <w:style w:type="paragraph" w:styleId="3">
    <w:name w:val="Body Text"/>
    <w:basedOn w:val="1"/>
    <w:qFormat/>
    <w:uiPriority w:val="0"/>
    <w:pPr>
      <w:spacing w:line="480" w:lineRule="auto"/>
    </w:pPr>
    <w:rPr>
      <w:sz w:val="28"/>
    </w:rPr>
  </w:style>
  <w:style w:type="paragraph" w:styleId="4">
    <w:name w:val="Body Text Indent"/>
    <w:basedOn w:val="1"/>
    <w:link w:val="12"/>
    <w:qFormat/>
    <w:uiPriority w:val="0"/>
    <w:pPr>
      <w:spacing w:before="0" w:after="120"/>
      <w:ind w:left="420"/>
    </w:pPr>
  </w:style>
  <w:style w:type="paragraph" w:styleId="5">
    <w:name w:val="Date"/>
    <w:basedOn w:val="1"/>
    <w:next w:val="1"/>
    <w:qFormat/>
    <w:uiPriority w:val="0"/>
    <w:pPr>
      <w:ind w:left="100"/>
    </w:pPr>
    <w:rPr>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8">
    <w:name w:val="List"/>
    <w:basedOn w:val="3"/>
    <w:qFormat/>
    <w:uiPriority w:val="0"/>
    <w:rPr>
      <w:rFonts w:cs="Arial"/>
    </w:rPr>
  </w:style>
  <w:style w:type="table" w:styleId="10">
    <w:name w:val="Table Grid"/>
    <w:basedOn w:val="9"/>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正文文本缩进 字符"/>
    <w:link w:val="4"/>
    <w:qFormat/>
    <w:uiPriority w:val="0"/>
    <w:rPr>
      <w:kern w:val="2"/>
      <w:sz w:val="21"/>
      <w:szCs w:val="24"/>
    </w:rPr>
  </w:style>
  <w:style w:type="paragraph" w:customStyle="1" w:styleId="13">
    <w:name w:val="标题样式"/>
    <w:basedOn w:val="1"/>
    <w:next w:val="3"/>
    <w:qFormat/>
    <w:uiPriority w:val="0"/>
    <w:pPr>
      <w:keepNext/>
      <w:spacing w:before="240" w:after="120"/>
    </w:pPr>
    <w:rPr>
      <w:rFonts w:ascii="Liberation Sans" w:hAnsi="Liberation Sans" w:eastAsia="Noto Sans SC" w:cs="Arial"/>
      <w:sz w:val="28"/>
      <w:szCs w:val="28"/>
    </w:rPr>
  </w:style>
  <w:style w:type="paragraph" w:customStyle="1" w:styleId="14">
    <w:name w:val="索引"/>
    <w:basedOn w:val="1"/>
    <w:qFormat/>
    <w:uiPriority w:val="0"/>
    <w:pPr>
      <w:suppressLineNumbers/>
    </w:pPr>
    <w:rPr>
      <w:rFonts w:cs="Arial"/>
    </w:rPr>
  </w:style>
  <w:style w:type="paragraph" w:customStyle="1" w:styleId="15">
    <w:name w:val="标题样式 (user)"/>
    <w:basedOn w:val="1"/>
    <w:next w:val="3"/>
    <w:qFormat/>
    <w:uiPriority w:val="0"/>
    <w:pPr>
      <w:keepNext/>
      <w:spacing w:before="240" w:after="120"/>
    </w:pPr>
    <w:rPr>
      <w:rFonts w:ascii="Liberation Sans" w:hAnsi="Liberation Sans" w:eastAsia="Noto Sans SC" w:cs="Arial"/>
      <w:sz w:val="28"/>
      <w:szCs w:val="28"/>
    </w:rPr>
  </w:style>
  <w:style w:type="paragraph" w:customStyle="1" w:styleId="16">
    <w:name w:val="索引 (user)"/>
    <w:basedOn w:val="1"/>
    <w:qFormat/>
    <w:uiPriority w:val="0"/>
    <w:pPr>
      <w:suppressLineNumbers/>
    </w:pPr>
    <w:rPr>
      <w:rFonts w:cs="Arial"/>
    </w:rPr>
  </w:style>
  <w:style w:type="paragraph" w:customStyle="1" w:styleId="17">
    <w:name w:val="页眉与页脚 (user)"/>
    <w:basedOn w:val="1"/>
    <w:qFormat/>
    <w:uiPriority w:val="0"/>
  </w:style>
  <w:style w:type="paragraph" w:customStyle="1" w:styleId="18">
    <w:name w:val="页眉与页脚"/>
    <w:basedOn w:val="1"/>
    <w:qFormat/>
    <w:uiPriority w:val="0"/>
  </w:style>
  <w:style w:type="paragraph" w:styleId="19">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2559</Words>
  <Characters>2669</Characters>
  <Paragraphs>50</Paragraphs>
  <TotalTime>50</TotalTime>
  <ScaleCrop>false</ScaleCrop>
  <LinksUpToDate>false</LinksUpToDate>
  <CharactersWithSpaces>2695</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2020-06-22T04:36:00Z</dcterms:created>
  <dc:creator>User</dc:creator>
  <cp:lastModifiedBy>张晓东</cp:lastModifiedBy>
  <cp:lastPrinted>2025-01-13T09:09:00Z</cp:lastPrinted>
  <dcterms:modified xsi:type="dcterms:W3CDTF">2025-05-16T06:06:32Z</dcterms:modified>
  <dc:title>预算编制说明</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259AE27126334C17A817F3EA6CE226A9_13</vt:lpwstr>
  </property>
  <property fmtid="{D5CDD505-2E9C-101B-9397-08002B2CF9AE}" pid="3" name="KSOProductBuildVer">
    <vt:lpwstr>2052-12.1.0.21171</vt:lpwstr>
  </property>
  <property fmtid="{D5CDD505-2E9C-101B-9397-08002B2CF9AE}" pid="4" name="KSOTemplateDocerSaveRecord">
    <vt:lpwstr>eyJoZGlkIjoiMzZkZWRlNGE5ZDhiZDYxMTkzYWVhY2U4ZDQ1MWYzZDAiLCJ1c2VySWQiOiIzMzc2MzgwMzgifQ==</vt:lpwstr>
  </property>
</Properties>
</file>