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9375DF">
      <w:pPr>
        <w:jc w:val="center"/>
        <w:rPr>
          <w:rFonts w:ascii="Arial" w:hAnsi="Arial" w:cs="Arial"/>
          <w:b/>
          <w:bCs/>
          <w:sz w:val="32"/>
          <w:szCs w:val="32"/>
        </w:rPr>
      </w:pPr>
      <w:r>
        <w:rPr>
          <w:rFonts w:ascii="宋体" w:hAnsi="宋体" w:cs="宋体"/>
          <w:b/>
          <w:bCs/>
          <w:sz w:val="30"/>
          <w:szCs w:val="30"/>
          <w:lang w:val="en-US" w:eastAsia="zh-CN"/>
        </w:rPr>
        <w:t>孟河镇</w:t>
      </w:r>
      <w:r>
        <w:rPr>
          <w:rFonts w:ascii="Arial" w:hAnsi="Arial" w:cs="Arial"/>
          <w:b/>
          <w:bCs/>
          <w:sz w:val="32"/>
          <w:szCs w:val="32"/>
        </w:rPr>
        <w:t>荫沙村废弃沟塘复垦工程</w:t>
      </w:r>
    </w:p>
    <w:p w14:paraId="029275F1">
      <w:pPr>
        <w:jc w:val="center"/>
        <w:rPr>
          <w:rFonts w:ascii="Arial" w:hAnsi="Arial" w:cs="Arial"/>
          <w:b/>
          <w:bCs/>
          <w:sz w:val="32"/>
          <w:szCs w:val="32"/>
        </w:rPr>
      </w:pPr>
      <w:r>
        <w:rPr>
          <w:rFonts w:ascii="Arial" w:hAnsi="Arial" w:cs="Arial"/>
          <w:b/>
          <w:bCs/>
          <w:sz w:val="32"/>
          <w:szCs w:val="32"/>
        </w:rPr>
        <w:t>清单编制说明</w:t>
      </w:r>
    </w:p>
    <w:p w14:paraId="5C34DC3F">
      <w:pPr>
        <w:spacing w:before="120" w:after="0" w:line="360" w:lineRule="auto"/>
        <w:ind w:left="794" w:right="0" w:firstLine="482"/>
        <w:jc w:val="left"/>
      </w:pPr>
      <w:r>
        <w:rPr>
          <w:rFonts w:ascii="Arial" w:hAnsi="Arial" w:cs="Arial"/>
          <w:b/>
          <w:bCs/>
          <w:kern w:val="0"/>
          <w:sz w:val="24"/>
        </w:rPr>
        <w:t>一、编制范围</w:t>
      </w:r>
    </w:p>
    <w:p w14:paraId="2BE2DF6F">
      <w:pPr>
        <w:spacing w:line="500" w:lineRule="exact"/>
        <w:ind w:left="794" w:right="0" w:firstLine="480"/>
        <w:jc w:val="left"/>
      </w:pPr>
      <w:r>
        <w:rPr>
          <w:rFonts w:ascii="Arial" w:hAnsi="Arial" w:eastAsia="Arial" w:cs="Arial"/>
          <w:b w:val="0"/>
          <w:kern w:val="2"/>
          <w:sz w:val="24"/>
          <w:szCs w:val="24"/>
          <w:lang w:val="en-US" w:eastAsia="zh-CN" w:bidi="ar-SA"/>
        </w:rPr>
        <w:t xml:space="preserve">    </w:t>
      </w:r>
      <w:r>
        <w:rPr>
          <w:rFonts w:ascii="Arial" w:hAnsi="Arial" w:eastAsia="宋体" w:cs="Arial"/>
          <w:b w:val="0"/>
          <w:kern w:val="2"/>
          <w:sz w:val="24"/>
          <w:szCs w:val="24"/>
          <w:lang w:val="en-US" w:eastAsia="zh-CN" w:bidi="ar-SA"/>
        </w:rPr>
        <w:t>项目概况：</w:t>
      </w:r>
      <w:r>
        <w:rPr>
          <w:rFonts w:ascii="Arial" w:hAnsi="Arial" w:cs="Arial" w:eastAsiaTheme="minorEastAsia"/>
          <w:b w:val="0"/>
          <w:kern w:val="2"/>
          <w:sz w:val="24"/>
          <w:szCs w:val="24"/>
          <w:lang w:val="en-US" w:eastAsia="zh-CN" w:bidi="ar-SA"/>
        </w:rPr>
        <w:t>荫沙村废弃沟塘多处</w:t>
      </w:r>
      <w:r>
        <w:rPr>
          <w:rFonts w:ascii="Arial" w:hAnsi="Arial" w:eastAsia="宋体" w:cs="Arial"/>
          <w:b w:val="0"/>
          <w:kern w:val="2"/>
          <w:sz w:val="24"/>
          <w:szCs w:val="24"/>
          <w:lang w:val="en-US" w:eastAsia="zh-CN" w:bidi="ar-SA"/>
        </w:rPr>
        <w:t>。</w:t>
      </w:r>
    </w:p>
    <w:p w14:paraId="0A4E5070">
      <w:pPr>
        <w:spacing w:line="500" w:lineRule="exact"/>
        <w:ind w:left="794" w:right="0" w:firstLine="480"/>
        <w:jc w:val="left"/>
        <w:rPr>
          <w:rFonts w:ascii="Arial" w:hAnsi="Arial" w:eastAsia="宋体" w:cs="Arial"/>
          <w:b w:val="0"/>
          <w:kern w:val="2"/>
          <w:sz w:val="24"/>
          <w:szCs w:val="24"/>
          <w:highlight w:val="none"/>
          <w:lang w:val="en-US" w:eastAsia="zh-CN" w:bidi="ar-SA"/>
        </w:rPr>
      </w:pPr>
      <w:r>
        <w:rPr>
          <w:rFonts w:ascii="Arial" w:hAnsi="Arial" w:eastAsia="宋体" w:cs="Arial"/>
          <w:b w:val="0"/>
          <w:kern w:val="2"/>
          <w:sz w:val="24"/>
          <w:szCs w:val="24"/>
          <w:lang w:val="en-US" w:eastAsia="zh-CN" w:bidi="ar-SA"/>
        </w:rPr>
        <w:t xml:space="preserve">  主要工作内容：</w:t>
      </w:r>
    </w:p>
    <w:p w14:paraId="36305137">
      <w:pPr>
        <w:ind w:left="794" w:right="0" w:firstLine="480"/>
        <w:rPr>
          <w:rFonts w:ascii="Arial" w:hAnsi="Arial" w:eastAsia="宋体" w:cs="Arial"/>
          <w:b w:val="0"/>
          <w:sz w:val="24"/>
          <w:highlight w:val="none"/>
        </w:rPr>
      </w:pPr>
      <w:r>
        <w:rPr>
          <w:rFonts w:ascii="Arial" w:hAnsi="Arial" w:eastAsia="宋体" w:cs="Arial"/>
          <w:b w:val="0"/>
          <w:sz w:val="24"/>
        </w:rPr>
        <w:t>1、沟塘排水：排除施工区域内沟塘积水，确保干地施工条件。</w:t>
      </w:r>
    </w:p>
    <w:p w14:paraId="38562838">
      <w:pPr>
        <w:ind w:left="794" w:right="0" w:firstLine="480"/>
        <w:rPr>
          <w:rFonts w:ascii="Arial" w:hAnsi="Arial" w:eastAsia="宋体" w:cs="Arial"/>
          <w:b w:val="0"/>
          <w:sz w:val="24"/>
          <w:highlight w:val="none"/>
        </w:rPr>
      </w:pPr>
      <w:r>
        <w:rPr>
          <w:rFonts w:ascii="Arial" w:hAnsi="Arial" w:eastAsia="宋体" w:cs="Arial"/>
          <w:b w:val="0"/>
          <w:sz w:val="24"/>
        </w:rPr>
        <w:t xml:space="preserve">  2、土方回填：回填土方量 30,000立方米，含分层压实、检测等。</w:t>
      </w:r>
    </w:p>
    <w:p w14:paraId="18B21F14">
      <w:pPr>
        <w:ind w:left="794" w:right="0" w:firstLine="480"/>
        <w:rPr>
          <w:rFonts w:ascii="Arial" w:hAnsi="Arial" w:eastAsia="宋体" w:cs="Arial"/>
          <w:b w:val="0"/>
          <w:sz w:val="24"/>
          <w:highlight w:val="none"/>
        </w:rPr>
      </w:pPr>
    </w:p>
    <w:p w14:paraId="54BBD07D">
      <w:pPr>
        <w:ind w:left="794" w:right="0" w:firstLine="480"/>
        <w:rPr>
          <w:rFonts w:ascii="Arial" w:hAnsi="Arial" w:eastAsia="宋体" w:cs="Arial"/>
          <w:b w:val="0"/>
          <w:sz w:val="24"/>
          <w:highlight w:val="none"/>
        </w:rPr>
      </w:pPr>
    </w:p>
    <w:p w14:paraId="00AE3974">
      <w:pPr>
        <w:spacing w:before="120" w:after="0" w:line="360" w:lineRule="auto"/>
        <w:ind w:left="794" w:right="0" w:firstLine="482"/>
        <w:jc w:val="left"/>
      </w:pPr>
      <w:r>
        <w:rPr>
          <w:rFonts w:ascii="Arial" w:hAnsi="Arial" w:cs="Arial"/>
          <w:b/>
          <w:bCs/>
          <w:kern w:val="0"/>
          <w:sz w:val="24"/>
        </w:rPr>
        <w:t>二、编制依据：</w:t>
      </w:r>
    </w:p>
    <w:p w14:paraId="0355740E">
      <w:pPr>
        <w:spacing w:before="84" w:after="60" w:line="324" w:lineRule="auto"/>
        <w:ind w:left="794" w:right="0" w:firstLine="480"/>
        <w:jc w:val="left"/>
      </w:pPr>
      <w:r>
        <w:rPr>
          <w:rFonts w:ascii="宋体" w:hAnsi="宋体" w:cs="宋体"/>
          <w:sz w:val="24"/>
        </w:rPr>
        <w:t>1、委托方提供的设计图纸、设计回复及复垦申请等；</w:t>
      </w:r>
    </w:p>
    <w:p w14:paraId="2B0AF0D8">
      <w:pPr>
        <w:spacing w:before="84" w:after="60" w:line="324" w:lineRule="auto"/>
        <w:ind w:left="794" w:right="0" w:firstLine="480"/>
        <w:jc w:val="left"/>
      </w:pPr>
      <w:r>
        <w:rPr>
          <w:rFonts w:ascii="宋体" w:hAnsi="宋体" w:cs="宋体"/>
          <w:sz w:val="24"/>
        </w:rPr>
        <w:t>2、《建设工程工程量清单计价规范》（GB50500-2013）、《园林绿化工程工程量计算规范》(GB50858-2013)、《市政工程工程量计算规范》（GB50857-2013）、《房屋建筑与装饰工程工程量计算规范》(GB50854-2013)、《通用安装工程工程量计算规范》(GB50856-2013) ；</w:t>
      </w:r>
    </w:p>
    <w:p w14:paraId="1DDC3292">
      <w:pPr>
        <w:spacing w:before="84" w:after="60" w:line="324" w:lineRule="auto"/>
        <w:ind w:left="794" w:right="0" w:firstLine="480"/>
        <w:jc w:val="left"/>
      </w:pPr>
      <w:r>
        <w:rPr>
          <w:rFonts w:ascii="宋体" w:hAnsi="宋体" w:cs="宋体"/>
          <w:sz w:val="24"/>
        </w:rPr>
        <w:t>3、2014年《江苏省建设工程费用定额》、2007版《江苏省仿古建筑与园林工程计价表》、2014版《江苏省市政工程计价定额》、2014版《江苏省建筑与装饰工程计价定额》、2014版《江苏省安装工程计价定额》；</w:t>
      </w:r>
    </w:p>
    <w:p w14:paraId="3B1B4180">
      <w:pPr>
        <w:spacing w:before="84" w:after="60" w:line="324" w:lineRule="auto"/>
        <w:ind w:left="794" w:right="0" w:firstLine="480"/>
        <w:jc w:val="left"/>
      </w:pPr>
      <w:r>
        <w:rPr>
          <w:rFonts w:ascii="宋体" w:hAnsi="宋体" w:cs="宋体"/>
          <w:sz w:val="24"/>
        </w:rPr>
        <w:t>4、常建</w:t>
      </w:r>
      <w:r>
        <w:rPr>
          <w:rFonts w:hint="eastAsia" w:ascii="宋体" w:hAnsi="宋体" w:cs="宋体"/>
          <w:sz w:val="24"/>
          <w:lang w:eastAsia="zh-CN"/>
        </w:rPr>
        <w:t>〔</w:t>
      </w:r>
      <w:r>
        <w:rPr>
          <w:rFonts w:ascii="宋体" w:hAnsi="宋体" w:cs="宋体"/>
          <w:sz w:val="24"/>
        </w:rPr>
        <w:t>2014</w:t>
      </w:r>
      <w:r>
        <w:rPr>
          <w:rFonts w:hint="eastAsia" w:ascii="宋体" w:hAnsi="宋体" w:cs="宋体"/>
          <w:sz w:val="24"/>
          <w:lang w:eastAsia="zh-CN"/>
        </w:rPr>
        <w:t>〕</w:t>
      </w:r>
      <w:r>
        <w:rPr>
          <w:rFonts w:ascii="宋体" w:hAnsi="宋体" w:cs="宋体"/>
          <w:sz w:val="24"/>
        </w:rPr>
        <w:t>279号文 “关于贯彻《建设工程工程量清单计价规范》（GB50500-2013）等国家标准和省2014年建筑与装饰、安装、市政等专业工程计价定额及费用定额的通知”；</w:t>
      </w:r>
    </w:p>
    <w:p w14:paraId="1A1DF61A">
      <w:pPr>
        <w:spacing w:before="84" w:after="60" w:line="324" w:lineRule="auto"/>
        <w:ind w:left="794" w:right="0" w:firstLine="480"/>
        <w:jc w:val="left"/>
      </w:pPr>
      <w:r>
        <w:rPr>
          <w:rFonts w:ascii="宋体" w:hAnsi="宋体" w:cs="宋体"/>
          <w:sz w:val="24"/>
        </w:rPr>
        <w:t>5、苏建价</w:t>
      </w:r>
      <w:r>
        <w:rPr>
          <w:rFonts w:hint="eastAsia" w:ascii="宋体" w:hAnsi="宋体" w:cs="宋体"/>
          <w:sz w:val="24"/>
          <w:lang w:eastAsia="zh-CN"/>
        </w:rPr>
        <w:t>〔</w:t>
      </w:r>
      <w:r>
        <w:rPr>
          <w:rFonts w:ascii="宋体" w:hAnsi="宋体" w:cs="宋体"/>
          <w:sz w:val="24"/>
        </w:rPr>
        <w:t>2014</w:t>
      </w:r>
      <w:r>
        <w:rPr>
          <w:rFonts w:hint="eastAsia" w:ascii="宋体" w:hAnsi="宋体" w:cs="宋体"/>
          <w:sz w:val="24"/>
          <w:lang w:eastAsia="zh-CN"/>
        </w:rPr>
        <w:t>〕</w:t>
      </w:r>
      <w:bookmarkStart w:id="0" w:name="_GoBack"/>
      <w:bookmarkEnd w:id="0"/>
      <w:r>
        <w:rPr>
          <w:rFonts w:ascii="宋体" w:hAnsi="宋体" w:cs="宋体"/>
          <w:sz w:val="24"/>
        </w:rPr>
        <w:t>448号文 “省住房城乡建设厅关于《建设工程工程量清单计价规范》（GB50500-2013）及其9本工程量计算规范的贯彻意见”；</w:t>
      </w:r>
    </w:p>
    <w:p w14:paraId="2380DDFE">
      <w:pPr>
        <w:spacing w:before="84" w:after="60" w:line="324" w:lineRule="auto"/>
        <w:ind w:left="794" w:right="0" w:firstLine="480"/>
        <w:jc w:val="left"/>
      </w:pPr>
      <w:r>
        <w:rPr>
          <w:rFonts w:ascii="宋体" w:hAnsi="宋体" w:cs="宋体"/>
          <w:sz w:val="24"/>
        </w:rPr>
        <w:t>6、苏建价</w:t>
      </w:r>
      <w:r>
        <w:rPr>
          <w:rFonts w:hint="eastAsia" w:ascii="宋体" w:hAnsi="宋体" w:cs="宋体"/>
          <w:sz w:val="24"/>
          <w:lang w:eastAsia="zh-CN"/>
        </w:rPr>
        <w:t>〔</w:t>
      </w:r>
      <w:r>
        <w:rPr>
          <w:rFonts w:ascii="宋体" w:hAnsi="宋体" w:cs="宋体"/>
          <w:sz w:val="24"/>
        </w:rPr>
        <w:t>2016</w:t>
      </w:r>
      <w:r>
        <w:rPr>
          <w:rFonts w:hint="eastAsia" w:ascii="宋体" w:hAnsi="宋体" w:cs="宋体"/>
          <w:sz w:val="24"/>
          <w:lang w:eastAsia="zh-CN"/>
        </w:rPr>
        <w:t>〕</w:t>
      </w:r>
      <w:r>
        <w:rPr>
          <w:rFonts w:ascii="宋体" w:hAnsi="宋体" w:cs="宋体"/>
          <w:sz w:val="24"/>
        </w:rPr>
        <w:t>154号文 “省住房城乡建设厅关于建筑业实施营改增后江苏省建设工程计价依据调整的通知”；</w:t>
      </w:r>
    </w:p>
    <w:p w14:paraId="559A9B0C">
      <w:pPr>
        <w:spacing w:before="84" w:after="60" w:line="324" w:lineRule="auto"/>
        <w:ind w:left="794" w:right="0" w:firstLine="480"/>
        <w:jc w:val="left"/>
      </w:pPr>
      <w:r>
        <w:rPr>
          <w:rFonts w:ascii="宋体" w:hAnsi="宋体" w:cs="宋体"/>
          <w:sz w:val="24"/>
        </w:rPr>
        <w:t>7、常建</w:t>
      </w:r>
      <w:r>
        <w:rPr>
          <w:rFonts w:hint="eastAsia" w:ascii="宋体" w:hAnsi="宋体" w:cs="宋体"/>
          <w:sz w:val="24"/>
          <w:lang w:eastAsia="zh-CN"/>
        </w:rPr>
        <w:t>〔</w:t>
      </w:r>
      <w:r>
        <w:rPr>
          <w:rFonts w:ascii="宋体" w:hAnsi="宋体" w:cs="宋体"/>
          <w:sz w:val="24"/>
        </w:rPr>
        <w:t>2016</w:t>
      </w:r>
      <w:r>
        <w:rPr>
          <w:rFonts w:hint="eastAsia" w:ascii="宋体" w:hAnsi="宋体" w:cs="宋体"/>
          <w:sz w:val="24"/>
          <w:lang w:eastAsia="zh-CN"/>
        </w:rPr>
        <w:t>〕</w:t>
      </w:r>
      <w:r>
        <w:rPr>
          <w:rFonts w:ascii="宋体" w:hAnsi="宋体" w:cs="宋体"/>
          <w:sz w:val="24"/>
        </w:rPr>
        <w:t>94号文 “省住房城乡建设厅关于建筑业实施营改增后江苏省建设工程计价依据调整的通知”等规范、文件和要求进行编制；</w:t>
      </w:r>
    </w:p>
    <w:p w14:paraId="0F2C96EE">
      <w:pPr>
        <w:spacing w:before="84" w:after="60" w:line="324" w:lineRule="auto"/>
        <w:ind w:left="794" w:right="0" w:firstLine="480"/>
        <w:jc w:val="left"/>
      </w:pPr>
      <w:r>
        <w:rPr>
          <w:rFonts w:ascii="宋体" w:hAnsi="宋体" w:cs="宋体"/>
          <w:sz w:val="24"/>
        </w:rPr>
        <w:t>8、常建</w:t>
      </w:r>
      <w:r>
        <w:rPr>
          <w:rFonts w:hint="eastAsia" w:ascii="宋体" w:hAnsi="宋体" w:cs="宋体"/>
          <w:sz w:val="24"/>
          <w:lang w:eastAsia="zh-CN"/>
        </w:rPr>
        <w:t>〔</w:t>
      </w:r>
      <w:r>
        <w:rPr>
          <w:rFonts w:ascii="宋体" w:hAnsi="宋体" w:cs="宋体"/>
          <w:sz w:val="24"/>
        </w:rPr>
        <w:t>2017</w:t>
      </w:r>
      <w:r>
        <w:rPr>
          <w:rFonts w:hint="eastAsia" w:ascii="宋体" w:hAnsi="宋体" w:cs="宋体"/>
          <w:sz w:val="24"/>
          <w:lang w:eastAsia="zh-CN"/>
        </w:rPr>
        <w:t>〕</w:t>
      </w:r>
      <w:r>
        <w:rPr>
          <w:rFonts w:ascii="宋体" w:hAnsi="宋体" w:cs="宋体"/>
          <w:sz w:val="24"/>
        </w:rPr>
        <w:t>103号文 “关于进一步规范全市建设工程招投标相关工作的通知”；</w:t>
      </w:r>
    </w:p>
    <w:p w14:paraId="5E21258E">
      <w:pPr>
        <w:spacing w:before="84" w:after="60" w:line="324" w:lineRule="auto"/>
        <w:ind w:left="794" w:right="0" w:firstLine="480"/>
        <w:jc w:val="left"/>
      </w:pPr>
      <w:r>
        <w:rPr>
          <w:rFonts w:ascii="宋体" w:hAnsi="宋体" w:cs="宋体"/>
          <w:sz w:val="24"/>
        </w:rPr>
        <w:t>9、常建</w:t>
      </w:r>
      <w:r>
        <w:rPr>
          <w:rFonts w:hint="eastAsia" w:ascii="宋体" w:hAnsi="宋体" w:cs="宋体"/>
          <w:sz w:val="24"/>
          <w:lang w:eastAsia="zh-CN"/>
        </w:rPr>
        <w:t>〔</w:t>
      </w:r>
      <w:r>
        <w:rPr>
          <w:rFonts w:ascii="宋体" w:hAnsi="宋体" w:cs="宋体"/>
          <w:sz w:val="24"/>
        </w:rPr>
        <w:t>2019</w:t>
      </w:r>
      <w:r>
        <w:rPr>
          <w:rFonts w:hint="eastAsia" w:ascii="宋体" w:hAnsi="宋体" w:cs="宋体"/>
          <w:sz w:val="24"/>
          <w:lang w:eastAsia="zh-CN"/>
        </w:rPr>
        <w:t>〕</w:t>
      </w:r>
      <w:r>
        <w:rPr>
          <w:rFonts w:ascii="宋体" w:hAnsi="宋体" w:cs="宋体"/>
          <w:sz w:val="24"/>
        </w:rPr>
        <w:t>1号文 “关于贯彻《省住房城乡建设厅关于调整建设工程按质论价等费用计取方法的公告》的通知”；</w:t>
      </w:r>
    </w:p>
    <w:p w14:paraId="0BA137DC">
      <w:pPr>
        <w:spacing w:before="84" w:after="60" w:line="324" w:lineRule="auto"/>
        <w:ind w:left="794" w:right="0" w:firstLine="480"/>
        <w:jc w:val="left"/>
      </w:pPr>
      <w:r>
        <w:rPr>
          <w:rFonts w:ascii="宋体" w:hAnsi="宋体" w:cs="宋体"/>
          <w:sz w:val="24"/>
        </w:rPr>
        <w:t>10、苏建函价</w:t>
      </w:r>
      <w:r>
        <w:rPr>
          <w:rFonts w:hint="eastAsia" w:ascii="宋体" w:hAnsi="宋体" w:cs="宋体"/>
          <w:sz w:val="24"/>
          <w:lang w:eastAsia="zh-CN"/>
        </w:rPr>
        <w:t>〔</w:t>
      </w:r>
      <w:r>
        <w:rPr>
          <w:rFonts w:ascii="宋体" w:hAnsi="宋体" w:cs="宋体"/>
          <w:sz w:val="24"/>
        </w:rPr>
        <w:t>2019</w:t>
      </w:r>
      <w:r>
        <w:rPr>
          <w:rFonts w:hint="eastAsia" w:ascii="宋体" w:hAnsi="宋体" w:cs="宋体"/>
          <w:sz w:val="24"/>
          <w:lang w:eastAsia="zh-CN"/>
        </w:rPr>
        <w:t>〕</w:t>
      </w:r>
      <w:r>
        <w:rPr>
          <w:rFonts w:ascii="宋体" w:hAnsi="宋体" w:cs="宋体"/>
          <w:sz w:val="24"/>
        </w:rPr>
        <w:t>178号文 “省住房城乡建设厅关于调整建设工程计价增值税税率的通知”；</w:t>
      </w:r>
    </w:p>
    <w:p w14:paraId="160CD396">
      <w:pPr>
        <w:spacing w:before="84" w:after="60" w:line="324" w:lineRule="auto"/>
        <w:ind w:left="794" w:right="0" w:firstLine="480"/>
        <w:jc w:val="left"/>
      </w:pPr>
      <w:r>
        <w:rPr>
          <w:rFonts w:ascii="宋体" w:hAnsi="宋体" w:cs="宋体"/>
          <w:sz w:val="24"/>
        </w:rPr>
        <w:t>11、</w:t>
      </w:r>
      <w:r>
        <w:rPr>
          <w:rFonts w:hint="eastAsia" w:ascii="宋体" w:hAnsi="宋体" w:cs="宋体"/>
          <w:sz w:val="24"/>
          <w:lang w:eastAsia="zh-CN"/>
        </w:rPr>
        <w:t>〔</w:t>
      </w:r>
      <w:r>
        <w:rPr>
          <w:rFonts w:ascii="宋体" w:hAnsi="宋体" w:cs="宋体"/>
          <w:sz w:val="24"/>
        </w:rPr>
        <w:t>2019</w:t>
      </w:r>
      <w:r>
        <w:rPr>
          <w:rFonts w:hint="eastAsia" w:ascii="宋体" w:hAnsi="宋体" w:cs="宋体"/>
          <w:sz w:val="24"/>
          <w:lang w:eastAsia="zh-CN"/>
        </w:rPr>
        <w:t>〕</w:t>
      </w:r>
      <w:r>
        <w:rPr>
          <w:rFonts w:ascii="宋体" w:hAnsi="宋体" w:cs="宋体"/>
          <w:sz w:val="24"/>
        </w:rPr>
        <w:t>第19号文省住房城乡建设厅关于建筑工人实名制费用计取方法的公告；</w:t>
      </w:r>
    </w:p>
    <w:p w14:paraId="5FAC786C">
      <w:pPr>
        <w:spacing w:before="84" w:after="60" w:line="324" w:lineRule="auto"/>
        <w:ind w:left="794" w:right="0" w:firstLine="480"/>
        <w:jc w:val="left"/>
      </w:pPr>
      <w:r>
        <w:rPr>
          <w:rFonts w:ascii="宋体" w:hAnsi="宋体" w:cs="宋体"/>
          <w:sz w:val="24"/>
        </w:rPr>
        <w:t>12、常住建</w:t>
      </w:r>
      <w:r>
        <w:rPr>
          <w:rFonts w:hint="eastAsia" w:ascii="宋体" w:hAnsi="宋体" w:cs="宋体"/>
          <w:sz w:val="24"/>
          <w:lang w:eastAsia="zh-CN"/>
        </w:rPr>
        <w:t>〔</w:t>
      </w:r>
      <w:r>
        <w:rPr>
          <w:rFonts w:ascii="宋体" w:hAnsi="宋体" w:cs="宋体"/>
          <w:sz w:val="24"/>
        </w:rPr>
        <w:t>2020</w:t>
      </w:r>
      <w:r>
        <w:rPr>
          <w:rFonts w:hint="eastAsia" w:ascii="宋体" w:hAnsi="宋体" w:cs="宋体"/>
          <w:sz w:val="24"/>
          <w:lang w:eastAsia="zh-CN"/>
        </w:rPr>
        <w:t>〕</w:t>
      </w:r>
      <w:r>
        <w:rPr>
          <w:rFonts w:ascii="宋体" w:hAnsi="宋体" w:cs="宋体"/>
          <w:sz w:val="24"/>
        </w:rPr>
        <w:t>99号关于转发《省住房和城乡建设厅关于实施安全文明施工措施费动态计价管理的公告》的通知；</w:t>
      </w:r>
    </w:p>
    <w:p w14:paraId="222D8269">
      <w:pPr>
        <w:spacing w:before="84" w:after="60" w:line="324" w:lineRule="auto"/>
        <w:ind w:left="794" w:right="0" w:firstLine="480"/>
        <w:jc w:val="left"/>
        <w:rPr>
          <w:rFonts w:ascii="宋体" w:hAnsi="宋体" w:eastAsia="宋体" w:cs="宋体"/>
          <w:sz w:val="24"/>
          <w:lang w:val="en-US" w:eastAsia="zh-CN"/>
        </w:rPr>
      </w:pPr>
      <w:r>
        <w:rPr>
          <w:rFonts w:ascii="宋体" w:hAnsi="宋体" w:eastAsia="宋体" w:cs="宋体"/>
          <w:sz w:val="24"/>
          <w:lang w:val="en-US" w:eastAsia="zh-CN"/>
        </w:rPr>
        <w:t>13、苏建函质安</w:t>
      </w:r>
      <w:r>
        <w:rPr>
          <w:rFonts w:hint="eastAsia" w:ascii="宋体" w:hAnsi="宋体" w:eastAsia="宋体" w:cs="宋体"/>
          <w:sz w:val="24"/>
          <w:lang w:val="en-US" w:eastAsia="zh-CN"/>
        </w:rPr>
        <w:t>〔</w:t>
      </w:r>
      <w:r>
        <w:rPr>
          <w:rFonts w:ascii="宋体" w:hAnsi="宋体" w:eastAsia="宋体" w:cs="宋体"/>
          <w:sz w:val="24"/>
          <w:lang w:val="en-US" w:eastAsia="zh-CN"/>
        </w:rPr>
        <w:t>2023</w:t>
      </w:r>
      <w:r>
        <w:rPr>
          <w:rFonts w:hint="eastAsia" w:ascii="宋体" w:hAnsi="宋体" w:eastAsia="宋体" w:cs="宋体"/>
          <w:sz w:val="24"/>
          <w:lang w:val="en-US" w:eastAsia="zh-CN"/>
        </w:rPr>
        <w:t>〕</w:t>
      </w:r>
      <w:r>
        <w:rPr>
          <w:rFonts w:ascii="宋体" w:hAnsi="宋体" w:eastAsia="宋体" w:cs="宋体"/>
          <w:sz w:val="24"/>
          <w:lang w:val="en-US" w:eastAsia="zh-CN"/>
        </w:rPr>
        <w:t>145号关于不再计列建设工程新冠疫情防控措施费用的通知；</w:t>
      </w:r>
    </w:p>
    <w:p w14:paraId="4DCF9C14">
      <w:pPr>
        <w:spacing w:before="84" w:after="60" w:line="324" w:lineRule="auto"/>
        <w:ind w:left="794" w:right="0" w:firstLine="480"/>
        <w:jc w:val="left"/>
      </w:pPr>
      <w:r>
        <w:rPr>
          <w:rFonts w:ascii="宋体" w:hAnsi="宋体" w:cs="宋体"/>
          <w:sz w:val="24"/>
        </w:rPr>
        <w:t>1</w:t>
      </w:r>
      <w:r>
        <w:rPr>
          <w:rFonts w:ascii="宋体" w:hAnsi="宋体" w:cs="宋体"/>
          <w:sz w:val="24"/>
          <w:lang w:val="en-US" w:eastAsia="zh-CN"/>
        </w:rPr>
        <w:t>4</w:t>
      </w:r>
      <w:r>
        <w:rPr>
          <w:rFonts w:ascii="宋体" w:hAnsi="宋体" w:cs="宋体"/>
          <w:sz w:val="24"/>
        </w:rPr>
        <w:t>、其他有关工程造价方面的法律法规、办法、规定等。</w:t>
      </w:r>
    </w:p>
    <w:p w14:paraId="1F14107F">
      <w:pPr>
        <w:spacing w:before="120" w:after="0" w:line="360" w:lineRule="auto"/>
        <w:ind w:left="794" w:right="0" w:firstLine="482"/>
        <w:jc w:val="left"/>
      </w:pPr>
      <w:r>
        <w:rPr>
          <w:rFonts w:ascii="Arial" w:hAnsi="Arial" w:cs="Arial"/>
          <w:b/>
          <w:bCs/>
          <w:color w:val="000000"/>
          <w:kern w:val="0"/>
          <w:sz w:val="24"/>
          <w:lang w:val="en-US" w:eastAsia="zh-CN"/>
        </w:rPr>
        <w:t>三</w:t>
      </w:r>
      <w:r>
        <w:rPr>
          <w:rFonts w:ascii="Arial" w:hAnsi="Arial" w:cs="Arial"/>
          <w:b/>
          <w:bCs/>
          <w:color w:val="000000"/>
          <w:kern w:val="0"/>
          <w:sz w:val="24"/>
        </w:rPr>
        <w:t>、编制说明：</w:t>
      </w:r>
    </w:p>
    <w:p w14:paraId="168EADC0">
      <w:pPr>
        <w:spacing w:before="84" w:after="60" w:line="324" w:lineRule="auto"/>
        <w:ind w:left="794" w:right="0" w:firstLine="480"/>
        <w:jc w:val="left"/>
      </w:pPr>
      <w:r>
        <w:rPr>
          <w:rFonts w:ascii="宋体" w:hAnsi="宋体" w:cs="宋体"/>
          <w:sz w:val="24"/>
          <w:lang w:val="en-US" w:eastAsia="zh-CN"/>
        </w:rPr>
        <w:t>1</w:t>
      </w:r>
      <w:r>
        <w:rPr>
          <w:rFonts w:ascii="宋体" w:hAnsi="宋体" w:cs="宋体"/>
          <w:sz w:val="24"/>
        </w:rPr>
        <w:t>、本清单所列工程数量是根据现行情况由村委初步勘察暂定的，仅作为投标的共同基础，不能作为最终结算与支付的依据。结算与支付应以监理工程师审核并报业主现场代表认可的、按图纸和规范要求实际完成的合格工程数量为依据。完成的合格工程数量，应由承包商按监理工程师认可的尺寸断面或其他计量方法进行计量，经监理工程师审核后报业主现场代表确认，最终按工程量清单的单价和总额价进行结算和支付。工程量清单中所列工程量的变动，丝毫不会降低或影响合同条件的效力，也不免除承包商按规定的标准进行施工和修复缺陷的责任。</w:t>
      </w:r>
    </w:p>
    <w:p w14:paraId="53099B36">
      <w:pPr>
        <w:spacing w:before="84" w:after="60" w:line="324" w:lineRule="auto"/>
        <w:ind w:left="794" w:right="0" w:firstLine="480"/>
        <w:jc w:val="left"/>
      </w:pPr>
      <w:r>
        <w:rPr>
          <w:rFonts w:ascii="宋体" w:hAnsi="宋体" w:cs="宋体"/>
          <w:sz w:val="24"/>
          <w:lang w:val="en-US" w:eastAsia="zh-CN"/>
        </w:rPr>
        <w:t>2</w:t>
      </w:r>
      <w:r>
        <w:rPr>
          <w:rFonts w:ascii="宋体" w:hAnsi="宋体" w:cs="宋体"/>
          <w:sz w:val="24"/>
        </w:rPr>
        <w:t>、土方工程:投标人应根据现场实际情况、招标人要求、</w:t>
      </w:r>
      <w:r>
        <w:rPr>
          <w:rFonts w:ascii="宋体" w:hAnsi="宋体" w:cs="Arial"/>
          <w:sz w:val="24"/>
        </w:rPr>
        <w:t>建筑工地扬尘防治标准和上级主管部门建设工程扬尘防治实施细则要求</w:t>
      </w:r>
      <w:r>
        <w:rPr>
          <w:rFonts w:ascii="宋体" w:hAnsi="宋体" w:cs="宋体"/>
          <w:sz w:val="24"/>
        </w:rPr>
        <w:t>等因素自行考虑土方开挖方案、场内</w:t>
      </w:r>
      <w:r>
        <w:rPr>
          <w:rFonts w:ascii="宋体" w:hAnsi="宋体" w:cs="Arial"/>
          <w:sz w:val="24"/>
        </w:rPr>
        <w:t>短驳（含运输、归堆等，不管倒几次）</w:t>
      </w:r>
      <w:r>
        <w:rPr>
          <w:rFonts w:ascii="宋体" w:hAnsi="宋体" w:cs="宋体"/>
          <w:sz w:val="24"/>
        </w:rPr>
        <w:t>、回填土土源、外购、运输方式和运距、各单位工程间的运输距离、运输条件及各种干扰等所有因素后自行报价。所有填方按竣工压实体积考虑；所有挖方、拆除物按原始体积考虑；所有构筑物按实际占用体积考虑；不考虑挖土与填土在体积上的变化；不考虑填土密实度和取土密实度的差异。无论清单特征是否描述，所有土方的场内运输费</w:t>
      </w:r>
      <w:r>
        <w:rPr>
          <w:rFonts w:ascii="宋体" w:hAnsi="宋体" w:eastAsia="宋体" w:cs="宋体"/>
          <w:sz w:val="24"/>
        </w:rPr>
        <w:t>用必须包含在清单的综合单价内，结算时不另计算也不作任何调整。</w:t>
      </w:r>
    </w:p>
    <w:p w14:paraId="5A3CE441">
      <w:pPr>
        <w:spacing w:before="84" w:after="60" w:line="324" w:lineRule="auto"/>
        <w:ind w:left="794" w:right="0" w:firstLine="480"/>
        <w:jc w:val="left"/>
      </w:pPr>
      <w:r>
        <w:rPr>
          <w:rFonts w:ascii="宋体" w:hAnsi="宋体" w:cs="宋体"/>
          <w:sz w:val="24"/>
          <w:lang w:val="en-US" w:eastAsia="zh-CN"/>
        </w:rPr>
        <w:t>3</w:t>
      </w:r>
      <w:r>
        <w:rPr>
          <w:rFonts w:ascii="宋体" w:hAnsi="宋体" w:cs="宋体"/>
          <w:sz w:val="24"/>
        </w:rPr>
        <w:t>、余方弃置综合单价必须包含挖土及装车、运输、堆放处置、建筑垃圾（或土方）弃置费（包括但不限于弃土费、城管部门的手续费）等所有相关费用，缺方内运综合单价必须包</w:t>
      </w:r>
      <w:r>
        <w:rPr>
          <w:rFonts w:ascii="宋体" w:hAnsi="宋体" w:eastAsia="宋体" w:cs="宋体"/>
          <w:sz w:val="24"/>
        </w:rPr>
        <w:t>含土源、挖土及装车、运输等所有相关费用，结算时不另计算也不作任何调整。</w:t>
      </w:r>
    </w:p>
    <w:p w14:paraId="1FD8BB53">
      <w:pPr>
        <w:spacing w:before="84" w:after="60" w:line="324" w:lineRule="auto"/>
        <w:ind w:left="794" w:right="0" w:firstLine="480"/>
        <w:jc w:val="left"/>
      </w:pPr>
      <w:r>
        <w:rPr>
          <w:rFonts w:ascii="宋体" w:hAnsi="宋体" w:eastAsia="宋体" w:cs="宋体"/>
          <w:sz w:val="24"/>
          <w:lang w:val="en-US" w:eastAsia="zh-CN"/>
        </w:rPr>
        <w:t>4</w:t>
      </w:r>
      <w:r>
        <w:rPr>
          <w:rFonts w:ascii="宋体" w:hAnsi="宋体" w:eastAsia="宋体" w:cs="宋体"/>
          <w:sz w:val="24"/>
        </w:rPr>
        <w:t>、本工程所有余方弃置、</w:t>
      </w:r>
      <w:r>
        <w:rPr>
          <w:rFonts w:ascii="宋体" w:hAnsi="宋体" w:eastAsia="宋体" w:cs="宋体"/>
          <w:sz w:val="24"/>
          <w:lang w:val="en-US" w:eastAsia="zh-CN"/>
        </w:rPr>
        <w:t>外购种植土、淤泥弃方等</w:t>
      </w:r>
      <w:r>
        <w:rPr>
          <w:rFonts w:ascii="宋体" w:hAnsi="宋体" w:eastAsia="宋体" w:cs="宋体"/>
          <w:sz w:val="24"/>
        </w:rPr>
        <w:t>，需经建设单位、监理单位现场确认，并经参建各方现场签字确认后方可按实计量。</w:t>
      </w:r>
    </w:p>
    <w:p w14:paraId="6402C517">
      <w:pPr>
        <w:spacing w:before="84" w:after="60" w:line="324" w:lineRule="auto"/>
        <w:ind w:left="794" w:right="0" w:firstLine="480"/>
        <w:jc w:val="left"/>
      </w:pPr>
      <w:r>
        <w:rPr>
          <w:rFonts w:ascii="宋体" w:hAnsi="宋体" w:eastAsia="宋体" w:cs="宋体"/>
          <w:sz w:val="24"/>
          <w:lang w:val="en-US" w:eastAsia="zh-CN"/>
        </w:rPr>
        <w:t>5</w:t>
      </w:r>
      <w:r>
        <w:rPr>
          <w:rFonts w:ascii="宋体" w:hAnsi="宋体" w:eastAsia="宋体" w:cs="宋体"/>
          <w:sz w:val="24"/>
        </w:rPr>
        <w:t>、本工程除清单特征注明以外，所有回填清单，均应包含回填材料的</w:t>
      </w:r>
      <w:r>
        <w:rPr>
          <w:rFonts w:ascii="宋体" w:hAnsi="宋体" w:cs="宋体"/>
          <w:sz w:val="24"/>
        </w:rPr>
        <w:t>采购、场内及场外运输、装卸等全部工作内容。</w:t>
      </w:r>
    </w:p>
    <w:p w14:paraId="34B83AD1">
      <w:pPr>
        <w:spacing w:before="84" w:after="60" w:line="324" w:lineRule="auto"/>
        <w:ind w:left="794" w:right="0" w:firstLine="480"/>
        <w:jc w:val="left"/>
      </w:pPr>
      <w:r>
        <w:rPr>
          <w:rFonts w:ascii="宋体" w:hAnsi="宋体" w:cs="宋体"/>
          <w:sz w:val="24"/>
          <w:lang w:val="en-US" w:eastAsia="zh-CN"/>
        </w:rPr>
        <w:t>6</w:t>
      </w:r>
      <w:r>
        <w:rPr>
          <w:rFonts w:ascii="宋体" w:hAnsi="宋体" w:cs="宋体"/>
          <w:sz w:val="24"/>
        </w:rPr>
        <w:t>、投标人须自行考虑整个施工范围内，各种建筑材料和机械设备的运输条件、运输距离、各种可能存在的干扰因素，合理安排各种材料设备的运输方法和运输设备，并在投标报价中充分考虑相应的场内场外运输费用，本工程所有材料设备的场内场外运输费用，结算时均不另行计算也不作任何调整。</w:t>
      </w:r>
    </w:p>
    <w:p w14:paraId="4B7EB457">
      <w:pPr>
        <w:spacing w:before="84" w:after="60" w:line="324" w:lineRule="auto"/>
        <w:ind w:left="794" w:right="0" w:firstLine="480"/>
        <w:jc w:val="left"/>
      </w:pPr>
      <w:r>
        <w:rPr>
          <w:rFonts w:ascii="宋体" w:hAnsi="宋体" w:cs="宋体"/>
          <w:sz w:val="24"/>
          <w:lang w:val="en-US" w:eastAsia="zh-CN"/>
        </w:rPr>
        <w:t>7</w:t>
      </w:r>
      <w:r>
        <w:rPr>
          <w:rFonts w:ascii="宋体" w:hAnsi="宋体" w:cs="宋体"/>
          <w:sz w:val="24"/>
        </w:rPr>
        <w:t>、所有按“项”为单位设置的分部分项清单和单价措施清单，投标人应充分熟悉现场情况，考虑本项目的施工组织设计和施工方案，现场根据甲方要求及相关政策法规实施，在报价中予以综合考虑，结算时该项价格不做任何调整。</w:t>
      </w:r>
    </w:p>
    <w:p w14:paraId="50987AD7">
      <w:pPr>
        <w:spacing w:before="84" w:after="60" w:line="324" w:lineRule="auto"/>
        <w:ind w:left="794" w:right="0" w:firstLine="480"/>
        <w:jc w:val="left"/>
      </w:pPr>
      <w:r>
        <w:rPr>
          <w:rFonts w:ascii="宋体" w:hAnsi="宋体" w:cs="宋体"/>
          <w:sz w:val="24"/>
          <w:lang w:val="en-US" w:eastAsia="zh-CN"/>
        </w:rPr>
        <w:t>8</w:t>
      </w:r>
      <w:r>
        <w:rPr>
          <w:rFonts w:ascii="宋体" w:hAnsi="宋体" w:cs="宋体"/>
          <w:sz w:val="24"/>
        </w:rPr>
        <w:t>、扬尘污染防治增加费，按常建</w:t>
      </w:r>
      <w:r>
        <w:rPr>
          <w:rFonts w:hint="eastAsia" w:ascii="宋体" w:hAnsi="宋体" w:cs="宋体"/>
          <w:sz w:val="24"/>
          <w:lang w:eastAsia="zh-CN"/>
        </w:rPr>
        <w:t>〔</w:t>
      </w:r>
      <w:r>
        <w:rPr>
          <w:rFonts w:ascii="宋体" w:hAnsi="宋体" w:cs="宋体"/>
          <w:sz w:val="24"/>
        </w:rPr>
        <w:t>2019</w:t>
      </w:r>
      <w:r>
        <w:rPr>
          <w:rFonts w:hint="eastAsia" w:ascii="宋体" w:hAnsi="宋体" w:cs="宋体"/>
          <w:sz w:val="24"/>
          <w:lang w:eastAsia="zh-CN"/>
        </w:rPr>
        <w:t>〕</w:t>
      </w:r>
      <w:r>
        <w:rPr>
          <w:rFonts w:ascii="宋体" w:hAnsi="宋体" w:cs="宋体"/>
          <w:sz w:val="24"/>
        </w:rPr>
        <w:t>1号文计算。施工过程中必须加强建筑施工扬尘防治工作，严格执行《常州市建筑施工扬尘控制实施细则》和其他扬尘方面的相关规定，在投标报价中应充分考虑扬尘控制措施的相关费用。投标人须根据本工程设计图纸、工地现场情况、扬尘控制的相关要求，制定扬尘防治的实施方案，如裸土覆盖、道路硬化、车辆冲洗平台、喷淋降尘系统、雾炮车、临时绿化等措施，并在施工过程中严格执行扬尘染污、扬尘控制的相关规定，相关费用已在安全文明施工费（含扬尘污染防治增加费）中计列，其他扬尘控制及防治费用由投标人自行考虑，结算时不再另行计算也不作任何调整。</w:t>
      </w:r>
    </w:p>
    <w:p w14:paraId="5A094A93">
      <w:pPr>
        <w:spacing w:before="84" w:after="60" w:line="324" w:lineRule="auto"/>
        <w:ind w:left="794" w:right="0" w:firstLine="480"/>
        <w:jc w:val="left"/>
      </w:pPr>
      <w:r>
        <w:rPr>
          <w:rFonts w:ascii="宋体" w:hAnsi="宋体" w:cs="宋体"/>
          <w:sz w:val="24"/>
          <w:lang w:val="en-US" w:eastAsia="zh-CN"/>
        </w:rPr>
        <w:t>9</w:t>
      </w:r>
      <w:r>
        <w:rPr>
          <w:rFonts w:ascii="宋体" w:hAnsi="宋体" w:cs="宋体"/>
          <w:sz w:val="24"/>
        </w:rPr>
        <w:t>、总价措施项目清单中的安全文明施工费（含基本费、扬尘污染防治增加费）为不可竞争费，投标报价时按工程量清单中的费率计取不得调整，结算时按相关文件规定计取。</w:t>
      </w:r>
    </w:p>
    <w:p w14:paraId="44F2A445">
      <w:pPr>
        <w:spacing w:before="84" w:after="60" w:line="324" w:lineRule="auto"/>
        <w:ind w:left="794" w:right="0" w:firstLine="480"/>
        <w:jc w:val="left"/>
      </w:pPr>
      <w:r>
        <w:rPr>
          <w:rFonts w:ascii="宋体" w:hAnsi="宋体" w:cs="宋体"/>
          <w:sz w:val="24"/>
          <w:lang w:val="en-US" w:eastAsia="zh-CN"/>
        </w:rPr>
        <w:t>10</w:t>
      </w:r>
      <w:r>
        <w:rPr>
          <w:rFonts w:ascii="宋体" w:hAnsi="宋体" w:cs="宋体"/>
          <w:sz w:val="24"/>
        </w:rPr>
        <w:t>、本工程执行一般计税。规费、税金项目清单中所列费率均为不可竞争费率。</w:t>
      </w:r>
    </w:p>
    <w:p w14:paraId="4ABE6608">
      <w:pPr>
        <w:spacing w:before="84" w:after="60" w:line="324" w:lineRule="auto"/>
        <w:ind w:left="794" w:right="0" w:firstLine="480"/>
        <w:jc w:val="left"/>
      </w:pPr>
      <w:r>
        <w:rPr>
          <w:rFonts w:ascii="宋体" w:hAnsi="宋体" w:cs="宋体"/>
          <w:sz w:val="24"/>
          <w:lang w:val="en-US" w:eastAsia="zh-CN"/>
        </w:rPr>
        <w:t>11</w:t>
      </w:r>
      <w:r>
        <w:rPr>
          <w:rFonts w:ascii="宋体" w:hAnsi="宋体" w:cs="宋体"/>
          <w:sz w:val="24"/>
        </w:rPr>
        <w:t>、本工程已按《省住房城乡建设厅关于建筑工人实名制费用计取方法的公告》（</w:t>
      </w:r>
      <w:r>
        <w:rPr>
          <w:rFonts w:hint="eastAsia" w:ascii="宋体" w:hAnsi="宋体" w:cs="宋体"/>
          <w:sz w:val="24"/>
          <w:lang w:eastAsia="zh-CN"/>
        </w:rPr>
        <w:t>〔</w:t>
      </w:r>
      <w:r>
        <w:rPr>
          <w:rFonts w:ascii="宋体" w:hAnsi="宋体" w:cs="宋体"/>
          <w:sz w:val="24"/>
        </w:rPr>
        <w:t>2019</w:t>
      </w:r>
      <w:r>
        <w:rPr>
          <w:rFonts w:hint="eastAsia" w:ascii="宋体" w:hAnsi="宋体" w:cs="宋体"/>
          <w:sz w:val="24"/>
          <w:lang w:eastAsia="zh-CN"/>
        </w:rPr>
        <w:t>〕</w:t>
      </w:r>
      <w:r>
        <w:rPr>
          <w:rFonts w:ascii="宋体" w:hAnsi="宋体" w:cs="宋体"/>
          <w:sz w:val="24"/>
        </w:rPr>
        <w:t>第19号）计算建筑工人实名制费用，建筑工人实名制设备由承包方自行提供，相关费用由投标单位在投标报价中自行考虑，结算时费率不作任何调整。</w:t>
      </w:r>
    </w:p>
    <w:p w14:paraId="1135B40D">
      <w:pPr>
        <w:spacing w:before="84" w:after="60" w:line="324" w:lineRule="auto"/>
        <w:ind w:left="794" w:right="0" w:firstLine="480"/>
        <w:jc w:val="left"/>
      </w:pPr>
      <w:r>
        <w:rPr>
          <w:rFonts w:ascii="宋体" w:hAnsi="宋体" w:cs="宋体"/>
          <w:sz w:val="24"/>
          <w:lang w:val="en-US" w:eastAsia="zh-CN"/>
        </w:rPr>
        <w:t>12</w:t>
      </w:r>
      <w:r>
        <w:rPr>
          <w:rFonts w:ascii="宋体" w:hAnsi="宋体" w:cs="宋体"/>
          <w:sz w:val="24"/>
        </w:rPr>
        <w:t>、本工程所需水、接电或自行发电等费用由承包人负责，相关费用在投标报价中考虑，施工过程中不另计量。</w:t>
      </w:r>
    </w:p>
    <w:p w14:paraId="729C59EF">
      <w:pPr>
        <w:spacing w:before="84" w:after="60" w:line="324" w:lineRule="auto"/>
        <w:ind w:left="794" w:right="0" w:firstLine="480"/>
        <w:jc w:val="left"/>
      </w:pPr>
      <w:r>
        <w:rPr>
          <w:rFonts w:ascii="宋体" w:hAnsi="宋体" w:cs="宋体"/>
          <w:sz w:val="24"/>
          <w:lang w:val="en-US" w:eastAsia="zh-CN"/>
        </w:rPr>
        <w:t>13</w:t>
      </w:r>
      <w:r>
        <w:rPr>
          <w:rFonts w:ascii="宋体" w:hAnsi="宋体" w:cs="宋体"/>
          <w:sz w:val="24"/>
        </w:rPr>
        <w:t>、投标人有义务保证施工场地、管道在质保期、尤其是汛期内的畅通、无险情，相关费用在投标报价中考虑，不另计量。</w:t>
      </w:r>
    </w:p>
    <w:p w14:paraId="55AC3E9D">
      <w:pPr>
        <w:spacing w:before="84" w:after="60" w:line="324" w:lineRule="auto"/>
        <w:ind w:left="794" w:right="0" w:firstLine="480"/>
        <w:jc w:val="left"/>
      </w:pPr>
      <w:r>
        <w:rPr>
          <w:rFonts w:ascii="宋体" w:hAnsi="宋体" w:cs="宋体"/>
          <w:sz w:val="24"/>
          <w:lang w:val="en-US" w:eastAsia="zh-CN"/>
        </w:rPr>
        <w:t>14</w:t>
      </w:r>
      <w:r>
        <w:rPr>
          <w:rFonts w:ascii="宋体" w:hAnsi="宋体" w:cs="宋体"/>
          <w:sz w:val="24"/>
        </w:rPr>
        <w:t>、投标人应自行认真勘察现场，并在招标文件约定的“投标人要求澄清招标文件的截止时间”内，根据工程现场实际情况、设计图纸、以及投标人的施工组织设计，针对招标文件、招标控制价提出增加和（或修改）已列措施清单项目的质疑，招标人将视情况决定是否调整招标文件或招标控制价。如投标人未在招标文件约定的时限内，要求澄清招标文件，及招标人认为不需要增加和（或修改）已列措施清单项目，则该相关费用视为已包含在投标报价中，不再另行计量。结算时除工程变更引起的措施项目调整或增加以外，不得以措施项目清单错项、漏项为由要求新增措施项目。</w:t>
      </w:r>
    </w:p>
    <w:p w14:paraId="2802340B">
      <w:pPr>
        <w:spacing w:before="84" w:after="60" w:line="324" w:lineRule="auto"/>
        <w:ind w:left="794" w:right="0" w:firstLine="480"/>
        <w:jc w:val="left"/>
      </w:pPr>
      <w:r>
        <w:rPr>
          <w:rFonts w:ascii="宋体" w:hAnsi="宋体" w:cs="宋体"/>
          <w:sz w:val="24"/>
          <w:lang w:val="en-US" w:eastAsia="zh-CN"/>
        </w:rPr>
        <w:t>15</w:t>
      </w:r>
      <w:r>
        <w:rPr>
          <w:rFonts w:ascii="宋体" w:hAnsi="宋体" w:cs="宋体"/>
          <w:sz w:val="24"/>
        </w:rPr>
        <w:t>、本工程施工所需的材料、机械设备、工器具等可能需要进行场内倒运或二次搬运。投标人应根据施工现场情况、设施图纸以及施工组织设计（或施工方案），自行考虑施工所需的材料、机械设备、工具的场内运输与倒运，并在本次投标报价中应充分考虑上述因素所引起的各种相关费用，结算时不另计算也不作任何调整。</w:t>
      </w:r>
    </w:p>
    <w:p w14:paraId="0C05134B">
      <w:pPr>
        <w:spacing w:before="84" w:after="60" w:line="324" w:lineRule="auto"/>
        <w:ind w:left="794" w:right="0" w:firstLine="480"/>
        <w:jc w:val="left"/>
      </w:pPr>
      <w:r>
        <w:rPr>
          <w:rFonts w:ascii="宋体" w:hAnsi="宋体" w:eastAsia="宋体" w:cs="宋体"/>
          <w:sz w:val="24"/>
          <w:lang w:val="en-US" w:eastAsia="zh-CN"/>
        </w:rPr>
        <w:t>16</w:t>
      </w:r>
      <w:r>
        <w:rPr>
          <w:rFonts w:ascii="宋体" w:hAnsi="宋体" w:eastAsia="宋体" w:cs="宋体"/>
          <w:sz w:val="24"/>
        </w:rPr>
        <w:t>、</w:t>
      </w:r>
      <w:r>
        <w:rPr>
          <w:rFonts w:ascii="宋体" w:hAnsi="宋体" w:eastAsia="宋体" w:cs="宋体"/>
          <w:sz w:val="24"/>
          <w:lang w:val="en-US" w:eastAsia="zh-CN"/>
        </w:rPr>
        <w:t>本工程不单独列项便道，相关费用投标单位应在综合单价中考虑，结算时不另行计量。</w:t>
      </w:r>
    </w:p>
    <w:p w14:paraId="3EAE70B3">
      <w:pPr>
        <w:spacing w:before="84" w:after="60" w:line="324" w:lineRule="auto"/>
        <w:ind w:left="794" w:right="0" w:firstLine="480"/>
        <w:jc w:val="left"/>
        <w:rPr>
          <w:rFonts w:ascii="宋体" w:hAnsi="宋体" w:eastAsia="宋体" w:cs="宋体"/>
          <w:sz w:val="24"/>
          <w:lang w:val="en-US" w:eastAsia="zh-CN"/>
        </w:rPr>
      </w:pPr>
      <w:r>
        <w:rPr>
          <w:rFonts w:ascii="宋体" w:hAnsi="宋体" w:eastAsia="宋体" w:cs="宋体"/>
          <w:sz w:val="24"/>
          <w:lang w:val="en-US" w:eastAsia="zh-CN"/>
        </w:rPr>
        <w:t>17、外场地面按就地平整原则，无内外运（除特殊说明）。</w:t>
      </w:r>
    </w:p>
    <w:p w14:paraId="121172CF">
      <w:pPr>
        <w:spacing w:before="84" w:after="60" w:line="324" w:lineRule="auto"/>
        <w:ind w:left="794" w:right="0" w:firstLine="480"/>
        <w:jc w:val="left"/>
        <w:rPr>
          <w:rFonts w:ascii="宋体" w:hAnsi="宋体" w:eastAsia="宋体" w:cs="宋体"/>
          <w:sz w:val="24"/>
          <w:highlight w:val="none"/>
          <w:lang w:val="en-US" w:eastAsia="zh-CN"/>
        </w:rPr>
      </w:pPr>
    </w:p>
    <w:p w14:paraId="03B931D3">
      <w:pPr>
        <w:widowControl w:val="0"/>
        <w:bidi w:val="0"/>
        <w:spacing w:before="84" w:after="60" w:line="324" w:lineRule="auto"/>
        <w:ind w:left="794" w:right="0" w:firstLine="480"/>
      </w:pPr>
      <w:r>
        <w:rPr>
          <w:rFonts w:ascii="Arial" w:hAnsi="Arial" w:eastAsia="Arial" w:cs="Arial"/>
          <w:sz w:val="24"/>
        </w:rPr>
        <w:t xml:space="preserve">                                            </w:t>
      </w:r>
      <w:r>
        <w:rPr>
          <w:rFonts w:ascii="宋体" w:hAnsi="宋体" w:eastAsia="宋体" w:cs="宋体"/>
          <w:sz w:val="24"/>
        </w:rPr>
        <w:t xml:space="preserve">     常州青果招投标有限公司                                                             2025年4月14日</w:t>
      </w:r>
    </w:p>
    <w:p w14:paraId="19AA36B9">
      <w:pPr>
        <w:pStyle w:val="3"/>
        <w:rPr>
          <w:rFonts w:ascii="Arial" w:hAnsi="Arial" w:eastAsia="Arial" w:cs="Arial"/>
          <w:b/>
          <w:bCs/>
          <w:sz w:val="24"/>
        </w:rPr>
      </w:pPr>
      <w:r>
        <w:rPr>
          <w:rFonts w:ascii="Arial" w:hAnsi="Arial" w:eastAsia="Arial" w:cs="Arial"/>
          <w:b/>
          <w:bCs/>
          <w:sz w:val="24"/>
        </w:rPr>
        <w:t xml:space="preserve">                        </w:t>
      </w:r>
    </w:p>
    <w:p w14:paraId="29F4B071">
      <w:pPr>
        <w:jc w:val="center"/>
        <w:rPr>
          <w:rFonts w:ascii="方正小标宋简体" w:hAnsi="方正小标宋简体" w:eastAsia="方正小标宋简体" w:cs="方正小标宋简体"/>
          <w:sz w:val="40"/>
          <w:szCs w:val="48"/>
          <w:lang w:val="en-US" w:eastAsia="zh-CN"/>
        </w:rPr>
      </w:pPr>
    </w:p>
    <w:sectPr>
      <w:pgSz w:w="11906" w:h="16838"/>
      <w:pgMar w:top="1440" w:right="1800" w:bottom="1440" w:left="1800" w:header="0" w:footer="0" w:gutter="0"/>
      <w:pgNumType w:fmt="decimal"/>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w:panose1 w:val="020F0502020204030204"/>
    <w:charset w:val="86"/>
    <w:family w:val="roman"/>
    <w:pitch w:val="default"/>
    <w:sig w:usb0="E0002EFF" w:usb1="C000247B" w:usb2="00000009" w:usb3="00000000" w:csb0="200001FF" w:csb1="00000000"/>
  </w:font>
  <w:font w:name="OpenSymbol">
    <w:altName w:val="宋体"/>
    <w:panose1 w:val="00000000000000000000"/>
    <w:charset w:val="86"/>
    <w:family w:val="roman"/>
    <w:pitch w:val="default"/>
    <w:sig w:usb0="00000000" w:usb1="00000000" w:usb2="00000000" w:usb3="00000000" w:csb0="00000000" w:csb1="00000000"/>
  </w:font>
  <w:font w:name="Arial Unicode MS">
    <w:altName w:val="Arial"/>
    <w:panose1 w:val="00000000000000000000"/>
    <w:charset w:val="00"/>
    <w:family w:val="auto"/>
    <w:pitch w:val="default"/>
    <w:sig w:usb0="00000000" w:usb1="00000000" w:usb2="00000000" w:usb3="00000000" w:csb0="00000000" w:csb1="00000000"/>
  </w:font>
  <w:font w:name="Liberation Sans">
    <w:altName w:val="宋体"/>
    <w:panose1 w:val="00000000000000000000"/>
    <w:charset w:val="86"/>
    <w:family w:val="swiss"/>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Noto Sans SC">
    <w:altName w:val="Segoe Print"/>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86"/>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autoHyphenation/>
  <w:hyphenationZone w:val="0"/>
  <w:footnotePr>
    <w:footnote w:id="0"/>
    <w:footnote w:id="1"/>
  </w:footnotePr>
  <w:endnotePr>
    <w:endnote w:id="0"/>
    <w:endnote w:id="1"/>
  </w:endnotePr>
  <w:compat>
    <w:doNotExpandShiftReturn/>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MzExMTgyZmIxZTRmZDk2M2M0NjY3NmVmNjBlM2MifQ=="/>
  </w:docVars>
  <w:rsids>
    <w:rsidRoot w:val="00000000"/>
    <w:rsid w:val="4730796A"/>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uppressAutoHyphens/>
      <w:bidi w:val="0"/>
      <w:spacing w:before="0" w:after="0" w:line="500" w:lineRule="exact"/>
      <w:ind w:left="794" w:right="0" w:firstLine="454"/>
      <w:jc w:val="right"/>
    </w:pPr>
    <w:rPr>
      <w:rFonts w:asciiTheme="minorHAnsi" w:hAnsiTheme="minorHAnsi" w:eastAsiaTheme="minorEastAsia" w:cstheme="minorBidi"/>
      <w:color w:val="auto"/>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caption"/>
    <w:basedOn w:val="1"/>
    <w:qFormat/>
    <w:uiPriority w:val="0"/>
    <w:pPr>
      <w:suppressLineNumbers/>
      <w:spacing w:before="120" w:after="120"/>
    </w:pPr>
    <w:rPr>
      <w:rFonts w:cs="Arial"/>
      <w:i/>
      <w:iCs/>
      <w:sz w:val="24"/>
      <w:szCs w:val="24"/>
    </w:rPr>
  </w:style>
  <w:style w:type="paragraph" w:styleId="3">
    <w:name w:val="Body Text"/>
    <w:basedOn w:val="1"/>
    <w:qFormat/>
    <w:uiPriority w:val="0"/>
    <w:pPr>
      <w:spacing w:before="0" w:after="140" w:line="276" w:lineRule="auto"/>
    </w:pPr>
  </w:style>
  <w:style w:type="paragraph" w:styleId="4">
    <w:name w:val="List"/>
    <w:basedOn w:val="3"/>
    <w:uiPriority w:val="0"/>
    <w:rPr>
      <w:rFonts w:cs="Arial"/>
    </w:rPr>
  </w:style>
  <w:style w:type="character" w:styleId="7">
    <w:name w:val="Strong"/>
    <w:qFormat/>
    <w:uiPriority w:val="0"/>
    <w:rPr>
      <w:b/>
      <w:bCs/>
    </w:rPr>
  </w:style>
  <w:style w:type="character" w:customStyle="1" w:styleId="8">
    <w:name w:val="项目符号 (user)"/>
    <w:qFormat/>
    <w:uiPriority w:val="0"/>
    <w:rPr>
      <w:rFonts w:ascii="OpenSymbol" w:hAnsi="OpenSymbol" w:eastAsia="OpenSymbol" w:cs="OpenSymbol"/>
    </w:rPr>
  </w:style>
  <w:style w:type="paragraph" w:customStyle="1" w:styleId="9">
    <w:name w:val="标题样式"/>
    <w:basedOn w:val="1"/>
    <w:next w:val="3"/>
    <w:qFormat/>
    <w:uiPriority w:val="0"/>
    <w:pPr>
      <w:keepNext/>
      <w:spacing w:before="240" w:after="120"/>
    </w:pPr>
    <w:rPr>
      <w:rFonts w:ascii="Liberation Sans" w:hAnsi="Liberation Sans" w:eastAsia="Noto Sans SC" w:cs="Arial"/>
      <w:sz w:val="28"/>
      <w:szCs w:val="28"/>
    </w:rPr>
  </w:style>
  <w:style w:type="paragraph" w:customStyle="1" w:styleId="10">
    <w:name w:val="索引"/>
    <w:basedOn w:val="1"/>
    <w:qFormat/>
    <w:uiPriority w:val="0"/>
    <w:pPr>
      <w:suppressLineNumbers/>
    </w:pPr>
    <w:rPr>
      <w:rFonts w:cs="Arial"/>
    </w:rPr>
  </w:style>
  <w:style w:type="paragraph" w:customStyle="1" w:styleId="11">
    <w:name w:val="标题样式 (user)"/>
    <w:basedOn w:val="1"/>
    <w:next w:val="3"/>
    <w:qFormat/>
    <w:uiPriority w:val="0"/>
    <w:pPr>
      <w:keepNext/>
      <w:spacing w:before="240" w:after="120"/>
    </w:pPr>
    <w:rPr>
      <w:rFonts w:ascii="Liberation Sans" w:hAnsi="Liberation Sans" w:eastAsia="Noto Sans SC" w:cs="Arial"/>
      <w:sz w:val="28"/>
      <w:szCs w:val="28"/>
    </w:rPr>
  </w:style>
  <w:style w:type="paragraph" w:customStyle="1" w:styleId="12">
    <w:name w:val="索引 (user)"/>
    <w:basedOn w:val="1"/>
    <w:qFormat/>
    <w:uiPriority w:val="0"/>
    <w:pPr>
      <w:suppressLineNumbers/>
    </w:pPr>
    <w:rPr>
      <w:rFonts w:cs="Ari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rgbClr val="000000"/>
      </a:dk1>
      <a:lt1>
        <a:srgbClr val="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majorFont>
      <a:minorFont>
        <a:latin typeface="Calibri"/>
        <a:ea typeface=""/>
        <a:cs typeface=""/>
      </a:minorFont>
    </a:fontScheme>
    <a:fmtScheme name="">
      <a:fillStyleLst>
        <a:solidFill>
          <a:schemeClr val="phClr"/>
        </a:solidFill>
        <a:gradFill>
          <a:gsLst>
            <a:gs pos="0">
              <a:schemeClr val="phClr">
                <a:lumOff val="17500"/>
              </a:schemeClr>
            </a:gs>
            <a:gs pos="100000">
              <a:schemeClr val="phClr"/>
            </a:gs>
          </a:gsLst>
          <a:lin ang="2700000" scaled="0"/>
          <a:tileRect/>
        </a:gradFill>
        <a:gradFill>
          <a:gsLst>
            <a:gs pos="0">
              <a:schemeClr val="phClr"/>
            </a:gs>
            <a:gs pos="100000">
              <a:schemeClr val="phClr"/>
            </a:gs>
          </a:gsLst>
          <a:lin ang="2700000" scaled="0"/>
          <a:tileRect/>
        </a:gradFill>
      </a:fillStyleLst>
      <a:lnStyleLst>
        <a:ln w="12700" cap="flat" cmpd="sng" algn="ctr">
          <a:prstDash val="solid"/>
          <a:miter lim="800000"/>
        </a:ln>
        <a:ln w="12700" cap="flat" cmpd="sng" algn="ctr">
          <a:prstDash val="solid"/>
          <a:miter lim="800000"/>
        </a:ln>
        <a:ln w="127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1324</Words>
  <Characters>1509</Characters>
  <Paragraphs>42</Paragraphs>
  <TotalTime>1</TotalTime>
  <ScaleCrop>false</ScaleCrop>
  <LinksUpToDate>false</LinksUpToDate>
  <CharactersWithSpaces>1526</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2024-03-29T01:32:00Z</dcterms:created>
  <dc:creator>xm3</dc:creator>
  <cp:lastModifiedBy>糖果</cp:lastModifiedBy>
  <dcterms:modified xsi:type="dcterms:W3CDTF">2025-06-05T07:28:14Z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ADAA25D0A348414380A5A4D5ABDCD8DF_11</vt:lpwstr>
  </property>
  <property fmtid="{D5CDD505-2E9C-101B-9397-08002B2CF9AE}" pid="3" name="KSOProductBuildVer">
    <vt:lpwstr>2052-12.1.0.21171</vt:lpwstr>
  </property>
  <property fmtid="{D5CDD505-2E9C-101B-9397-08002B2CF9AE}" pid="4" name="KSOTemplateDocerSaveRecord">
    <vt:lpwstr>eyJoZGlkIjoiMWJlZmE2NGIwM2NkM2MxMzZkMjRkOTE1YzhiMGNkNTciLCJ1c2VySWQiOiI1MTYwNjAyNTIifQ==</vt:lpwstr>
  </property>
</Properties>
</file>