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A3A17">
      <w:pPr>
        <w:autoSpaceDE w:val="0"/>
        <w:spacing w:line="560" w:lineRule="exact"/>
        <w:ind w:firstLine="880" w:firstLineChars="200"/>
        <w:jc w:val="center"/>
        <w:outlineLvl w:val="0"/>
        <w:rPr>
          <w:rFonts w:ascii="方正小标宋简体" w:eastAsia="方正小标宋简体" w:cs="方正小标宋简体"/>
          <w:bCs/>
          <w:kern w:val="44"/>
          <w:sz w:val="44"/>
          <w:szCs w:val="44"/>
          <w:highlight w:val="none"/>
          <w:lang w:bidi="ar"/>
        </w:rPr>
      </w:pPr>
      <w:bookmarkStart w:id="5" w:name="_GoBack"/>
      <w:r>
        <w:rPr>
          <w:rFonts w:hint="eastAsia" w:ascii="方正小标宋简体" w:eastAsia="方正小标宋简体" w:cs="方正小标宋简体"/>
          <w:bCs/>
          <w:kern w:val="44"/>
          <w:sz w:val="44"/>
          <w:szCs w:val="44"/>
          <w:highlight w:val="none"/>
          <w:lang w:bidi="ar"/>
        </w:rPr>
        <w:t>滨江智能装备企业港南北区新增工业污水管道工程</w:t>
      </w:r>
      <w:bookmarkEnd w:id="5"/>
      <w:r>
        <w:rPr>
          <w:rFonts w:hint="eastAsia" w:ascii="方正小标宋简体" w:eastAsia="方正小标宋简体" w:cs="方正小标宋简体"/>
          <w:bCs/>
          <w:kern w:val="44"/>
          <w:sz w:val="44"/>
          <w:szCs w:val="44"/>
          <w:highlight w:val="none"/>
          <w:lang w:bidi="ar"/>
        </w:rPr>
        <w:t>招标公告</w:t>
      </w:r>
    </w:p>
    <w:p w14:paraId="164DD48B">
      <w:pPr>
        <w:autoSpaceDE w:val="0"/>
        <w:adjustRightInd w:val="0"/>
        <w:snapToGrid w:val="0"/>
        <w:spacing w:line="560" w:lineRule="exact"/>
        <w:ind w:firstLine="640" w:firstLineChars="200"/>
        <w:jc w:val="left"/>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一、招标条件</w:t>
      </w:r>
      <w:r>
        <w:rPr>
          <w:rFonts w:hint="eastAsia" w:ascii="黑体" w:hAnsi="宋体" w:eastAsia="黑体" w:cs="黑体"/>
          <w:bCs/>
          <w:sz w:val="32"/>
          <w:szCs w:val="32"/>
          <w:highlight w:val="none"/>
          <w:lang w:bidi="ar"/>
        </w:rPr>
        <w:tab/>
      </w:r>
    </w:p>
    <w:p w14:paraId="2061318B">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u w:val="single"/>
        </w:rPr>
        <w:t>滨江智能装备企业港南北区新增工业污水管道工程</w:t>
      </w:r>
      <w:r>
        <w:rPr>
          <w:rFonts w:hint="eastAsia" w:ascii="仿宋_GB2312" w:hAnsi="仿宋_GB2312" w:eastAsia="仿宋_GB2312" w:cs="仿宋_GB2312"/>
          <w:kern w:val="0"/>
          <w:sz w:val="32"/>
          <w:szCs w:val="32"/>
          <w:highlight w:val="none"/>
        </w:rPr>
        <w:t>已批准建设，招标人为</w:t>
      </w:r>
      <w:r>
        <w:rPr>
          <w:rFonts w:hint="eastAsia" w:ascii="仿宋_GB2312" w:hAnsi="仿宋_GB2312" w:eastAsia="仿宋_GB2312" w:cs="仿宋_GB2312"/>
          <w:sz w:val="32"/>
          <w:szCs w:val="32"/>
          <w:highlight w:val="none"/>
          <w:u w:val="single"/>
        </w:rPr>
        <w:t>常州滨江安居置业有限公司</w:t>
      </w:r>
      <w:r>
        <w:rPr>
          <w:rFonts w:hint="eastAsia" w:ascii="仿宋_GB2312" w:hAnsi="仿宋_GB2312" w:eastAsia="仿宋_GB2312" w:cs="仿宋_GB2312"/>
          <w:kern w:val="0"/>
          <w:sz w:val="32"/>
          <w:szCs w:val="32"/>
          <w:highlight w:val="none"/>
        </w:rPr>
        <w:t>，建设资金来自国有，项目出资比例为</w:t>
      </w:r>
      <w:r>
        <w:rPr>
          <w:rFonts w:hint="eastAsia" w:ascii="仿宋_GB2312" w:hAnsi="仿宋_GB2312" w:eastAsia="仿宋_GB2312" w:cs="仿宋_GB2312"/>
          <w:kern w:val="0"/>
          <w:sz w:val="32"/>
          <w:szCs w:val="32"/>
          <w:highlight w:val="none"/>
          <w:u w:val="single"/>
        </w:rPr>
        <w:t>国有</w:t>
      </w:r>
      <w:r>
        <w:rPr>
          <w:rFonts w:hint="eastAsia" w:ascii="仿宋_GB2312" w:hAnsi="仿宋_GB2312" w:eastAsia="仿宋_GB2312" w:cs="仿宋_GB2312"/>
          <w:sz w:val="32"/>
          <w:szCs w:val="32"/>
          <w:highlight w:val="none"/>
          <w:u w:val="single"/>
        </w:rPr>
        <w:t>资金</w:t>
      </w:r>
      <w:r>
        <w:rPr>
          <w:rFonts w:hint="eastAsia" w:ascii="仿宋_GB2312" w:hAnsi="仿宋_GB2312" w:eastAsia="仿宋_GB2312" w:cs="仿宋_GB2312"/>
          <w:kern w:val="0"/>
          <w:sz w:val="32"/>
          <w:szCs w:val="32"/>
          <w:highlight w:val="none"/>
          <w:u w:val="single"/>
        </w:rPr>
        <w:t>：100.00 %</w:t>
      </w:r>
      <w:r>
        <w:rPr>
          <w:rFonts w:hint="eastAsia" w:ascii="仿宋_GB2312" w:hAnsi="仿宋_GB2312" w:eastAsia="仿宋_GB2312" w:cs="仿宋_GB2312"/>
          <w:kern w:val="0"/>
          <w:sz w:val="32"/>
          <w:szCs w:val="32"/>
          <w:highlight w:val="none"/>
        </w:rPr>
        <w:t>。项目已具备招标条件，现对该项目</w:t>
      </w:r>
      <w:r>
        <w:rPr>
          <w:rFonts w:hint="eastAsia" w:ascii="仿宋_GB2312" w:hAnsi="仿宋_GB2312" w:eastAsia="仿宋_GB2312" w:cs="仿宋_GB2312"/>
          <w:kern w:val="0"/>
          <w:sz w:val="32"/>
          <w:szCs w:val="32"/>
          <w:highlight w:val="none"/>
          <w:u w:val="single"/>
        </w:rPr>
        <w:t>滨江智能装备企业港南北区新增工业污水管道工程施工</w:t>
      </w:r>
      <w:r>
        <w:rPr>
          <w:rFonts w:hint="eastAsia" w:ascii="仿宋_GB2312" w:hAnsi="仿宋_GB2312" w:eastAsia="仿宋_GB2312" w:cs="仿宋_GB2312"/>
          <w:kern w:val="0"/>
          <w:sz w:val="32"/>
          <w:szCs w:val="32"/>
          <w:highlight w:val="none"/>
        </w:rPr>
        <w:t>进行</w:t>
      </w:r>
      <w:r>
        <w:rPr>
          <w:rFonts w:hint="eastAsia" w:ascii="仿宋_GB2312" w:hAnsi="仿宋_GB2312" w:eastAsia="仿宋_GB2312" w:cs="仿宋_GB2312"/>
          <w:kern w:val="0"/>
          <w:sz w:val="32"/>
          <w:szCs w:val="32"/>
          <w:highlight w:val="none"/>
          <w:u w:val="single"/>
        </w:rPr>
        <w:t>公开</w:t>
      </w:r>
      <w:r>
        <w:rPr>
          <w:rFonts w:hint="eastAsia" w:ascii="仿宋_GB2312" w:hAnsi="仿宋_GB2312" w:eastAsia="仿宋_GB2312" w:cs="仿宋_GB2312"/>
          <w:kern w:val="0"/>
          <w:sz w:val="32"/>
          <w:szCs w:val="32"/>
          <w:highlight w:val="none"/>
        </w:rPr>
        <w:t xml:space="preserve">招标，特邀请有兴趣的潜在投标人参加投标。 </w:t>
      </w:r>
    </w:p>
    <w:p w14:paraId="1CD11621">
      <w:pPr>
        <w:autoSpaceDE w:val="0"/>
        <w:adjustRightInd w:val="0"/>
        <w:snapToGrid w:val="0"/>
        <w:spacing w:line="560" w:lineRule="exact"/>
        <w:ind w:firstLine="640" w:firstLineChars="200"/>
        <w:jc w:val="left"/>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二、项目概况与招标范围</w:t>
      </w:r>
    </w:p>
    <w:p w14:paraId="514B3E68">
      <w:pPr>
        <w:spacing w:line="560" w:lineRule="exact"/>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2.1项目概况</w:t>
      </w:r>
    </w:p>
    <w:p w14:paraId="1F33D393">
      <w:pPr>
        <w:spacing w:line="560" w:lineRule="exact"/>
        <w:ind w:firstLine="640" w:firstLineChars="200"/>
        <w:rPr>
          <w:rFonts w:ascii="仿宋_GB2312" w:hAnsi="仿宋_GB2312" w:eastAsia="仿宋_GB2312" w:cs="仿宋_GB2312"/>
          <w:sz w:val="32"/>
          <w:szCs w:val="32"/>
          <w:highlight w:val="none"/>
          <w:u w:val="single"/>
        </w:rPr>
      </w:pPr>
      <w:r>
        <w:rPr>
          <w:rFonts w:hint="eastAsia" w:ascii="仿宋_GB2312" w:hAnsi="仿宋_GB2312" w:eastAsia="仿宋_GB2312" w:cs="仿宋_GB2312"/>
          <w:bCs/>
          <w:sz w:val="32"/>
          <w:szCs w:val="32"/>
          <w:highlight w:val="none"/>
        </w:rPr>
        <w:t>2.1.1建设地点：</w:t>
      </w:r>
      <w:r>
        <w:rPr>
          <w:rFonts w:hint="eastAsia" w:ascii="仿宋_GB2312" w:hAnsi="仿宋_GB2312" w:eastAsia="仿宋_GB2312" w:cs="仿宋_GB2312"/>
          <w:kern w:val="0"/>
          <w:sz w:val="32"/>
          <w:szCs w:val="32"/>
          <w:highlight w:val="none"/>
        </w:rPr>
        <w:t>常州市新北区。</w:t>
      </w:r>
    </w:p>
    <w:p w14:paraId="5E34E053">
      <w:pPr>
        <w:spacing w:line="560" w:lineRule="exact"/>
        <w:ind w:firstLine="640" w:firstLineChars="200"/>
        <w:rPr>
          <w:rFonts w:eastAsia="仿宋_GB2312"/>
          <w:highlight w:val="none"/>
        </w:rPr>
      </w:pPr>
      <w:r>
        <w:rPr>
          <w:rFonts w:hint="eastAsia" w:ascii="仿宋_GB2312" w:hAnsi="仿宋_GB2312" w:eastAsia="仿宋_GB2312" w:cs="仿宋_GB2312"/>
          <w:bCs/>
          <w:sz w:val="32"/>
          <w:szCs w:val="32"/>
          <w:highlight w:val="none"/>
        </w:rPr>
        <w:t>2.1.2建设规模：滨江智能装备企业港（南区）6#厂房</w:t>
      </w:r>
      <w:r>
        <w:rPr>
          <w:rFonts w:hint="eastAsia" w:ascii="仿宋_GB2312" w:hAnsi="华文仿宋" w:eastAsia="仿宋_GB2312" w:cs="华文仿宋"/>
          <w:sz w:val="32"/>
          <w:szCs w:val="32"/>
          <w:highlight w:val="none"/>
        </w:rPr>
        <w:t>，计划建设连接南区和北区的工业污水压力管道，接入北区西北角的现有接口。方案包括：沿东侧围墙布置管道，南区约</w:t>
      </w:r>
      <w:r>
        <w:rPr>
          <w:rFonts w:ascii="仿宋_GB2312" w:hAnsi="华文仿宋" w:eastAsia="仿宋_GB2312" w:cs="华文仿宋"/>
          <w:sz w:val="32"/>
          <w:szCs w:val="32"/>
          <w:highlight w:val="none"/>
        </w:rPr>
        <w:t>320米，北区约240米；南区北侧和北区南侧各设一段东西向管路，总长约400米；省庄河路部分采用DN100 PE管顶管牵引，总长约70米；港区大道部分在省庄河路西侧，管道总长约110米</w:t>
      </w:r>
      <w:r>
        <w:rPr>
          <w:rFonts w:hint="eastAsia" w:ascii="仿宋_GB2312" w:hAnsi="华文仿宋" w:eastAsia="仿宋_GB2312" w:cs="华文仿宋"/>
          <w:sz w:val="32"/>
          <w:szCs w:val="32"/>
          <w:highlight w:val="none"/>
        </w:rPr>
        <w:t>。施工内容详见图纸。</w:t>
      </w:r>
    </w:p>
    <w:p w14:paraId="43191752">
      <w:pPr>
        <w:spacing w:line="560" w:lineRule="exact"/>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2.1.3控制价：595512.69元</w:t>
      </w:r>
      <w:r>
        <w:rPr>
          <w:rFonts w:hint="eastAsia" w:ascii="仿宋_GB2312" w:hAnsi="仿宋_GB2312" w:eastAsia="仿宋_GB2312" w:cs="仿宋_GB2312"/>
          <w:bCs/>
          <w:color w:val="auto"/>
          <w:sz w:val="32"/>
          <w:szCs w:val="32"/>
          <w:highlight w:val="none"/>
        </w:rPr>
        <w:t>。</w:t>
      </w:r>
    </w:p>
    <w:p w14:paraId="02AA1894">
      <w:pPr>
        <w:spacing w:line="560" w:lineRule="exact"/>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2.1.4工期要求：35日历天</w:t>
      </w:r>
    </w:p>
    <w:p w14:paraId="3869D7D4">
      <w:pPr>
        <w:spacing w:line="560" w:lineRule="exact"/>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2.2招标范围：图纸及</w:t>
      </w:r>
      <w:r>
        <w:rPr>
          <w:rFonts w:hint="eastAsia" w:ascii="仿宋_GB2312" w:hAnsi="仿宋_GB2312" w:eastAsia="仿宋_GB2312" w:cs="仿宋_GB2312"/>
          <w:sz w:val="32"/>
          <w:szCs w:val="32"/>
          <w:highlight w:val="none"/>
        </w:rPr>
        <w:t>工程量清单（含编制说明）范围内全部工程</w:t>
      </w:r>
      <w:r>
        <w:rPr>
          <w:rFonts w:hint="eastAsia" w:ascii="仿宋_GB2312" w:hAnsi="仿宋_GB2312" w:eastAsia="仿宋_GB2312" w:cs="仿宋_GB2312"/>
          <w:bCs/>
          <w:sz w:val="32"/>
          <w:szCs w:val="32"/>
          <w:highlight w:val="none"/>
        </w:rPr>
        <w:t>。</w:t>
      </w:r>
    </w:p>
    <w:p w14:paraId="30670D26">
      <w:pPr>
        <w:autoSpaceDE w:val="0"/>
        <w:adjustRightInd w:val="0"/>
        <w:snapToGrid w:val="0"/>
        <w:spacing w:line="560" w:lineRule="exact"/>
        <w:ind w:firstLine="640" w:firstLineChars="200"/>
        <w:jc w:val="left"/>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三、投标人资格条件</w:t>
      </w:r>
    </w:p>
    <w:p w14:paraId="5DB234F7">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3.1投标人须具备</w:t>
      </w:r>
      <w:r>
        <w:rPr>
          <w:rFonts w:hint="eastAsia" w:ascii="仿宋_GB2312" w:hAnsi="仿宋_GB2312" w:eastAsia="仿宋_GB2312" w:cs="仿宋_GB2312"/>
          <w:kern w:val="0"/>
          <w:sz w:val="32"/>
          <w:szCs w:val="32"/>
          <w:highlight w:val="none"/>
          <w:u w:val="single"/>
        </w:rPr>
        <w:t>市政公用工程施工总承包三级及以上（资质）</w:t>
      </w:r>
      <w:r>
        <w:rPr>
          <w:rFonts w:hint="eastAsia" w:ascii="仿宋_GB2312" w:hAnsi="仿宋_GB2312" w:eastAsia="仿宋_GB2312" w:cs="仿宋_GB2312"/>
          <w:kern w:val="0"/>
          <w:sz w:val="32"/>
          <w:szCs w:val="32"/>
          <w:highlight w:val="none"/>
          <w:u w:val="none"/>
        </w:rPr>
        <w:t>，</w:t>
      </w:r>
      <w:r>
        <w:rPr>
          <w:rFonts w:hint="eastAsia" w:ascii="仿宋_GB2312" w:hAnsi="仿宋_GB2312" w:eastAsia="仿宋_GB2312" w:cs="仿宋_GB2312"/>
          <w:kern w:val="0"/>
          <w:sz w:val="32"/>
          <w:szCs w:val="32"/>
          <w:highlight w:val="none"/>
        </w:rPr>
        <w:t>并在人员、设备、资金等方面具有相应的施工能力。</w:t>
      </w:r>
    </w:p>
    <w:p w14:paraId="4FEF2C10">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3.2投标人拟派项目负责人须具备</w:t>
      </w:r>
      <w:r>
        <w:rPr>
          <w:rFonts w:hint="eastAsia" w:ascii="仿宋_GB2312" w:hAnsi="仿宋_GB2312" w:eastAsia="仿宋_GB2312" w:cs="仿宋_GB2312"/>
          <w:kern w:val="0"/>
          <w:sz w:val="32"/>
          <w:szCs w:val="32"/>
          <w:highlight w:val="none"/>
          <w:u w:val="single"/>
        </w:rPr>
        <w:t>市政公用工程二级及以上注册建造师</w:t>
      </w:r>
      <w:r>
        <w:rPr>
          <w:rFonts w:hint="eastAsia" w:ascii="仿宋_GB2312" w:hAnsi="仿宋_GB2312" w:eastAsia="仿宋_GB2312" w:cs="仿宋_GB2312"/>
          <w:kern w:val="0"/>
          <w:sz w:val="32"/>
          <w:szCs w:val="32"/>
          <w:highlight w:val="none"/>
        </w:rPr>
        <w:t>（资格）。</w:t>
      </w:r>
    </w:p>
    <w:p w14:paraId="61191C06">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3.3本次招标</w:t>
      </w:r>
      <w:r>
        <w:rPr>
          <w:rFonts w:hint="eastAsia" w:ascii="仿宋_GB2312" w:hAnsi="仿宋_GB2312" w:eastAsia="仿宋_GB2312" w:cs="仿宋_GB2312"/>
          <w:kern w:val="0"/>
          <w:sz w:val="32"/>
          <w:szCs w:val="32"/>
          <w:highlight w:val="none"/>
          <w:u w:val="single"/>
        </w:rPr>
        <w:t>不接受</w:t>
      </w:r>
      <w:r>
        <w:rPr>
          <w:rFonts w:hint="eastAsia" w:ascii="仿宋_GB2312" w:hAnsi="仿宋_GB2312" w:eastAsia="仿宋_GB2312" w:cs="仿宋_GB2312"/>
          <w:kern w:val="0"/>
          <w:sz w:val="32"/>
          <w:szCs w:val="32"/>
          <w:highlight w:val="none"/>
        </w:rPr>
        <w:t>（接受/不接受）联合体投标。</w:t>
      </w:r>
    </w:p>
    <w:p w14:paraId="69EAF1E4">
      <w:pPr>
        <w:autoSpaceDE w:val="0"/>
        <w:adjustRightInd w:val="0"/>
        <w:snapToGrid w:val="0"/>
        <w:spacing w:line="560" w:lineRule="exact"/>
        <w:ind w:firstLine="640" w:firstLineChars="200"/>
        <w:jc w:val="left"/>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四、招标文件的获取</w:t>
      </w:r>
    </w:p>
    <w:p w14:paraId="65C6D9D3">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4.1招标文件获取时间为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2025年6月6日至2025年6月13日；</w:t>
      </w:r>
    </w:p>
    <w:p w14:paraId="56A1733D">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4.2招标文件获取方式：</w:t>
      </w:r>
    </w:p>
    <w:p w14:paraId="134E8A99">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（1）投标人首先应注册成为E交易平台网站会员，详见会员操作指南。</w:t>
      </w:r>
    </w:p>
    <w:p w14:paraId="2F3742BB">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（2）投标人按系统提示交纳相关费用后在规定的报名时间内下载招标文件。</w:t>
      </w:r>
    </w:p>
    <w:p w14:paraId="70AEEEFA">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4.3相关费用：</w:t>
      </w:r>
    </w:p>
    <w:p w14:paraId="325F7C57">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（1）招标文件资料费：人民币300元整。</w:t>
      </w:r>
    </w:p>
    <w:p w14:paraId="0D7ABB2F">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投标人所需电子发票开票的操作如下：投标人登录E交易平台网站会员网上系统---点击进入后台---资金管理---标书费电子发票打印或服务费电子发票打印---右侧点击“开具蓝票”按钮，补充完善开票信息后，点击开票。</w:t>
      </w:r>
    </w:p>
    <w:p w14:paraId="5B35D6CD">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（2）平台服务费：由中标人按E交易系统提示操作。平台服务费收款单位：江苏易交易信息科技有限公司，发票由江苏易交易信息科技有限公司开具。</w:t>
      </w:r>
    </w:p>
    <w:p w14:paraId="5F51443A">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注：</w:t>
      </w:r>
    </w:p>
    <w:p w14:paraId="3DE5CD84">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1）下载者首次登录平台前，须前往平台免费注册，注册成功且完善相关信息后，可以及时参与平台上所有发布的项目；</w:t>
      </w:r>
    </w:p>
    <w:p w14:paraId="4B4B29B7">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2）平台网站首页“帮助中心”提供操作手册，下载者可以下载并根据操作手册提示进行注册、登录等操作。平台咨询电话为：400-828-9082。平台会通过短信提醒下载者进行注册、支付、下载等操作；</w:t>
      </w:r>
    </w:p>
    <w:p w14:paraId="3ACD11CC">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3）非因代理机构或平台原因，发票一经开具不予退换。</w:t>
      </w:r>
    </w:p>
    <w:p w14:paraId="35AFC2E8">
      <w:pPr>
        <w:autoSpaceDE w:val="0"/>
        <w:adjustRightInd w:val="0"/>
        <w:snapToGrid w:val="0"/>
        <w:spacing w:line="560" w:lineRule="exact"/>
        <w:ind w:firstLine="640" w:firstLineChars="200"/>
        <w:jc w:val="left"/>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五、投标截止时间</w:t>
      </w:r>
    </w:p>
    <w:p w14:paraId="7E3B597F">
      <w:pPr>
        <w:widowControl/>
        <w:spacing w:line="560" w:lineRule="exact"/>
        <w:ind w:firstLine="640" w:firstLineChars="200"/>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5.1投标截止时间为：</w:t>
      </w:r>
      <w:r>
        <w:rPr>
          <w:rFonts w:hint="eastAsia" w:ascii="仿宋_GB2312" w:hAnsi="仿宋_GB2312" w:eastAsia="仿宋_GB2312" w:cs="仿宋_GB2312"/>
          <w:bCs/>
          <w:kern w:val="0"/>
          <w:sz w:val="32"/>
          <w:szCs w:val="32"/>
          <w:highlight w:val="none"/>
          <w:u w:val="single"/>
        </w:rPr>
        <w:t>2025年6月17日14时00分（北京时间）</w:t>
      </w:r>
      <w:r>
        <w:rPr>
          <w:rFonts w:hint="eastAsia" w:ascii="仿宋_GB2312" w:hAnsi="仿宋_GB2312" w:eastAsia="仿宋_GB2312" w:cs="仿宋_GB2312"/>
          <w:bCs/>
          <w:kern w:val="0"/>
          <w:sz w:val="32"/>
          <w:szCs w:val="32"/>
          <w:highlight w:val="none"/>
        </w:rPr>
        <w:t>。</w:t>
      </w:r>
    </w:p>
    <w:p w14:paraId="069CFEF7">
      <w:pPr>
        <w:widowControl/>
        <w:spacing w:line="560" w:lineRule="exact"/>
        <w:ind w:firstLine="640" w:firstLineChars="200"/>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5.2地点：</w:t>
      </w:r>
      <w:r>
        <w:rPr>
          <w:rFonts w:hint="eastAsia" w:ascii="仿宋_GB2312" w:hAnsi="仿宋_GB2312" w:eastAsia="仿宋_GB2312" w:cs="仿宋_GB2312"/>
          <w:bCs/>
          <w:sz w:val="32"/>
          <w:szCs w:val="32"/>
          <w:highlight w:val="none"/>
          <w:lang w:bidi="ar"/>
        </w:rPr>
        <w:t>常州市新北区龙锦路1259-2号</w:t>
      </w:r>
      <w:r>
        <w:rPr>
          <w:rFonts w:ascii="仿宋_GB2312" w:hAnsi="仿宋_GB2312" w:eastAsia="仿宋_GB2312" w:cs="仿宋_GB2312"/>
          <w:bCs/>
          <w:sz w:val="32"/>
          <w:szCs w:val="32"/>
          <w:highlight w:val="none"/>
          <w:lang w:bidi="ar"/>
        </w:rPr>
        <w:t>10</w:t>
      </w:r>
      <w:r>
        <w:rPr>
          <w:rFonts w:hint="eastAsia" w:ascii="仿宋_GB2312" w:hAnsi="仿宋_GB2312" w:eastAsia="仿宋_GB2312" w:cs="仿宋_GB2312"/>
          <w:bCs/>
          <w:sz w:val="32"/>
          <w:szCs w:val="32"/>
          <w:highlight w:val="none"/>
          <w:lang w:bidi="ar"/>
        </w:rPr>
        <w:t>楼</w:t>
      </w:r>
      <w:r>
        <w:rPr>
          <w:rFonts w:hint="eastAsia" w:ascii="仿宋_GB2312" w:hAnsi="仿宋_GB2312" w:eastAsia="仿宋_GB2312" w:cs="仿宋_GB2312"/>
          <w:bCs/>
          <w:kern w:val="0"/>
          <w:sz w:val="32"/>
          <w:szCs w:val="32"/>
          <w:highlight w:val="none"/>
        </w:rPr>
        <w:t xml:space="preserve">。 </w:t>
      </w:r>
    </w:p>
    <w:p w14:paraId="3B135F1F">
      <w:pPr>
        <w:spacing w:line="560" w:lineRule="exact"/>
        <w:ind w:firstLine="640" w:firstLineChars="200"/>
        <w:rPr>
          <w:rFonts w:ascii="仿宋_GB2312" w:hAnsi="仿宋_GB2312" w:eastAsia="仿宋_GB2312" w:cs="仿宋_GB2312"/>
          <w:b/>
          <w:bCs/>
          <w:sz w:val="32"/>
          <w:szCs w:val="32"/>
          <w:highlight w:val="none"/>
        </w:rPr>
      </w:pPr>
      <w:r>
        <w:rPr>
          <w:rFonts w:hint="eastAsia" w:ascii="黑体" w:hAnsi="宋体" w:eastAsia="黑体" w:cs="黑体"/>
          <w:bCs/>
          <w:sz w:val="32"/>
          <w:szCs w:val="32"/>
          <w:highlight w:val="none"/>
          <w:lang w:bidi="ar"/>
        </w:rPr>
        <w:t>六、资格审查</w:t>
      </w:r>
      <w:r>
        <w:rPr>
          <w:rFonts w:hint="eastAsia" w:ascii="仿宋_GB2312" w:hAnsi="仿宋_GB2312" w:eastAsia="仿宋_GB2312" w:cs="仿宋_GB2312"/>
          <w:b/>
          <w:bCs/>
          <w:sz w:val="32"/>
          <w:szCs w:val="32"/>
          <w:highlight w:val="none"/>
        </w:rPr>
        <w:t xml:space="preserve"> </w:t>
      </w:r>
    </w:p>
    <w:p w14:paraId="71A96BFC">
      <w:pPr>
        <w:widowControl/>
        <w:spacing w:line="560" w:lineRule="exact"/>
        <w:ind w:firstLine="640" w:firstLineChars="200"/>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本次招标采用</w:t>
      </w:r>
      <w:r>
        <w:rPr>
          <w:rFonts w:hint="eastAsia" w:ascii="仿宋_GB2312" w:hAnsi="仿宋_GB2312" w:eastAsia="仿宋_GB2312" w:cs="仿宋_GB2312"/>
          <w:b/>
          <w:kern w:val="0"/>
          <w:sz w:val="32"/>
          <w:szCs w:val="32"/>
          <w:highlight w:val="none"/>
          <w:u w:val="single"/>
        </w:rPr>
        <w:t>资格后审（见面开标）</w:t>
      </w:r>
      <w:r>
        <w:rPr>
          <w:rFonts w:hint="eastAsia" w:ascii="仿宋_GB2312" w:hAnsi="仿宋_GB2312" w:eastAsia="仿宋_GB2312" w:cs="仿宋_GB2312"/>
          <w:bCs/>
          <w:kern w:val="0"/>
          <w:sz w:val="32"/>
          <w:szCs w:val="32"/>
          <w:highlight w:val="none"/>
        </w:rPr>
        <w:t>方式进行资格审查，资格评审标准详见本招标公告附件一资格审查办法。</w:t>
      </w:r>
    </w:p>
    <w:p w14:paraId="7EABE432">
      <w:pPr>
        <w:autoSpaceDE w:val="0"/>
        <w:adjustRightInd w:val="0"/>
        <w:snapToGrid w:val="0"/>
        <w:spacing w:line="560" w:lineRule="exact"/>
        <w:ind w:firstLine="640" w:firstLineChars="200"/>
        <w:jc w:val="left"/>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七、评标办法</w:t>
      </w:r>
    </w:p>
    <w:p w14:paraId="0D22D708">
      <w:pPr>
        <w:widowControl/>
        <w:spacing w:line="560" w:lineRule="exact"/>
        <w:ind w:firstLine="640" w:firstLineChars="200"/>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本次招标采用</w:t>
      </w:r>
      <w:r>
        <w:rPr>
          <w:rFonts w:hint="eastAsia" w:ascii="仿宋_GB2312" w:hAnsi="仿宋_GB2312" w:eastAsia="仿宋_GB2312" w:cs="仿宋_GB2312"/>
          <w:sz w:val="32"/>
          <w:szCs w:val="32"/>
          <w:highlight w:val="none"/>
          <w:u w:val="single"/>
        </w:rPr>
        <w:t xml:space="preserve">  □综合评估法    □合理低价法  ☑经评审的最低投标价法 </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bCs/>
          <w:kern w:val="0"/>
          <w:sz w:val="32"/>
          <w:szCs w:val="32"/>
          <w:highlight w:val="none"/>
        </w:rPr>
        <w:t xml:space="preserve">评标标准和方法详见本招标公告附件二。 </w:t>
      </w:r>
    </w:p>
    <w:p w14:paraId="4F0D279A">
      <w:pPr>
        <w:autoSpaceDE w:val="0"/>
        <w:adjustRightInd w:val="0"/>
        <w:snapToGrid w:val="0"/>
        <w:spacing w:line="560" w:lineRule="exact"/>
        <w:ind w:firstLine="640" w:firstLineChars="200"/>
        <w:jc w:val="left"/>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八、发布公告的媒介</w:t>
      </w:r>
    </w:p>
    <w:p w14:paraId="6673B3CB">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本次招标公告同时在常州高新区管委会（新北区人民政府）网站、E交易平台网站、江苏中冠工程咨询有限公司网上发布。</w:t>
      </w:r>
    </w:p>
    <w:p w14:paraId="6B03EDCC">
      <w:pPr>
        <w:spacing w:line="560" w:lineRule="exact"/>
        <w:ind w:firstLine="640" w:firstLineChars="200"/>
        <w:rPr>
          <w:rFonts w:ascii="宋体" w:hAnsi="宋体" w:cs="宋体"/>
          <w:kern w:val="0"/>
          <w:sz w:val="24"/>
          <w:highlight w:val="none"/>
        </w:rPr>
      </w:pPr>
      <w:r>
        <w:rPr>
          <w:rFonts w:hint="eastAsia" w:ascii="黑体" w:hAnsi="宋体" w:eastAsia="黑体" w:cs="黑体"/>
          <w:bCs/>
          <w:sz w:val="32"/>
          <w:szCs w:val="32"/>
          <w:highlight w:val="none"/>
          <w:lang w:bidi="ar"/>
        </w:rPr>
        <w:t xml:space="preserve">九、联系方式 </w:t>
      </w:r>
      <w:r>
        <w:rPr>
          <w:rFonts w:hint="eastAsia" w:ascii="宋体" w:hAnsi="宋体" w:cs="宋体"/>
          <w:kern w:val="0"/>
          <w:sz w:val="24"/>
          <w:highlight w:val="none"/>
        </w:rPr>
        <w:t xml:space="preserve">                      </w:t>
      </w:r>
    </w:p>
    <w:tbl>
      <w:tblPr>
        <w:tblStyle w:val="13"/>
        <w:tblW w:w="10031" w:type="dxa"/>
        <w:tblInd w:w="0" w:type="dxa"/>
        <w:tblLayout w:type="autofit"/>
        <w:tblCellMar>
          <w:top w:w="0" w:type="dxa"/>
          <w:left w:w="108" w:type="dxa"/>
          <w:bottom w:w="0" w:type="dxa"/>
          <w:right w:w="108" w:type="dxa"/>
        </w:tblCellMar>
      </w:tblPr>
      <w:tblGrid>
        <w:gridCol w:w="4558"/>
        <w:gridCol w:w="5473"/>
      </w:tblGrid>
      <w:tr w14:paraId="4D7FE613">
        <w:tblPrEx>
          <w:tblCellMar>
            <w:top w:w="0" w:type="dxa"/>
            <w:left w:w="108" w:type="dxa"/>
            <w:bottom w:w="0" w:type="dxa"/>
            <w:right w:w="108" w:type="dxa"/>
          </w:tblCellMar>
        </w:tblPrEx>
        <w:trPr>
          <w:trHeight w:val="454" w:hRule="atLeast"/>
        </w:trPr>
        <w:tc>
          <w:tcPr>
            <w:tcW w:w="4558" w:type="dxa"/>
          </w:tcPr>
          <w:p w14:paraId="75A35619">
            <w:pPr>
              <w:autoSpaceDE w:val="0"/>
              <w:spacing w:line="560" w:lineRule="exact"/>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招标人：常州滨江安居置业有限公司</w:t>
            </w:r>
          </w:p>
        </w:tc>
        <w:tc>
          <w:tcPr>
            <w:tcW w:w="5473" w:type="dxa"/>
          </w:tcPr>
          <w:p w14:paraId="3D8DE6B7">
            <w:pPr>
              <w:autoSpaceDE w:val="0"/>
              <w:spacing w:line="560" w:lineRule="exact"/>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招标代理机构：江苏中冠工程咨询有限公司</w:t>
            </w:r>
          </w:p>
        </w:tc>
      </w:tr>
      <w:tr w14:paraId="1AE52057">
        <w:tblPrEx>
          <w:tblCellMar>
            <w:top w:w="0" w:type="dxa"/>
            <w:left w:w="108" w:type="dxa"/>
            <w:bottom w:w="0" w:type="dxa"/>
            <w:right w:w="108" w:type="dxa"/>
          </w:tblCellMar>
        </w:tblPrEx>
        <w:trPr>
          <w:trHeight w:val="454" w:hRule="atLeast"/>
        </w:trPr>
        <w:tc>
          <w:tcPr>
            <w:tcW w:w="4558" w:type="dxa"/>
          </w:tcPr>
          <w:p w14:paraId="6FA7A36A">
            <w:pPr>
              <w:autoSpaceDE w:val="0"/>
              <w:spacing w:line="560" w:lineRule="exact"/>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地址：常州市新北区东海路202号24幢</w:t>
            </w:r>
          </w:p>
        </w:tc>
        <w:tc>
          <w:tcPr>
            <w:tcW w:w="5473" w:type="dxa"/>
          </w:tcPr>
          <w:p w14:paraId="512C4379">
            <w:pPr>
              <w:autoSpaceDE w:val="0"/>
              <w:spacing w:line="560" w:lineRule="exact"/>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地址：江苏省常州市新北区龙锦路1259-2号901室</w:t>
            </w:r>
          </w:p>
        </w:tc>
      </w:tr>
      <w:tr w14:paraId="31DE3882">
        <w:tblPrEx>
          <w:tblCellMar>
            <w:top w:w="0" w:type="dxa"/>
            <w:left w:w="108" w:type="dxa"/>
            <w:bottom w:w="0" w:type="dxa"/>
            <w:right w:w="108" w:type="dxa"/>
          </w:tblCellMar>
        </w:tblPrEx>
        <w:trPr>
          <w:trHeight w:val="467" w:hRule="atLeast"/>
        </w:trPr>
        <w:tc>
          <w:tcPr>
            <w:tcW w:w="4558" w:type="dxa"/>
          </w:tcPr>
          <w:p w14:paraId="61FD4043">
            <w:pPr>
              <w:autoSpaceDE w:val="0"/>
              <w:spacing w:line="560" w:lineRule="exact"/>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联系人：祁女士</w:t>
            </w:r>
          </w:p>
        </w:tc>
        <w:tc>
          <w:tcPr>
            <w:tcW w:w="5473" w:type="dxa"/>
          </w:tcPr>
          <w:p w14:paraId="5390F249">
            <w:pPr>
              <w:autoSpaceDE w:val="0"/>
              <w:spacing w:line="560" w:lineRule="exact"/>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联系人：王欢</w:t>
            </w:r>
          </w:p>
        </w:tc>
      </w:tr>
      <w:tr w14:paraId="67EB6A62">
        <w:tblPrEx>
          <w:tblCellMar>
            <w:top w:w="0" w:type="dxa"/>
            <w:left w:w="108" w:type="dxa"/>
            <w:bottom w:w="0" w:type="dxa"/>
            <w:right w:w="108" w:type="dxa"/>
          </w:tblCellMar>
        </w:tblPrEx>
        <w:trPr>
          <w:trHeight w:val="454" w:hRule="atLeast"/>
        </w:trPr>
        <w:tc>
          <w:tcPr>
            <w:tcW w:w="4558" w:type="dxa"/>
          </w:tcPr>
          <w:p w14:paraId="7F7F5AE0">
            <w:pPr>
              <w:autoSpaceDE w:val="0"/>
              <w:spacing w:line="560" w:lineRule="exact"/>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电话：0519-85582503</w:t>
            </w:r>
          </w:p>
        </w:tc>
        <w:tc>
          <w:tcPr>
            <w:tcW w:w="5473" w:type="dxa"/>
          </w:tcPr>
          <w:p w14:paraId="05AE6E1C">
            <w:pPr>
              <w:autoSpaceDE w:val="0"/>
              <w:spacing w:line="560" w:lineRule="exact"/>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电话：0519-85581855</w:t>
            </w:r>
          </w:p>
        </w:tc>
      </w:tr>
    </w:tbl>
    <w:p w14:paraId="50DC3106">
      <w:pPr>
        <w:spacing w:line="560" w:lineRule="exact"/>
        <w:ind w:firstLine="562" w:firstLineChars="200"/>
        <w:rPr>
          <w:rFonts w:ascii="宋体" w:hAnsi="宋体" w:cs="Arial"/>
          <w:b/>
          <w:bCs/>
          <w:kern w:val="0"/>
          <w:sz w:val="28"/>
          <w:szCs w:val="28"/>
          <w:highlight w:val="none"/>
        </w:rPr>
      </w:pPr>
    </w:p>
    <w:p w14:paraId="23DE8C7A">
      <w:pPr>
        <w:pStyle w:val="2"/>
        <w:ind w:firstLine="280"/>
        <w:rPr>
          <w:highlight w:val="none"/>
        </w:rPr>
      </w:pPr>
    </w:p>
    <w:p w14:paraId="0A40014F">
      <w:pPr>
        <w:autoSpaceDE w:val="0"/>
        <w:spacing w:line="560" w:lineRule="exact"/>
        <w:ind w:firstLine="640" w:firstLineChars="200"/>
        <w:jc w:val="left"/>
        <w:rPr>
          <w:rFonts w:ascii="仿宋_GB2312" w:hAnsi="仿宋_GB2312" w:eastAsia="仿宋_GB2312" w:cs="仿宋_GB2312"/>
          <w:bCs/>
          <w:sz w:val="32"/>
          <w:szCs w:val="32"/>
          <w:highlight w:val="none"/>
          <w:lang w:bidi="ar"/>
        </w:rPr>
      </w:pPr>
      <w:bookmarkStart w:id="0" w:name="_Toc522797139"/>
      <w:bookmarkStart w:id="1" w:name="_Toc32718"/>
      <w:bookmarkStart w:id="2" w:name="_Toc389065130"/>
      <w:r>
        <w:rPr>
          <w:rFonts w:hint="eastAsia" w:ascii="仿宋_GB2312" w:hAnsi="仿宋_GB2312" w:eastAsia="仿宋_GB2312" w:cs="仿宋_GB2312"/>
          <w:bCs/>
          <w:sz w:val="32"/>
          <w:szCs w:val="32"/>
          <w:highlight w:val="none"/>
          <w:lang w:bidi="ar"/>
        </w:rPr>
        <w:t>友情提醒：</w:t>
      </w:r>
    </w:p>
    <w:bookmarkEnd w:id="0"/>
    <w:bookmarkEnd w:id="1"/>
    <w:bookmarkEnd w:id="2"/>
    <w:p w14:paraId="45B11C98">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1．信息公布、招投标答疑:常州国家高新区管委会（新北区人民政府）网、江苏中冠工程咨询有限公司网、E交易网。</w:t>
      </w:r>
    </w:p>
    <w:p w14:paraId="55039D90">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２．投标人可在本公告发布网页的后续公告栏内查阅本次招投标的“公告发布、招标文件答疑澄清”等全部相关消息，因未能及时了解相关最新信息所引起的投标失误责任自负。</w:t>
      </w:r>
    </w:p>
    <w:p w14:paraId="43AD2F95">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３．投标人对招标公告及文件如有异议请联系招标人或招标代理机构。</w:t>
      </w:r>
    </w:p>
    <w:p w14:paraId="518A45F3">
      <w:pPr>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br w:type="page"/>
      </w:r>
    </w:p>
    <w:p w14:paraId="4F3F7A03">
      <w:pPr>
        <w:autoSpaceDE w:val="0"/>
        <w:adjustRightInd w:val="0"/>
        <w:snapToGrid w:val="0"/>
        <w:spacing w:line="560" w:lineRule="exact"/>
        <w:jc w:val="left"/>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附件1</w:t>
      </w:r>
    </w:p>
    <w:p w14:paraId="28E0E7CA">
      <w:pPr>
        <w:autoSpaceDE w:val="0"/>
        <w:spacing w:line="560" w:lineRule="exact"/>
        <w:ind w:firstLine="880" w:firstLineChars="200"/>
        <w:jc w:val="center"/>
        <w:outlineLvl w:val="0"/>
        <w:rPr>
          <w:rFonts w:ascii="方正小标宋简体" w:eastAsia="方正小标宋简体" w:cs="方正小标宋简体"/>
          <w:bCs/>
          <w:kern w:val="44"/>
          <w:sz w:val="44"/>
          <w:szCs w:val="44"/>
          <w:highlight w:val="none"/>
          <w:lang w:bidi="ar"/>
        </w:rPr>
      </w:pPr>
      <w:r>
        <w:rPr>
          <w:rFonts w:hint="eastAsia" w:ascii="方正小标宋简体" w:eastAsia="方正小标宋简体" w:cs="方正小标宋简体"/>
          <w:bCs/>
          <w:kern w:val="44"/>
          <w:sz w:val="44"/>
          <w:szCs w:val="44"/>
          <w:highlight w:val="none"/>
          <w:lang w:bidi="ar"/>
        </w:rPr>
        <w:t>资格审查办法（资格后审）</w:t>
      </w:r>
    </w:p>
    <w:p w14:paraId="257ABC0E">
      <w:pPr>
        <w:spacing w:line="560" w:lineRule="exact"/>
        <w:ind w:firstLine="640" w:firstLineChars="200"/>
        <w:rPr>
          <w:rFonts w:ascii="仿宋_GB2312" w:hAnsi="仿宋_GB2312" w:eastAsia="仿宋_GB2312" w:cs="仿宋_GB2312"/>
          <w:sz w:val="32"/>
          <w:szCs w:val="32"/>
          <w:highlight w:val="none"/>
        </w:rPr>
      </w:pPr>
      <w:r>
        <w:rPr>
          <w:rFonts w:hint="eastAsia" w:ascii="黑体" w:hAnsi="宋体" w:eastAsia="黑体" w:cs="黑体"/>
          <w:bCs/>
          <w:sz w:val="32"/>
          <w:szCs w:val="32"/>
          <w:highlight w:val="none"/>
          <w:lang w:bidi="ar"/>
        </w:rPr>
        <w:t>一、本工程由招标人委托的评标委员会采用</w:t>
      </w:r>
      <w:r>
        <w:rPr>
          <w:rFonts w:hint="eastAsia" w:ascii="黑体" w:hAnsi="宋体" w:eastAsia="黑体" w:cs="黑体"/>
          <w:bCs/>
          <w:sz w:val="32"/>
          <w:szCs w:val="32"/>
          <w:highlight w:val="none"/>
          <w:u w:val="single"/>
          <w:lang w:bidi="ar"/>
        </w:rPr>
        <w:t xml:space="preserve"> 资格后审 </w:t>
      </w:r>
      <w:r>
        <w:rPr>
          <w:rFonts w:hint="eastAsia" w:ascii="黑体" w:hAnsi="宋体" w:eastAsia="黑体" w:cs="黑体"/>
          <w:bCs/>
          <w:sz w:val="32"/>
          <w:szCs w:val="32"/>
          <w:highlight w:val="none"/>
          <w:lang w:bidi="ar"/>
        </w:rPr>
        <w:t>对投标人进行资格审查。</w:t>
      </w:r>
      <w:r>
        <w:rPr>
          <w:rFonts w:hint="eastAsia" w:ascii="仿宋_GB2312" w:hAnsi="仿宋_GB2312" w:eastAsia="仿宋_GB2312" w:cs="仿宋_GB2312"/>
          <w:sz w:val="32"/>
          <w:szCs w:val="32"/>
          <w:highlight w:val="none"/>
        </w:rPr>
        <w:t xml:space="preserve"> </w:t>
      </w:r>
    </w:p>
    <w:p w14:paraId="391F5971">
      <w:pPr>
        <w:spacing w:line="560" w:lineRule="exact"/>
        <w:ind w:firstLine="640" w:firstLineChars="200"/>
        <w:rPr>
          <w:rFonts w:ascii="仿宋_GB2312" w:hAnsi="仿宋_GB2312" w:eastAsia="仿宋_GB2312" w:cs="仿宋_GB2312"/>
          <w:sz w:val="32"/>
          <w:szCs w:val="32"/>
          <w:highlight w:val="none"/>
        </w:rPr>
      </w:pPr>
      <w:r>
        <w:rPr>
          <w:rFonts w:hint="eastAsia" w:ascii="黑体" w:hAnsi="宋体" w:eastAsia="黑体" w:cs="黑体"/>
          <w:bCs/>
          <w:sz w:val="32"/>
          <w:szCs w:val="32"/>
          <w:highlight w:val="none"/>
          <w:lang w:bidi="ar"/>
        </w:rPr>
        <w:t>二、本工程资审合格条件：</w:t>
      </w:r>
      <w:r>
        <w:rPr>
          <w:rFonts w:hint="eastAsia" w:ascii="仿宋_GB2312" w:hAnsi="仿宋_GB2312" w:eastAsia="仿宋_GB2312" w:cs="仿宋_GB2312"/>
          <w:sz w:val="32"/>
          <w:szCs w:val="32"/>
          <w:highlight w:val="none"/>
        </w:rPr>
        <w:t xml:space="preserve"> </w:t>
      </w:r>
    </w:p>
    <w:p w14:paraId="51DE6301">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1．具有独立签订合同的能力； </w:t>
      </w:r>
    </w:p>
    <w:p w14:paraId="209A3A0D">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2．未处于被责令停业、投标资格被取消状态； </w:t>
      </w:r>
    </w:p>
    <w:p w14:paraId="6C753B98">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3．企业没有因骗取中标或者严重违约以及发生重大工程质量、安全生产事故等违法违规问题，被有关部门暂停投标资格并在暂停期内的；</w:t>
      </w:r>
    </w:p>
    <w:p w14:paraId="6D43E3ED">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4．投标文件中的资格审查资料没有失真或者弄虚作假；</w:t>
      </w:r>
    </w:p>
    <w:p w14:paraId="18B88FA7">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5．企业的资质类别、等级和项目负责人注册专业、资格等级符合国家有关规定；</w:t>
      </w:r>
    </w:p>
    <w:p w14:paraId="63816099">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6．企业具备安全生产条件，并取得安全生产许可证（相关规定不作要求的除外）；</w:t>
      </w:r>
    </w:p>
    <w:p w14:paraId="42B4AB30">
      <w:pPr>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7．投标人在投标文件递交截止时间当日，对于本次招标文件中要求的企业资质，投标人的建筑业企业资质动态监管结果均不得处于不合格状态； </w:t>
      </w:r>
    </w:p>
    <w:p w14:paraId="2E8EDE76">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8．项目负责人必须满足下列条件：</w:t>
      </w:r>
    </w:p>
    <w:p w14:paraId="1EBAB410">
      <w:pPr>
        <w:widowControl/>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（1）投标人拟派项目负责人须具备</w:t>
      </w:r>
      <w:r>
        <w:rPr>
          <w:rFonts w:hint="eastAsia" w:ascii="仿宋_GB2312" w:hAnsi="仿宋_GB2312" w:eastAsia="仿宋_GB2312" w:cs="仿宋_GB2312"/>
          <w:b/>
          <w:bCs/>
          <w:kern w:val="0"/>
          <w:sz w:val="32"/>
          <w:szCs w:val="32"/>
          <w:highlight w:val="none"/>
          <w:u w:val="single"/>
        </w:rPr>
        <w:t>市政公用工程二级及以上注册建造师</w:t>
      </w:r>
      <w:r>
        <w:rPr>
          <w:rFonts w:hint="eastAsia" w:ascii="仿宋_GB2312" w:hAnsi="仿宋_GB2312" w:eastAsia="仿宋_GB2312" w:cs="仿宋_GB2312"/>
          <w:sz w:val="32"/>
          <w:szCs w:val="32"/>
          <w:highlight w:val="none"/>
        </w:rPr>
        <w:t>。</w:t>
      </w:r>
    </w:p>
    <w:p w14:paraId="4DCFE04D">
      <w:pPr>
        <w:widowControl/>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（2）项目负责人不得同时在两个或者两个以上单位受聘或者执业,且无在建工程。</w:t>
      </w:r>
    </w:p>
    <w:p w14:paraId="2986546C">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w:t>
      </w:r>
      <w:r>
        <w:rPr>
          <w:rFonts w:hint="eastAsia" w:ascii="仿宋_GB2312" w:hAnsi="仿宋_GB2312" w:eastAsia="仿宋_GB2312" w:cs="仿宋_GB2312"/>
          <w:kern w:val="0"/>
          <w:sz w:val="32"/>
          <w:szCs w:val="32"/>
          <w:highlight w:val="none"/>
        </w:rPr>
        <w:t>工程属于同一工程项目</w:t>
      </w:r>
      <w:r>
        <w:rPr>
          <w:rFonts w:hint="eastAsia" w:ascii="仿宋_GB2312" w:hAnsi="仿宋_GB2312" w:eastAsia="仿宋_GB2312" w:cs="仿宋_GB2312"/>
          <w:sz w:val="32"/>
          <w:szCs w:val="32"/>
          <w:highlight w:val="none"/>
        </w:rPr>
        <w:t>、同一项目批文、同一施工地点分段发包或分期施工的情况且总的工程规模在项目负责人执业范围之内。</w:t>
      </w:r>
    </w:p>
    <w:p w14:paraId="010B8F6B">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9．类似工程业绩要求：/；</w:t>
      </w:r>
    </w:p>
    <w:p w14:paraId="124C465F">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w:t>
      </w:r>
      <w:bookmarkStart w:id="3" w:name="OLE_LINK2"/>
      <w:r>
        <w:rPr>
          <w:rFonts w:hint="eastAsia" w:ascii="仿宋_GB2312" w:hAnsi="仿宋_GB2312" w:eastAsia="仿宋_GB2312" w:cs="仿宋_GB2312"/>
          <w:sz w:val="32"/>
          <w:szCs w:val="32"/>
          <w:highlight w:val="none"/>
        </w:rPr>
        <w:t>投标人及项目负责人</w:t>
      </w:r>
      <w:bookmarkEnd w:id="3"/>
      <w:r>
        <w:rPr>
          <w:rFonts w:hint="eastAsia" w:ascii="仿宋_GB2312" w:hAnsi="仿宋_GB2312" w:eastAsia="仿宋_GB2312" w:cs="仿宋_GB2312"/>
          <w:sz w:val="32"/>
          <w:szCs w:val="32"/>
          <w:highlight w:val="none"/>
        </w:rPr>
        <w:t>其他要求：</w:t>
      </w:r>
    </w:p>
    <w:p w14:paraId="7334E87C">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（1）企业和拟派项目负责人近三个月（从投标截止时间往前推算）内均没有因串通投标、弄虚作假、以他人名义投标、骗取中标、转包、违法分包等违法行为受到建设等有关部门行政处罚的；</w:t>
      </w:r>
    </w:p>
    <w:p w14:paraId="7C5E6C8E">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（2）企业近1年内（从投标截止日期往前推算）没有无正当理由放弃中标资格（不含项目负责人多投多中后放弃）、不与招标人订立合同、拒不提供履约担保情形的；</w:t>
      </w:r>
    </w:p>
    <w:p w14:paraId="2E99879F">
      <w:pPr>
        <w:adjustRightInd w:val="0"/>
        <w:spacing w:line="560" w:lineRule="exact"/>
        <w:ind w:firstLine="640" w:firstLineChars="200"/>
        <w:jc w:val="left"/>
        <w:textAlignment w:val="baseline"/>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（3）企业近3个月（从投标截止时间往前推算）内没有因拖欠工人工资被招标项目所在地省、市、县（市、区）建设行政主管部门行政处罚的。（本条内容与招标文件中所载不一致的，以本招标公告为准）；</w:t>
      </w:r>
    </w:p>
    <w:p w14:paraId="5E34BEED">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11．本次招标</w:t>
      </w:r>
      <w:r>
        <w:rPr>
          <w:rFonts w:hint="eastAsia" w:ascii="仿宋_GB2312" w:hAnsi="仿宋_GB2312" w:eastAsia="仿宋_GB2312" w:cs="仿宋_GB2312"/>
          <w:b/>
          <w:bCs/>
          <w:sz w:val="32"/>
          <w:szCs w:val="32"/>
          <w:highlight w:val="none"/>
          <w:u w:val="single"/>
        </w:rPr>
        <w:t>不接受（</w:t>
      </w:r>
      <w:r>
        <w:rPr>
          <w:rFonts w:hint="eastAsia" w:ascii="仿宋_GB2312" w:hAnsi="仿宋_GB2312" w:eastAsia="仿宋_GB2312" w:cs="仿宋_GB2312"/>
          <w:sz w:val="32"/>
          <w:szCs w:val="32"/>
          <w:highlight w:val="none"/>
        </w:rPr>
        <w:t>接受/不接受）联合体投标；</w:t>
      </w:r>
    </w:p>
    <w:p w14:paraId="46774301">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12．投标人不得存在下列情形之一： </w:t>
      </w:r>
    </w:p>
    <w:p w14:paraId="50564446">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（1）为招标人不具有独立法人资格的附属机构（单位）； </w:t>
      </w:r>
    </w:p>
    <w:p w14:paraId="2F7FAFBD">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（2）为本招标项目的监理人、代建人、项目管理人，以及为本招标项目提供招标代理、设计服务的； </w:t>
      </w:r>
    </w:p>
    <w:p w14:paraId="42381D98">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（3）与本招标项目的监理人、代建人、招标代理机构同为一个法定代表人的，或者相互控股、参股的； </w:t>
      </w:r>
    </w:p>
    <w:p w14:paraId="5F565DF0">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（4）与招标人存在利害关系可能影响招标公正性的； </w:t>
      </w:r>
    </w:p>
    <w:p w14:paraId="3880A096">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（5）单位负责人为同一人或者存在控股、管理关系的不同单位； </w:t>
      </w:r>
    </w:p>
    <w:p w14:paraId="21A11938">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（6）处于被责令停业、财产被接管、冻结和破产状态，以及投标资格被取消或者被暂停且在暂停期内； </w:t>
      </w:r>
    </w:p>
    <w:p w14:paraId="77B8583D">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（7）因拖欠工人工资或者因发生质量安全事故被有关部门限制在招标项目所在地承接工程的； </w:t>
      </w:r>
    </w:p>
    <w:p w14:paraId="7BEF1913">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（8）投标人近3年（自投标截止日期往前推算）内有行贿犯罪行为且被记录，或者法定代表人、项目负责人有行贿犯罪记录且自记录之日起未超过5年（自投标截止日期往前推算）的。</w:t>
      </w:r>
    </w:p>
    <w:p w14:paraId="387E558A">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13．符合法律、法规规定的其他条件。</w:t>
      </w:r>
    </w:p>
    <w:p w14:paraId="2BC01739">
      <w:pPr>
        <w:autoSpaceDE w:val="0"/>
        <w:adjustRightInd w:val="0"/>
        <w:snapToGrid w:val="0"/>
        <w:spacing w:line="560" w:lineRule="exact"/>
        <w:ind w:firstLine="640" w:firstLineChars="200"/>
        <w:jc w:val="left"/>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三、由招标人委托的评标委员会实施对投标人的资格审查。</w:t>
      </w:r>
    </w:p>
    <w:p w14:paraId="59AB45BB">
      <w:pPr>
        <w:autoSpaceDE w:val="0"/>
        <w:adjustRightInd w:val="0"/>
        <w:snapToGrid w:val="0"/>
        <w:spacing w:line="560" w:lineRule="exact"/>
        <w:ind w:firstLine="640" w:firstLineChars="200"/>
        <w:jc w:val="left"/>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四、资格审查提交资料：</w:t>
      </w:r>
    </w:p>
    <w:p w14:paraId="003B0994">
      <w:pPr>
        <w:widowControl/>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4.1投标注册建造师第二代居民身份证；</w:t>
      </w:r>
    </w:p>
    <w:p w14:paraId="26FAA370">
      <w:pPr>
        <w:widowControl/>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4.2投标注册建造师注册证；</w:t>
      </w:r>
      <w:r>
        <w:rPr>
          <w:rFonts w:hint="eastAsia" w:ascii="仿宋_GB2312" w:hAnsi="仿宋_GB2312" w:eastAsia="仿宋_GB2312" w:cs="仿宋_GB2312"/>
          <w:bCs/>
          <w:color w:val="000000"/>
          <w:sz w:val="32"/>
          <w:szCs w:val="32"/>
          <w:highlight w:val="none"/>
        </w:rPr>
        <w:t>（注册建造师证书。若投标建造师证书为一级建造师电子证书的，建造师证书须符合《住房和城乡建设部办公厅关于全面实行一级建造师电子注册证书的通知》（建办市</w:t>
      </w:r>
      <w:r>
        <w:rPr>
          <w:rFonts w:hint="eastAsia" w:ascii="微软雅黑" w:hAnsi="微软雅黑" w:eastAsia="微软雅黑" w:cs="微软雅黑"/>
          <w:bCs/>
          <w:color w:val="000000"/>
          <w:sz w:val="32"/>
          <w:szCs w:val="32"/>
          <w:highlight w:val="none"/>
        </w:rPr>
        <w:t>〔</w:t>
      </w:r>
      <w:r>
        <w:rPr>
          <w:rFonts w:hint="eastAsia" w:ascii="仿宋_GB2312" w:hAnsi="仿宋_GB2312" w:eastAsia="仿宋_GB2312" w:cs="仿宋_GB2312"/>
          <w:bCs/>
          <w:color w:val="000000"/>
          <w:sz w:val="32"/>
          <w:szCs w:val="32"/>
          <w:highlight w:val="none"/>
        </w:rPr>
        <w:t>2021</w:t>
      </w:r>
      <w:r>
        <w:rPr>
          <w:rFonts w:hint="eastAsia" w:ascii="微软雅黑" w:hAnsi="微软雅黑" w:eastAsia="微软雅黑" w:cs="微软雅黑"/>
          <w:bCs/>
          <w:color w:val="000000"/>
          <w:sz w:val="32"/>
          <w:szCs w:val="32"/>
          <w:highlight w:val="none"/>
        </w:rPr>
        <w:t>〕</w:t>
      </w:r>
      <w:r>
        <w:rPr>
          <w:rFonts w:hint="eastAsia" w:ascii="仿宋_GB2312" w:hAnsi="仿宋_GB2312" w:eastAsia="仿宋_GB2312" w:cs="仿宋_GB2312"/>
          <w:bCs/>
          <w:color w:val="000000"/>
          <w:sz w:val="32"/>
          <w:szCs w:val="32"/>
          <w:highlight w:val="none"/>
        </w:rPr>
        <w:t>40号）要求。）</w:t>
      </w:r>
    </w:p>
    <w:p w14:paraId="0CA8DFAA">
      <w:pPr>
        <w:widowControl/>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4.3安全生产考核合格证（B证）；</w:t>
      </w:r>
    </w:p>
    <w:p w14:paraId="13EE8733">
      <w:pPr>
        <w:widowControl/>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4.4企业营业执照（副本）；企业资质等级证书（副本）；企业安全生产许可证（副本）；</w:t>
      </w:r>
    </w:p>
    <w:p w14:paraId="1C86B04A">
      <w:pPr>
        <w:widowControl/>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4.5提供投标建造师相应社保机构出具的投标单位为其缴纳社会基本养老保险的缴纳凭证（加盖社保中心章或社保中心参保缴费证明电子专用章，非社保手册）,缴纳时间为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000000"/>
          <w:sz w:val="32"/>
          <w:szCs w:val="32"/>
          <w:highlight w:val="none"/>
        </w:rPr>
        <w:t>2025年1月至2025年3月</w:t>
      </w:r>
      <w:r>
        <w:rPr>
          <w:rFonts w:hint="eastAsia" w:ascii="仿宋_GB2312" w:hAnsi="仿宋_GB2312" w:eastAsia="仿宋_GB2312" w:cs="仿宋_GB2312"/>
          <w:color w:val="000000"/>
          <w:sz w:val="32"/>
          <w:szCs w:val="32"/>
          <w:highlight w:val="none"/>
        </w:rPr>
        <w:t>连续三个月</w:t>
      </w:r>
      <w:r>
        <w:rPr>
          <w:rFonts w:hint="eastAsia" w:ascii="仿宋_GB2312" w:hAnsi="仿宋_GB2312" w:eastAsia="仿宋_GB2312" w:cs="仿宋_GB2312"/>
          <w:b/>
          <w:bCs/>
          <w:color w:val="000000"/>
          <w:sz w:val="32"/>
          <w:szCs w:val="32"/>
          <w:highlight w:val="none"/>
        </w:rPr>
        <w:t>（如为退休返聘人员须提供退休证明及返聘合同）</w:t>
      </w:r>
      <w:r>
        <w:rPr>
          <w:rFonts w:hint="eastAsia" w:ascii="仿宋_GB2312" w:hAnsi="仿宋_GB2312" w:eastAsia="仿宋_GB2312" w:cs="仿宋_GB2312"/>
          <w:color w:val="000000"/>
          <w:sz w:val="32"/>
          <w:szCs w:val="32"/>
          <w:highlight w:val="none"/>
        </w:rPr>
        <w:t>。</w:t>
      </w:r>
    </w:p>
    <w:p w14:paraId="251D31C0">
      <w:pPr>
        <w:widowControl/>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4.6提供授权委托人相应社保机构出具的投标单位为其缴纳社会基本养老保险的缴纳凭证（加盖社保中心章或社保中心参保缴费证明电子专用章，非社保手册）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000000"/>
          <w:sz w:val="32"/>
          <w:szCs w:val="32"/>
          <w:highlight w:val="none"/>
        </w:rPr>
        <w:t>2025年1月至2025年3月</w:t>
      </w:r>
      <w:r>
        <w:rPr>
          <w:rFonts w:hint="eastAsia" w:ascii="仿宋_GB2312" w:hAnsi="仿宋_GB2312" w:eastAsia="仿宋_GB2312" w:cs="仿宋_GB2312"/>
          <w:color w:val="000000"/>
          <w:sz w:val="32"/>
          <w:szCs w:val="32"/>
          <w:highlight w:val="none"/>
        </w:rPr>
        <w:t>连续三个月</w:t>
      </w:r>
      <w:r>
        <w:rPr>
          <w:rFonts w:hint="eastAsia" w:ascii="仿宋_GB2312" w:hAnsi="仿宋_GB2312" w:eastAsia="仿宋_GB2312" w:cs="仿宋_GB2312"/>
          <w:b/>
          <w:bCs/>
          <w:color w:val="000000"/>
          <w:sz w:val="32"/>
          <w:szCs w:val="32"/>
          <w:highlight w:val="none"/>
        </w:rPr>
        <w:t>（如为退休返聘人员须提供退休证明及返聘合同）</w:t>
      </w:r>
      <w:r>
        <w:rPr>
          <w:rFonts w:hint="eastAsia" w:ascii="仿宋_GB2312" w:hAnsi="仿宋_GB2312" w:eastAsia="仿宋_GB2312" w:cs="仿宋_GB2312"/>
          <w:color w:val="000000"/>
          <w:sz w:val="32"/>
          <w:szCs w:val="32"/>
          <w:highlight w:val="none"/>
        </w:rPr>
        <w:t>。</w:t>
      </w:r>
    </w:p>
    <w:p w14:paraId="64EDE8AA">
      <w:pPr>
        <w:widowControl/>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4.7授权委托人本人第二代居民身份证。</w:t>
      </w:r>
    </w:p>
    <w:p w14:paraId="6B91FF44">
      <w:pPr>
        <w:widowControl/>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4.8投标人的法定代表人或被委托人必须携带法定代表人资格书（加盖公章、格式详见附件三）、法定代表人授权委托书（加盖公章、法人签章、格式详见附件三）。</w:t>
      </w:r>
    </w:p>
    <w:p w14:paraId="61BBC240">
      <w:pPr>
        <w:pStyle w:val="2"/>
        <w:spacing w:after="0" w:line="560" w:lineRule="exact"/>
        <w:ind w:right="0" w:rightChars="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4.9投标保证金缴款回单。</w:t>
      </w:r>
    </w:p>
    <w:p w14:paraId="357F70EC">
      <w:pPr>
        <w:widowControl/>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4.10投标人信用承诺书（详见附件四）。</w:t>
      </w:r>
    </w:p>
    <w:p w14:paraId="4A9A4A8C">
      <w:pPr>
        <w:widowControl/>
        <w:spacing w:line="560" w:lineRule="exact"/>
        <w:ind w:firstLine="643" w:firstLineChars="20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特别提醒：</w:t>
      </w:r>
    </w:p>
    <w:p w14:paraId="31E0CA14">
      <w:pPr>
        <w:pStyle w:val="19"/>
        <w:spacing w:line="560" w:lineRule="exact"/>
        <w:ind w:firstLine="643" w:firstLineChars="200"/>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① 以上所有资料资格审查时必须提供有</w:t>
      </w:r>
      <w:r>
        <w:rPr>
          <w:rFonts w:hint="eastAsia" w:ascii="仿宋_GB2312" w:hAnsi="仿宋_GB2312" w:eastAsia="仿宋_GB2312" w:cs="仿宋_GB2312"/>
          <w:b/>
          <w:bCs/>
          <w:color w:val="auto"/>
          <w:sz w:val="32"/>
          <w:szCs w:val="32"/>
          <w:highlight w:val="none"/>
        </w:rPr>
        <w:t>效复印件二份，</w:t>
      </w:r>
      <w:r>
        <w:rPr>
          <w:rFonts w:hint="eastAsia" w:ascii="仿宋_GB2312" w:hAnsi="仿宋_GB2312" w:eastAsia="仿宋_GB2312" w:cs="仿宋_GB2312"/>
          <w:b/>
          <w:bCs/>
          <w:color w:val="000000"/>
          <w:sz w:val="32"/>
          <w:szCs w:val="32"/>
          <w:highlight w:val="none"/>
        </w:rPr>
        <w:t>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3CFF5C2D">
      <w:pPr>
        <w:widowControl/>
        <w:tabs>
          <w:tab w:val="left" w:pos="8820"/>
        </w:tabs>
        <w:spacing w:line="560" w:lineRule="exact"/>
        <w:ind w:firstLine="643" w:firstLineChars="20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172CD8FC">
      <w:pPr>
        <w:widowControl/>
        <w:tabs>
          <w:tab w:val="left" w:pos="8820"/>
        </w:tabs>
        <w:spacing w:line="560" w:lineRule="exact"/>
        <w:ind w:firstLine="643" w:firstLineChars="20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 xml:space="preserve">③在规定时间内未能按上述要求提供以上资料的作资审不合格处理。 </w:t>
      </w:r>
    </w:p>
    <w:p w14:paraId="47344B54">
      <w:pPr>
        <w:pStyle w:val="19"/>
        <w:spacing w:line="560" w:lineRule="exact"/>
        <w:ind w:firstLine="643" w:firstLineChars="200"/>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④投标人在投标文件递交截止时间当日，对于本次招标公告中要求的企业资质，投标单位在江苏省建筑市场监管与诚信信息一体化平台动态监管不合格资质查询中显示不合格的，按资审不合格处理。</w:t>
      </w:r>
    </w:p>
    <w:p w14:paraId="36D9E799">
      <w:pPr>
        <w:adjustRightInd w:val="0"/>
        <w:spacing w:line="560" w:lineRule="exact"/>
        <w:ind w:firstLine="640" w:firstLineChars="200"/>
        <w:jc w:val="left"/>
        <w:textAlignment w:val="baseline"/>
        <w:rPr>
          <w:rFonts w:ascii="仿宋_GB2312" w:hAnsi="仿宋_GB2312" w:eastAsia="仿宋_GB2312" w:cs="仿宋_GB2312"/>
          <w:sz w:val="32"/>
          <w:szCs w:val="32"/>
          <w:highlight w:val="none"/>
        </w:rPr>
      </w:pPr>
      <w:r>
        <w:rPr>
          <w:rFonts w:hint="eastAsia" w:ascii="黑体" w:hAnsi="宋体" w:eastAsia="黑体" w:cs="黑体"/>
          <w:bCs/>
          <w:sz w:val="32"/>
          <w:szCs w:val="32"/>
          <w:highlight w:val="none"/>
          <w:lang w:bidi="ar"/>
        </w:rPr>
        <w:t>五、开标（包括资格后审）时间、地点：</w:t>
      </w:r>
      <w:r>
        <w:rPr>
          <w:rFonts w:hint="eastAsia" w:ascii="仿宋_GB2312" w:hAnsi="仿宋_GB2312" w:eastAsia="仿宋_GB2312" w:cs="仿宋_GB2312"/>
          <w:sz w:val="32"/>
          <w:szCs w:val="32"/>
          <w:highlight w:val="none"/>
        </w:rPr>
        <w:t>详见招标文件投标人须知。</w:t>
      </w:r>
    </w:p>
    <w:p w14:paraId="1F74301D">
      <w:pPr>
        <w:pStyle w:val="2"/>
        <w:ind w:firstLine="640" w:firstLineChars="200"/>
        <w:rPr>
          <w:rFonts w:ascii="黑体" w:eastAsia="黑体" w:cs="黑体"/>
          <w:bCs/>
          <w:sz w:val="32"/>
          <w:szCs w:val="32"/>
          <w:highlight w:val="none"/>
          <w:lang w:bidi="ar"/>
        </w:rPr>
      </w:pPr>
      <w:r>
        <w:rPr>
          <w:rFonts w:hint="eastAsia" w:ascii="黑体" w:eastAsia="黑体" w:cs="黑体"/>
          <w:bCs/>
          <w:sz w:val="32"/>
          <w:szCs w:val="32"/>
          <w:highlight w:val="none"/>
          <w:lang w:bidi="ar"/>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1786FD9C">
      <w:pPr>
        <w:pStyle w:val="2"/>
        <w:ind w:firstLine="640" w:firstLineChars="200"/>
        <w:rPr>
          <w:rFonts w:ascii="仿宋_GB2312" w:hAnsi="仿宋_GB2312" w:eastAsia="仿宋_GB2312" w:cs="仿宋_GB2312"/>
          <w:color w:val="000000"/>
          <w:sz w:val="32"/>
          <w:szCs w:val="32"/>
          <w:highlight w:val="none"/>
        </w:rPr>
      </w:pPr>
    </w:p>
    <w:p w14:paraId="53706718">
      <w:pPr>
        <w:pStyle w:val="2"/>
        <w:ind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备注：</w:t>
      </w:r>
    </w:p>
    <w:p w14:paraId="62B89AFB">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1．信息公布、招标文件（工程量清单、图纸）的下载、招标控制价的下载、招投标答疑：“E交易平台”。</w:t>
      </w:r>
    </w:p>
    <w:p w14:paraId="5352D225">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2．本工程所有的资审资料，都必须在有效期内。 </w:t>
      </w:r>
    </w:p>
    <w:p w14:paraId="4CBE23A3">
      <w:pPr>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3．本工程不满3家投标将重新组织招标。</w:t>
      </w:r>
    </w:p>
    <w:p w14:paraId="17088F83">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4．本工程的图纸设计单位不得参与投标。</w:t>
      </w:r>
    </w:p>
    <w:p w14:paraId="42C80C04">
      <w:pPr>
        <w:rPr>
          <w:rFonts w:ascii="仿宋_GB2312" w:hAnsi="仿宋_GB2312" w:eastAsia="仿宋_GB2312" w:cs="仿宋_GB2312"/>
          <w:sz w:val="32"/>
          <w:szCs w:val="32"/>
          <w:highlight w:val="none"/>
        </w:rPr>
      </w:pPr>
    </w:p>
    <w:p w14:paraId="5BAF53F6">
      <w:pPr>
        <w:jc w:val="left"/>
        <w:rPr>
          <w:rFonts w:ascii="仿宋_GB2312" w:hAnsi="仿宋_GB2312" w:eastAsia="黑体" w:cs="仿宋_GB2312"/>
          <w:sz w:val="32"/>
          <w:szCs w:val="32"/>
          <w:highlight w:val="none"/>
        </w:rPr>
      </w:pPr>
      <w:r>
        <w:rPr>
          <w:rFonts w:hint="eastAsia" w:ascii="仿宋_GB2312" w:hAnsi="仿宋_GB2312" w:eastAsia="仿宋_GB2312" w:cs="仿宋_GB2312"/>
          <w:sz w:val="32"/>
          <w:szCs w:val="32"/>
          <w:highlight w:val="none"/>
        </w:rPr>
        <w:br w:type="page"/>
      </w:r>
      <w:r>
        <w:rPr>
          <w:rFonts w:hint="eastAsia" w:ascii="黑体" w:hAnsi="宋体" w:eastAsia="黑体" w:cs="黑体"/>
          <w:bCs/>
          <w:sz w:val="32"/>
          <w:szCs w:val="32"/>
          <w:highlight w:val="none"/>
          <w:lang w:bidi="ar"/>
        </w:rPr>
        <w:t>附件2</w:t>
      </w:r>
    </w:p>
    <w:p w14:paraId="7D779444">
      <w:pPr>
        <w:autoSpaceDE w:val="0"/>
        <w:spacing w:line="560" w:lineRule="exact"/>
        <w:ind w:firstLine="880" w:firstLineChars="200"/>
        <w:jc w:val="center"/>
        <w:outlineLvl w:val="0"/>
        <w:rPr>
          <w:rFonts w:ascii="方正小标宋简体" w:eastAsia="方正小标宋简体" w:cs="方正小标宋简体"/>
          <w:bCs/>
          <w:kern w:val="44"/>
          <w:sz w:val="44"/>
          <w:szCs w:val="44"/>
          <w:highlight w:val="none"/>
          <w:lang w:bidi="ar"/>
        </w:rPr>
      </w:pPr>
      <w:r>
        <w:rPr>
          <w:rFonts w:hint="eastAsia" w:ascii="方正小标宋简体" w:eastAsia="方正小标宋简体" w:cs="方正小标宋简体"/>
          <w:bCs/>
          <w:kern w:val="44"/>
          <w:sz w:val="44"/>
          <w:szCs w:val="44"/>
          <w:highlight w:val="none"/>
          <w:lang w:bidi="ar"/>
        </w:rPr>
        <w:t>评 标 细 则</w:t>
      </w:r>
    </w:p>
    <w:p w14:paraId="3B1B3FC5">
      <w:pPr>
        <w:pStyle w:val="11"/>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本着公平、公正、公开的原则对各投标单位投标文件中的商务标等方面进行评分。具体办法如下：（共计100分） </w:t>
      </w:r>
    </w:p>
    <w:p w14:paraId="45D43453">
      <w:pPr>
        <w:pStyle w:val="11"/>
        <w:spacing w:before="0" w:beforeAutospacing="0" w:after="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第一步：投标文件能够满足招标文件的实质性要求； </w:t>
      </w:r>
    </w:p>
    <w:p w14:paraId="109DF567">
      <w:pPr>
        <w:pStyle w:val="11"/>
        <w:spacing w:before="0" w:beforeAutospacing="0" w:after="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第二步：符合性清标，商务标符合招标文件的实质性要求； </w:t>
      </w:r>
    </w:p>
    <w:p w14:paraId="4D46B313">
      <w:pPr>
        <w:pStyle w:val="11"/>
        <w:spacing w:before="0" w:beforeAutospacing="0" w:after="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第三步：投标报价得分。</w:t>
      </w:r>
    </w:p>
    <w:p w14:paraId="624C40B6">
      <w:pPr>
        <w:pStyle w:val="11"/>
        <w:spacing w:before="0" w:beforeAutospacing="0" w:after="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一、投标报价（100 分） </w:t>
      </w:r>
    </w:p>
    <w:p w14:paraId="1DE9D3EE">
      <w:pPr>
        <w:pStyle w:val="11"/>
        <w:spacing w:before="0" w:beforeAutospacing="0" w:after="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1、确定有效投标报价。 </w:t>
      </w:r>
    </w:p>
    <w:p w14:paraId="7D638A46">
      <w:pPr>
        <w:pStyle w:val="11"/>
        <w:spacing w:before="0" w:beforeAutospacing="0" w:after="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凡符合招标文件、招标答疑纪要等有关招标实质性要求，且在招标控制价（总价和综合单价）及以下的投标文件均为有效投标文件，未能实质性响应上述有关招标要求的投标文件为无效投标文件。 </w:t>
      </w:r>
    </w:p>
    <w:p w14:paraId="4D7FF313">
      <w:pPr>
        <w:pStyle w:val="11"/>
        <w:spacing w:before="0" w:beforeAutospacing="0" w:after="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2、打分 </w:t>
      </w:r>
    </w:p>
    <w:p w14:paraId="759FD0D0">
      <w:pPr>
        <w:pStyle w:val="11"/>
        <w:spacing w:before="0" w:beforeAutospacing="0" w:after="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以有效投标文件的最低评标价为评标基准价，评标价等于评标基准价的得满分；偏离评标基准价的，评标价相对评标基准价每高1%，扣0.3分，偏离不足1%的，按照插入法计算得分，得分保留二位小数。  </w:t>
      </w:r>
    </w:p>
    <w:p w14:paraId="3FCF05BD">
      <w:pPr>
        <w:pStyle w:val="11"/>
        <w:spacing w:before="0" w:beforeAutospacing="0" w:after="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二、定标办法</w:t>
      </w:r>
    </w:p>
    <w:p w14:paraId="4FDF1AE5">
      <w:pPr>
        <w:pStyle w:val="11"/>
        <w:spacing w:before="0" w:beforeAutospacing="0" w:after="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（1）以上得分最高者为第一中标候选人；若得分相同，则选择其中投标报价低者为中标候选人；若得分相同，投标报价也相同，当场按签到顺序抽签确定中标候选人。</w:t>
      </w:r>
    </w:p>
    <w:p w14:paraId="37054BEB">
      <w:pPr>
        <w:autoSpaceDE w:val="0"/>
        <w:autoSpaceDN w:val="0"/>
        <w:spacing w:line="560" w:lineRule="exact"/>
        <w:ind w:firstLine="640"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4C4AA12F">
      <w:pPr>
        <w:autoSpaceDE w:val="0"/>
        <w:autoSpaceDN w:val="0"/>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注意事项：</w:t>
      </w:r>
    </w:p>
    <w:p w14:paraId="6E58118F">
      <w:pPr>
        <w:autoSpaceDE w:val="0"/>
        <w:autoSpaceDN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１．一旦发现中标候选单位的投标建造师已有在建或已另有工程中标的，则取消其中标候选人资格，同时按相关法律法规处罚。 </w:t>
      </w:r>
    </w:p>
    <w:p w14:paraId="4CCBFB3E">
      <w:pPr>
        <w:autoSpaceDE w:val="0"/>
        <w:autoSpaceDN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２．一旦发现中标单位存在非法转包、转让、挂靠等行为的， 将依法进行处理 ，给招标人造成损失的，依法承担赔偿责任。 </w:t>
      </w:r>
    </w:p>
    <w:p w14:paraId="6C5897BB">
      <w:pPr>
        <w:autoSpaceDE w:val="0"/>
        <w:autoSpaceDN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３．本工程招标公告中的评标细则与招标文件中的评标细则不一致时，以招标公告中的评标细则为准。</w:t>
      </w:r>
    </w:p>
    <w:p w14:paraId="52A63E21">
      <w:pPr>
        <w:tabs>
          <w:tab w:val="left" w:pos="540"/>
          <w:tab w:val="left" w:pos="720"/>
          <w:tab w:val="left" w:pos="900"/>
          <w:tab w:val="left" w:pos="1080"/>
        </w:tabs>
        <w:spacing w:line="560" w:lineRule="exact"/>
        <w:ind w:firstLine="643" w:firstLineChars="200"/>
        <w:rPr>
          <w:rFonts w:ascii="仿宋_GB2312" w:hAnsi="仿宋_GB2312" w:eastAsia="仿宋_GB2312" w:cs="仿宋_GB2312"/>
          <w:b/>
          <w:sz w:val="32"/>
          <w:szCs w:val="32"/>
          <w:highlight w:val="none"/>
        </w:rPr>
        <w:sectPr>
          <w:footerReference r:id="rId6" w:type="first"/>
          <w:headerReference r:id="rId3" w:type="default"/>
          <w:footerReference r:id="rId4" w:type="default"/>
          <w:footerReference r:id="rId5" w:type="even"/>
          <w:pgSz w:w="11906" w:h="16838"/>
          <w:pgMar w:top="1928" w:right="1361" w:bottom="2155" w:left="1474" w:header="851" w:footer="992" w:gutter="0"/>
          <w:pgNumType w:fmt="numberInDash" w:start="1"/>
          <w:cols w:space="720" w:num="1"/>
          <w:titlePg/>
          <w:docGrid w:type="lines" w:linePitch="312" w:charSpace="0"/>
        </w:sectPr>
      </w:pPr>
    </w:p>
    <w:p w14:paraId="5F5CBD83">
      <w:pPr>
        <w:autoSpaceDE w:val="0"/>
        <w:adjustRightInd w:val="0"/>
        <w:snapToGrid w:val="0"/>
        <w:spacing w:line="560" w:lineRule="exact"/>
        <w:jc w:val="left"/>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附件3</w:t>
      </w:r>
    </w:p>
    <w:p w14:paraId="51D5A435">
      <w:pPr>
        <w:tabs>
          <w:tab w:val="left" w:pos="0"/>
        </w:tabs>
        <w:spacing w:line="560" w:lineRule="exact"/>
        <w:ind w:firstLine="643" w:firstLineChars="200"/>
        <w:jc w:val="center"/>
        <w:rPr>
          <w:rFonts w:ascii="仿宋_GB2312" w:hAnsi="仿宋_GB2312" w:eastAsia="仿宋_GB2312" w:cs="仿宋_GB2312"/>
          <w:b/>
          <w:sz w:val="32"/>
          <w:szCs w:val="32"/>
          <w:highlight w:val="none"/>
        </w:rPr>
      </w:pPr>
    </w:p>
    <w:p w14:paraId="069A7235">
      <w:pPr>
        <w:autoSpaceDE w:val="0"/>
        <w:spacing w:line="560" w:lineRule="exact"/>
        <w:ind w:firstLine="880" w:firstLineChars="200"/>
        <w:jc w:val="center"/>
        <w:outlineLvl w:val="0"/>
        <w:rPr>
          <w:rFonts w:ascii="方正小标宋简体" w:eastAsia="方正小标宋简体" w:cs="方正小标宋简体"/>
          <w:bCs/>
          <w:kern w:val="44"/>
          <w:sz w:val="44"/>
          <w:szCs w:val="44"/>
          <w:highlight w:val="none"/>
          <w:lang w:bidi="ar"/>
        </w:rPr>
      </w:pPr>
      <w:r>
        <w:rPr>
          <w:rFonts w:hint="eastAsia" w:ascii="方正小标宋简体" w:eastAsia="方正小标宋简体" w:cs="方正小标宋简体"/>
          <w:bCs/>
          <w:kern w:val="44"/>
          <w:sz w:val="44"/>
          <w:szCs w:val="44"/>
          <w:highlight w:val="none"/>
          <w:lang w:bidi="ar"/>
        </w:rPr>
        <w:t>法定代表人资格书</w:t>
      </w:r>
    </w:p>
    <w:p w14:paraId="4BEF6FEB">
      <w:pPr>
        <w:pStyle w:val="7"/>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单位名称：</w:t>
      </w:r>
    </w:p>
    <w:p w14:paraId="5A789504">
      <w:pPr>
        <w:pStyle w:val="7"/>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地址：</w:t>
      </w:r>
    </w:p>
    <w:p w14:paraId="122D9E3A">
      <w:pPr>
        <w:pStyle w:val="7"/>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姓名：             性别：          年龄：          职务：</w:t>
      </w:r>
    </w:p>
    <w:p w14:paraId="360F1A54">
      <w:pPr>
        <w:pStyle w:val="7"/>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系</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的法定代表人。为施工、竣工和保修</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的工程，签署上述工程的报名材料、资审材料、投标文件、进行合同谈判、签署合同和处理与之有关的一切事务。</w:t>
      </w:r>
    </w:p>
    <w:p w14:paraId="3A86FB6F">
      <w:pPr>
        <w:pStyle w:val="7"/>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特此证明。</w:t>
      </w:r>
    </w:p>
    <w:p w14:paraId="66105039">
      <w:pPr>
        <w:pStyle w:val="7"/>
        <w:adjustRightInd w:val="0"/>
        <w:snapToGrid w:val="0"/>
        <w:spacing w:line="560" w:lineRule="exact"/>
        <w:ind w:firstLine="640" w:firstLineChars="20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投标人：(盖章)</w:t>
      </w:r>
    </w:p>
    <w:p w14:paraId="4775952E">
      <w:pPr>
        <w:pStyle w:val="7"/>
        <w:adjustRightInd w:val="0"/>
        <w:snapToGrid w:val="0"/>
        <w:spacing w:line="560" w:lineRule="exact"/>
        <w:ind w:firstLine="640" w:firstLineChars="20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日期：</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年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41040078">
      <w:pPr>
        <w:spacing w:line="560" w:lineRule="exact"/>
        <w:ind w:firstLine="640" w:firstLineChars="200"/>
        <w:rPr>
          <w:rFonts w:ascii="仿宋_GB2312" w:hAnsi="仿宋_GB2312" w:eastAsia="仿宋_GB2312" w:cs="仿宋_GB2312"/>
          <w:sz w:val="32"/>
          <w:szCs w:val="32"/>
          <w:highlight w:val="none"/>
        </w:rPr>
      </w:pPr>
    </w:p>
    <w:p w14:paraId="17700779">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6C8D7691">
                            <w:pPr>
                              <w:rPr>
                                <w:b/>
                              </w:rPr>
                            </w:pPr>
                            <w:r>
                              <w:rPr>
                                <w:rFonts w:hint="eastAsia"/>
                                <w:b/>
                              </w:rPr>
                              <w:t>（此处为法定代表人身份证复印件粘贴处，未提供复印件的视为无效身份证明）</w:t>
                            </w:r>
                          </w:p>
                          <w:p w14:paraId="604A60BC"/>
                        </w:txbxContent>
                      </wps:txbx>
                      <wps:bodyPr upright="1"/>
                    </wps:wsp>
                  </a:graphicData>
                </a:graphic>
              </wp:anchor>
            </w:drawing>
          </mc:Choice>
          <mc:Fallback>
            <w:pict>
              <v:shape id="_x0000_s1026" o:spid="_x0000_s1026" o:spt="202" type="#_x0000_t202" style="position:absolute;left:0pt;margin-left:18.2pt;margin-top:20.35pt;height:227pt;width:388.5pt;z-index:251660288;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6C8D7691">
                      <w:pPr>
                        <w:rPr>
                          <w:b/>
                        </w:rPr>
                      </w:pPr>
                      <w:r>
                        <w:rPr>
                          <w:rFonts w:hint="eastAsia"/>
                          <w:b/>
                        </w:rPr>
                        <w:t>（此处为法定代表人身份证复印件粘贴处，未提供复印件的视为无效身份证明）</w:t>
                      </w:r>
                    </w:p>
                    <w:p w14:paraId="604A60BC"/>
                  </w:txbxContent>
                </v:textbox>
              </v:shape>
            </w:pict>
          </mc:Fallback>
        </mc:AlternateContent>
      </w:r>
    </w:p>
    <w:p w14:paraId="67A16BAF">
      <w:pPr>
        <w:spacing w:line="560" w:lineRule="exact"/>
        <w:ind w:firstLine="640" w:firstLineChars="200"/>
        <w:rPr>
          <w:rFonts w:ascii="仿宋_GB2312" w:hAnsi="仿宋_GB2312" w:eastAsia="仿宋_GB2312" w:cs="仿宋_GB2312"/>
          <w:sz w:val="32"/>
          <w:szCs w:val="32"/>
          <w:highlight w:val="none"/>
        </w:rPr>
      </w:pPr>
    </w:p>
    <w:p w14:paraId="01C42386">
      <w:pPr>
        <w:spacing w:line="560" w:lineRule="exact"/>
        <w:ind w:firstLine="640" w:firstLineChars="200"/>
        <w:rPr>
          <w:rFonts w:ascii="仿宋_GB2312" w:hAnsi="仿宋_GB2312" w:eastAsia="仿宋_GB2312" w:cs="仿宋_GB2312"/>
          <w:sz w:val="32"/>
          <w:szCs w:val="32"/>
          <w:highlight w:val="none"/>
        </w:rPr>
      </w:pPr>
    </w:p>
    <w:p w14:paraId="4FA4BE81">
      <w:pPr>
        <w:spacing w:line="560" w:lineRule="exact"/>
        <w:ind w:firstLine="640" w:firstLineChars="200"/>
        <w:rPr>
          <w:rFonts w:ascii="仿宋_GB2312" w:hAnsi="仿宋_GB2312" w:eastAsia="仿宋_GB2312" w:cs="仿宋_GB2312"/>
          <w:sz w:val="32"/>
          <w:szCs w:val="32"/>
          <w:highlight w:val="none"/>
        </w:rPr>
      </w:pPr>
    </w:p>
    <w:p w14:paraId="2F9C3435">
      <w:pPr>
        <w:spacing w:line="560" w:lineRule="exact"/>
        <w:ind w:firstLine="640" w:firstLineChars="200"/>
        <w:rPr>
          <w:rFonts w:ascii="仿宋_GB2312" w:hAnsi="仿宋_GB2312" w:eastAsia="仿宋_GB2312" w:cs="仿宋_GB2312"/>
          <w:sz w:val="32"/>
          <w:szCs w:val="32"/>
          <w:highlight w:val="none"/>
        </w:rPr>
      </w:pPr>
    </w:p>
    <w:p w14:paraId="692A5162">
      <w:pPr>
        <w:spacing w:line="560" w:lineRule="exact"/>
        <w:ind w:firstLine="640" w:firstLineChars="200"/>
        <w:rPr>
          <w:rFonts w:ascii="仿宋_GB2312" w:hAnsi="仿宋_GB2312" w:eastAsia="仿宋_GB2312" w:cs="仿宋_GB2312"/>
          <w:sz w:val="32"/>
          <w:szCs w:val="32"/>
          <w:highlight w:val="none"/>
        </w:rPr>
      </w:pPr>
    </w:p>
    <w:p w14:paraId="1AB4917D">
      <w:pPr>
        <w:tabs>
          <w:tab w:val="left" w:pos="0"/>
        </w:tabs>
        <w:spacing w:line="560" w:lineRule="exact"/>
        <w:ind w:firstLine="643" w:firstLineChars="200"/>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br w:type="page"/>
      </w:r>
      <w:r>
        <w:rPr>
          <w:rFonts w:hint="eastAsia" w:ascii="方正小标宋简体" w:eastAsia="方正小标宋简体" w:cs="方正小标宋简体"/>
          <w:bCs/>
          <w:kern w:val="44"/>
          <w:sz w:val="44"/>
          <w:szCs w:val="44"/>
          <w:highlight w:val="none"/>
          <w:lang w:bidi="ar"/>
        </w:rPr>
        <w:t>授权委托书</w:t>
      </w:r>
    </w:p>
    <w:p w14:paraId="2B82D544">
      <w:pPr>
        <w:tabs>
          <w:tab w:val="left" w:pos="0"/>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本授权委托书声明：本人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（姓名）系</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（投标人名称）的法定代表人，现授权委托</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（单位名称）的</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（姓名）为我公司代理人，参加</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（招标人）的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工程的投标活动。代理人在报名、资审、开标、评标、合同谈判过程中所签署的一切文件和处理与之有关的一切事务，我均予以承认。</w:t>
      </w:r>
    </w:p>
    <w:p w14:paraId="6DCFA1D0">
      <w:pPr>
        <w:tabs>
          <w:tab w:val="left" w:pos="0"/>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代理人无转委权。特此委托。</w:t>
      </w:r>
    </w:p>
    <w:p w14:paraId="75C18C12">
      <w:pPr>
        <w:tabs>
          <w:tab w:val="left" w:pos="0"/>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代理人：     性别：    出生日期：</w:t>
      </w:r>
    </w:p>
    <w:p w14:paraId="59F1C853">
      <w:pPr>
        <w:tabs>
          <w:tab w:val="left" w:pos="0"/>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单位：       部门：    职务：</w:t>
      </w:r>
    </w:p>
    <w:p w14:paraId="1D470BC4">
      <w:pPr>
        <w:tabs>
          <w:tab w:val="left" w:pos="0"/>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投标人：（盖章）</w:t>
      </w:r>
    </w:p>
    <w:p w14:paraId="6EE41C17">
      <w:pPr>
        <w:tabs>
          <w:tab w:val="left" w:pos="0"/>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法定代表人：（签字或盖章）</w:t>
      </w:r>
    </w:p>
    <w:p w14:paraId="2EC16CD0">
      <w:pPr>
        <w:spacing w:line="560" w:lineRule="exact"/>
        <w:ind w:firstLine="640" w:firstLineChars="20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32B60ACB">
      <w:pPr>
        <w:spacing w:line="560" w:lineRule="exact"/>
        <w:ind w:firstLine="640" w:firstLineChars="20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06BBD273">
                            <w:pPr>
                              <w:rPr>
                                <w:b/>
                              </w:rPr>
                            </w:pPr>
                            <w:r>
                              <w:rPr>
                                <w:rFonts w:hint="eastAsia"/>
                                <w:b/>
                              </w:rPr>
                              <w:t>（此处为被委托人身份证复印件粘贴处，未提供复印件的视为无效身份证明）</w:t>
                            </w:r>
                          </w:p>
                          <w:p w14:paraId="543AB564"/>
                        </w:txbxContent>
                      </wps:txbx>
                      <wps:bodyPr upright="1"/>
                    </wps:wsp>
                  </a:graphicData>
                </a:graphic>
              </wp:anchor>
            </w:drawing>
          </mc:Choice>
          <mc:Fallback>
            <w:pict>
              <v:shape id="_x0000_s1026" o:spid="_x0000_s1026" o:spt="202" type="#_x0000_t202" style="position:absolute;left:0pt;margin-left:26.95pt;margin-top:15.5pt;height:183.5pt;width:388.5pt;z-index:251661312;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06BBD273">
                      <w:pPr>
                        <w:rPr>
                          <w:b/>
                        </w:rPr>
                      </w:pPr>
                      <w:r>
                        <w:rPr>
                          <w:rFonts w:hint="eastAsia"/>
                          <w:b/>
                        </w:rPr>
                        <w:t>（此处为被委托人身份证复印件粘贴处，未提供复印件的视为无效身份证明）</w:t>
                      </w:r>
                    </w:p>
                    <w:p w14:paraId="543AB564"/>
                  </w:txbxContent>
                </v:textbox>
              </v:shape>
            </w:pict>
          </mc:Fallback>
        </mc:AlternateContent>
      </w:r>
    </w:p>
    <w:p w14:paraId="2EB206C3">
      <w:pPr>
        <w:spacing w:line="560" w:lineRule="exact"/>
        <w:ind w:firstLine="640" w:firstLineChars="200"/>
        <w:jc w:val="center"/>
        <w:rPr>
          <w:rFonts w:ascii="仿宋_GB2312" w:hAnsi="仿宋_GB2312" w:eastAsia="仿宋_GB2312" w:cs="仿宋_GB2312"/>
          <w:sz w:val="32"/>
          <w:szCs w:val="32"/>
          <w:highlight w:val="none"/>
        </w:rPr>
      </w:pPr>
    </w:p>
    <w:p w14:paraId="778E017A">
      <w:pPr>
        <w:spacing w:line="560" w:lineRule="exact"/>
        <w:ind w:firstLine="640" w:firstLineChars="200"/>
        <w:jc w:val="center"/>
        <w:rPr>
          <w:rFonts w:ascii="仿宋_GB2312" w:hAnsi="仿宋_GB2312" w:eastAsia="仿宋_GB2312" w:cs="仿宋_GB2312"/>
          <w:sz w:val="32"/>
          <w:szCs w:val="32"/>
          <w:highlight w:val="none"/>
        </w:rPr>
      </w:pPr>
    </w:p>
    <w:p w14:paraId="6BB0120D">
      <w:pPr>
        <w:spacing w:line="560" w:lineRule="exact"/>
        <w:ind w:firstLine="640" w:firstLineChars="200"/>
        <w:jc w:val="center"/>
        <w:rPr>
          <w:rFonts w:ascii="仿宋_GB2312" w:hAnsi="仿宋_GB2312" w:eastAsia="仿宋_GB2312" w:cs="仿宋_GB2312"/>
          <w:sz w:val="32"/>
          <w:szCs w:val="32"/>
          <w:highlight w:val="none"/>
        </w:rPr>
      </w:pPr>
    </w:p>
    <w:p w14:paraId="70516AD9">
      <w:pPr>
        <w:spacing w:line="560" w:lineRule="exact"/>
        <w:ind w:firstLine="640" w:firstLineChars="200"/>
        <w:jc w:val="center"/>
        <w:rPr>
          <w:rFonts w:ascii="仿宋_GB2312" w:hAnsi="仿宋_GB2312" w:eastAsia="仿宋_GB2312" w:cs="仿宋_GB2312"/>
          <w:sz w:val="32"/>
          <w:szCs w:val="32"/>
          <w:highlight w:val="none"/>
        </w:rPr>
      </w:pPr>
    </w:p>
    <w:p w14:paraId="4BB5B1C6">
      <w:pPr>
        <w:spacing w:line="560" w:lineRule="exact"/>
        <w:ind w:firstLine="640" w:firstLineChars="200"/>
        <w:jc w:val="center"/>
        <w:rPr>
          <w:rFonts w:ascii="仿宋_GB2312" w:hAnsi="仿宋_GB2312" w:eastAsia="仿宋_GB2312" w:cs="仿宋_GB2312"/>
          <w:sz w:val="32"/>
          <w:szCs w:val="32"/>
          <w:highlight w:val="none"/>
        </w:rPr>
      </w:pPr>
    </w:p>
    <w:p w14:paraId="34A04BE7">
      <w:pPr>
        <w:tabs>
          <w:tab w:val="left" w:pos="0"/>
          <w:tab w:val="left" w:pos="993"/>
          <w:tab w:val="left" w:pos="1134"/>
        </w:tabs>
        <w:adjustRightInd w:val="0"/>
        <w:snapToGrid w:val="0"/>
        <w:spacing w:line="560" w:lineRule="exact"/>
        <w:ind w:firstLine="643" w:firstLineChars="200"/>
        <w:rPr>
          <w:rFonts w:ascii="仿宋_GB2312" w:hAnsi="仿宋_GB2312" w:eastAsia="仿宋_GB2312" w:cs="仿宋_GB2312"/>
          <w:b/>
          <w:sz w:val="32"/>
          <w:szCs w:val="32"/>
          <w:highlight w:val="none"/>
        </w:rPr>
      </w:pPr>
    </w:p>
    <w:p w14:paraId="2E2D8A6C">
      <w:pPr>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br w:type="page"/>
      </w:r>
    </w:p>
    <w:p w14:paraId="324BC5A8">
      <w:pPr>
        <w:autoSpaceDE w:val="0"/>
        <w:adjustRightInd w:val="0"/>
        <w:snapToGrid w:val="0"/>
        <w:spacing w:line="560" w:lineRule="exact"/>
        <w:jc w:val="left"/>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附件4</w:t>
      </w:r>
    </w:p>
    <w:p w14:paraId="7A61DA09">
      <w:pPr>
        <w:autoSpaceDE w:val="0"/>
        <w:spacing w:line="560" w:lineRule="exact"/>
        <w:ind w:firstLine="880" w:firstLineChars="200"/>
        <w:jc w:val="center"/>
        <w:outlineLvl w:val="0"/>
        <w:rPr>
          <w:rFonts w:ascii="方正小标宋简体" w:eastAsia="方正小标宋简体" w:cs="方正小标宋简体"/>
          <w:bCs/>
          <w:kern w:val="44"/>
          <w:sz w:val="44"/>
          <w:szCs w:val="44"/>
          <w:highlight w:val="none"/>
          <w:lang w:bidi="ar"/>
        </w:rPr>
      </w:pPr>
      <w:bookmarkStart w:id="4" w:name="OLE_LINK1"/>
      <w:r>
        <w:rPr>
          <w:rFonts w:hint="eastAsia" w:ascii="方正小标宋简体" w:eastAsia="方正小标宋简体" w:cs="方正小标宋简体"/>
          <w:bCs/>
          <w:kern w:val="44"/>
          <w:sz w:val="44"/>
          <w:szCs w:val="44"/>
          <w:highlight w:val="none"/>
          <w:lang w:bidi="ar"/>
        </w:rPr>
        <w:t>投标人信用承诺书</w:t>
      </w:r>
      <w:bookmarkEnd w:id="4"/>
    </w:p>
    <w:p w14:paraId="5EA9AF5F">
      <w:pPr>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本单位及法定代表人，清楚知晓并参与本项目的招投标活动，并作出承诺如下：</w:t>
      </w:r>
    </w:p>
    <w:p w14:paraId="287B78F7">
      <w:pPr>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一、遵循公开、公平、公正和诚实信用的原则，依法依规参与本项目招投标活动。</w:t>
      </w:r>
    </w:p>
    <w:p w14:paraId="02F85D9E">
      <w:pPr>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二、严格按照本次招标文件中的投标人资格要求提供相应投标资料，并在E交易平台中录入的所有企业信息和上传的企业资料都是真实、有效、准确且合法的，没有弄虚作假的情形。</w:t>
      </w:r>
    </w:p>
    <w:p w14:paraId="55D138E1">
      <w:pPr>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三、在参与本项目招标投标活动中，不存在任何围标串标活动，也不存在以他人名义投标的行为。</w:t>
      </w:r>
    </w:p>
    <w:p w14:paraId="40E5B64D">
      <w:pPr>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四、在参与本项目招投标活动中，投标项目负责人无在建工程。</w:t>
      </w:r>
    </w:p>
    <w:p w14:paraId="42595A5D">
      <w:pPr>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五、在参与本项目招投标活动中，若投标人或项目负责人为失信被执行人的，自愿放弃本次投标资格。投标人及项目负责人符合本工程资审合格条件的其他要求。</w:t>
      </w:r>
    </w:p>
    <w:p w14:paraId="7CAE4262">
      <w:pPr>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六、正确履行法律法规规定的投标人权利和义务，遵纪守法，清正廉洁，不徇私枉法，服从建设等行政主管部门监管，接受社会监督。</w:t>
      </w:r>
    </w:p>
    <w:p w14:paraId="4A659C51">
      <w:pPr>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452D1373">
      <w:pPr>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本承诺书一经签订即作为中标合同的组成部分，对本单位参与本项目招投标活动的行为具有法律约束力。 </w:t>
      </w:r>
    </w:p>
    <w:p w14:paraId="7A425BB8">
      <w:pPr>
        <w:snapToGrid w:val="0"/>
        <w:spacing w:line="560" w:lineRule="exact"/>
        <w:ind w:firstLine="640" w:firstLineChars="20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投标人（盖章）：</w:t>
      </w:r>
    </w:p>
    <w:p w14:paraId="61059AEF">
      <w:pPr>
        <w:snapToGrid w:val="0"/>
        <w:spacing w:line="560" w:lineRule="exact"/>
        <w:ind w:firstLine="640" w:firstLineChars="200"/>
        <w:jc w:val="righ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法定代表人（签字或盖章）：    </w:t>
      </w:r>
    </w:p>
    <w:p w14:paraId="553A212F">
      <w:pPr>
        <w:spacing w:line="560" w:lineRule="exact"/>
        <w:ind w:firstLine="640" w:firstLineChars="200"/>
        <w:rPr>
          <w:rFonts w:ascii="仿宋_GB2312" w:hAnsi="仿宋_GB2312" w:eastAsia="仿宋_GB2312" w:cs="仿宋_GB2312"/>
          <w:sz w:val="32"/>
          <w:szCs w:val="32"/>
          <w:highlight w:val="none"/>
        </w:rPr>
      </w:pPr>
    </w:p>
    <w:p w14:paraId="6475C46A">
      <w:pPr>
        <w:spacing w:line="560" w:lineRule="exact"/>
        <w:ind w:firstLine="640" w:firstLineChars="200"/>
        <w:rPr>
          <w:rFonts w:ascii="仿宋_GB2312" w:hAnsi="仿宋_GB2312" w:eastAsia="仿宋_GB2312" w:cs="仿宋_GB2312"/>
          <w:sz w:val="32"/>
          <w:szCs w:val="32"/>
          <w:highlight w:val="none"/>
        </w:rPr>
      </w:pPr>
    </w:p>
    <w:p w14:paraId="3F6193C5">
      <w:pPr>
        <w:spacing w:line="560" w:lineRule="exact"/>
        <w:ind w:firstLine="640" w:firstLineChars="200"/>
        <w:rPr>
          <w:rFonts w:ascii="仿宋_GB2312" w:hAnsi="仿宋_GB2312" w:eastAsia="仿宋_GB2312" w:cs="仿宋_GB2312"/>
          <w:sz w:val="32"/>
          <w:szCs w:val="32"/>
          <w:highlight w:val="none"/>
        </w:rPr>
      </w:pPr>
    </w:p>
    <w:p w14:paraId="3A678C67">
      <w:pPr>
        <w:spacing w:line="560" w:lineRule="exact"/>
        <w:ind w:firstLine="640" w:firstLineChars="200"/>
        <w:rPr>
          <w:rFonts w:ascii="仿宋_GB2312" w:hAnsi="仿宋_GB2312" w:eastAsia="仿宋_GB2312" w:cs="仿宋_GB2312"/>
          <w:sz w:val="32"/>
          <w:szCs w:val="32"/>
          <w:highlight w:val="none"/>
        </w:rPr>
      </w:pPr>
    </w:p>
    <w:p w14:paraId="585F3FD6">
      <w:pPr>
        <w:spacing w:line="560" w:lineRule="exact"/>
        <w:ind w:firstLine="640" w:firstLineChars="200"/>
        <w:rPr>
          <w:rFonts w:ascii="仿宋_GB2312" w:hAnsi="仿宋_GB2312" w:eastAsia="仿宋_GB2312" w:cs="仿宋_GB2312"/>
          <w:sz w:val="32"/>
          <w:szCs w:val="32"/>
          <w:highlight w:val="none"/>
        </w:rPr>
      </w:pPr>
    </w:p>
    <w:p w14:paraId="3FA1C0AB">
      <w:pPr>
        <w:spacing w:line="560" w:lineRule="exact"/>
        <w:ind w:firstLine="640" w:firstLineChars="200"/>
        <w:rPr>
          <w:rFonts w:ascii="仿宋_GB2312" w:hAnsi="仿宋_GB2312" w:eastAsia="仿宋_GB2312" w:cs="仿宋_GB2312"/>
          <w:sz w:val="32"/>
          <w:szCs w:val="32"/>
          <w:highlight w:val="none"/>
        </w:rPr>
      </w:pPr>
    </w:p>
    <w:p w14:paraId="6CE29A9D">
      <w:pPr>
        <w:spacing w:line="560" w:lineRule="exact"/>
        <w:ind w:firstLine="640" w:firstLineChars="200"/>
        <w:rPr>
          <w:rFonts w:ascii="仿宋_GB2312" w:hAnsi="仿宋_GB2312" w:eastAsia="仿宋_GB2312" w:cs="仿宋_GB2312"/>
          <w:sz w:val="32"/>
          <w:szCs w:val="32"/>
          <w:highlight w:val="none"/>
        </w:rPr>
      </w:pPr>
    </w:p>
    <w:p w14:paraId="34191222">
      <w:pPr>
        <w:autoSpaceDE w:val="0"/>
        <w:autoSpaceDN w:val="0"/>
        <w:spacing w:line="560" w:lineRule="exact"/>
        <w:ind w:firstLine="624" w:firstLineChars="200"/>
        <w:rPr>
          <w:rFonts w:ascii="仿宋_GB2312" w:hAnsi="仿宋_GB2312" w:eastAsia="仿宋_GB2312" w:cs="仿宋_GB2312"/>
          <w:spacing w:val="-4"/>
          <w:sz w:val="32"/>
          <w:szCs w:val="32"/>
          <w:highlight w:val="none"/>
        </w:rPr>
      </w:pPr>
    </w:p>
    <w:p w14:paraId="4303B5A3">
      <w:pPr>
        <w:autoSpaceDE w:val="0"/>
        <w:spacing w:line="560" w:lineRule="exact"/>
        <w:ind w:firstLine="640" w:firstLineChars="200"/>
        <w:jc w:val="left"/>
        <w:rPr>
          <w:rFonts w:ascii="仿宋_GB2312" w:hAnsi="仿宋_GB2312" w:eastAsia="仿宋_GB2312" w:cs="仿宋_GB2312"/>
          <w:bCs/>
          <w:sz w:val="32"/>
          <w:szCs w:val="32"/>
          <w:highlight w:val="none"/>
          <w:lang w:bidi="ar"/>
        </w:rPr>
      </w:pPr>
    </w:p>
    <w:p w14:paraId="29472AEB">
      <w:pPr>
        <w:autoSpaceDE w:val="0"/>
        <w:spacing w:line="560" w:lineRule="exact"/>
        <w:ind w:firstLine="640" w:firstLineChars="200"/>
        <w:jc w:val="left"/>
        <w:rPr>
          <w:rFonts w:ascii="仿宋_GB2312" w:hAnsi="仿宋_GB2312" w:eastAsia="仿宋_GB2312" w:cs="仿宋_GB2312"/>
          <w:bCs/>
          <w:sz w:val="32"/>
          <w:szCs w:val="32"/>
          <w:highlight w:val="none"/>
          <w:lang w:bidi="ar"/>
        </w:rPr>
      </w:pPr>
    </w:p>
    <w:p w14:paraId="7CB11D9F">
      <w:pPr>
        <w:autoSpaceDE w:val="0"/>
        <w:autoSpaceDN w:val="0"/>
        <w:spacing w:line="560" w:lineRule="exact"/>
        <w:ind w:firstLine="624" w:firstLineChars="200"/>
        <w:rPr>
          <w:rFonts w:ascii="仿宋_GB2312" w:hAnsi="仿宋_GB2312" w:eastAsia="仿宋_GB2312" w:cs="仿宋_GB2312"/>
          <w:spacing w:val="-4"/>
          <w:sz w:val="32"/>
          <w:szCs w:val="32"/>
          <w:highlight w:val="none"/>
        </w:rPr>
      </w:pPr>
    </w:p>
    <w:sectPr>
      <w:footerReference r:id="rId7" w:type="default"/>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ABF39">
    <w:pPr>
      <w:pStyle w:val="9"/>
      <w:framePr w:w="1081" w:wrap="around" w:x="5851" w:y="-665"/>
      <w:rPr>
        <w:rStyle w:val="16"/>
      </w:rPr>
    </w:pPr>
    <w:r>
      <w:fldChar w:fldCharType="begin"/>
    </w:r>
    <w:r>
      <w:rPr>
        <w:rStyle w:val="16"/>
      </w:rPr>
      <w:instrText xml:space="preserve">PAGE  </w:instrText>
    </w:r>
    <w:r>
      <w:fldChar w:fldCharType="separate"/>
    </w:r>
    <w:r>
      <w:rPr>
        <w:rStyle w:val="16"/>
      </w:rPr>
      <w:t>- 12 -</w:t>
    </w:r>
    <w:r>
      <w:fldChar w:fldCharType="end"/>
    </w:r>
  </w:p>
  <w:p w14:paraId="6E3D715E">
    <w:pPr>
      <w:pStyle w:val="9"/>
      <w:framePr w:w="1081" w:wrap="around" w:x="5851" w:y="-66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EA402">
    <w:pPr>
      <w:pStyle w:val="9"/>
      <w:framePr w:wrap="around"/>
      <w:rPr>
        <w:rStyle w:val="16"/>
      </w:rPr>
    </w:pPr>
    <w:r>
      <w:fldChar w:fldCharType="begin"/>
    </w:r>
    <w:r>
      <w:rPr>
        <w:rStyle w:val="16"/>
      </w:rPr>
      <w:instrText xml:space="preserve">PAGE  </w:instrText>
    </w:r>
    <w:r>
      <w:fldChar w:fldCharType="end"/>
    </w:r>
  </w:p>
  <w:p w14:paraId="240CDCED">
    <w:pPr>
      <w:pStyle w:val="9"/>
      <w:framePr w:wrap="arou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64">
    <w:pPr>
      <w:pStyle w:val="9"/>
      <w:framePr w:w="811" w:wrap="around" w:x="5266" w:y="-380"/>
    </w:pPr>
    <w:r>
      <w:fldChar w:fldCharType="begin"/>
    </w:r>
    <w:r>
      <w:instrText xml:space="preserve">PAGE   \* MERGEFORMAT</w:instrText>
    </w:r>
    <w:r>
      <w:fldChar w:fldCharType="separate"/>
    </w:r>
    <w:r>
      <w:rPr>
        <w:lang w:val="zh-CN"/>
      </w:rPr>
      <w:t>-</w:t>
    </w:r>
    <w:r>
      <w:t xml:space="preserve"> 1 -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F5704">
    <w:pPr>
      <w:pStyle w:val="9"/>
      <w:framePr w:wrap="around"/>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2E301">
                          <w:pPr>
                            <w:pStyle w:val="9"/>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4862E301">
                    <w:pPr>
                      <w:pStyle w:val="9"/>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A2FBB">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zkzNDNkZTBkODQzM2MzNmYwMzRmYTljZWFmODkifQ=="/>
  </w:docVars>
  <w:rsids>
    <w:rsidRoot w:val="4E7A625A"/>
    <w:rsid w:val="000767A9"/>
    <w:rsid w:val="000C5D9B"/>
    <w:rsid w:val="001C314E"/>
    <w:rsid w:val="00225653"/>
    <w:rsid w:val="00245A99"/>
    <w:rsid w:val="003513F9"/>
    <w:rsid w:val="003573B6"/>
    <w:rsid w:val="005F7F7E"/>
    <w:rsid w:val="00622EBE"/>
    <w:rsid w:val="007C09DA"/>
    <w:rsid w:val="008C65CA"/>
    <w:rsid w:val="00A01A0A"/>
    <w:rsid w:val="00B51FAF"/>
    <w:rsid w:val="00C220B7"/>
    <w:rsid w:val="00D93B9A"/>
    <w:rsid w:val="00DC682C"/>
    <w:rsid w:val="00E975A6"/>
    <w:rsid w:val="00F0589F"/>
    <w:rsid w:val="00F439A7"/>
    <w:rsid w:val="00F60ED7"/>
    <w:rsid w:val="00FA4245"/>
    <w:rsid w:val="00FB2602"/>
    <w:rsid w:val="013851DA"/>
    <w:rsid w:val="01722330"/>
    <w:rsid w:val="018E14F6"/>
    <w:rsid w:val="01BE1198"/>
    <w:rsid w:val="02833332"/>
    <w:rsid w:val="029137FA"/>
    <w:rsid w:val="03647853"/>
    <w:rsid w:val="054144F3"/>
    <w:rsid w:val="05CB4E38"/>
    <w:rsid w:val="06033F82"/>
    <w:rsid w:val="06236B88"/>
    <w:rsid w:val="06665720"/>
    <w:rsid w:val="06690735"/>
    <w:rsid w:val="068E3768"/>
    <w:rsid w:val="06940536"/>
    <w:rsid w:val="073C3880"/>
    <w:rsid w:val="08AD2EF4"/>
    <w:rsid w:val="08CC4A1B"/>
    <w:rsid w:val="090048DC"/>
    <w:rsid w:val="0A305844"/>
    <w:rsid w:val="0AC63F81"/>
    <w:rsid w:val="0BBE4019"/>
    <w:rsid w:val="0C10591B"/>
    <w:rsid w:val="0C7B72F6"/>
    <w:rsid w:val="0E96630C"/>
    <w:rsid w:val="0F362BEE"/>
    <w:rsid w:val="10495085"/>
    <w:rsid w:val="105E7254"/>
    <w:rsid w:val="10623011"/>
    <w:rsid w:val="113B44EC"/>
    <w:rsid w:val="11B81FE1"/>
    <w:rsid w:val="12396644"/>
    <w:rsid w:val="13B33406"/>
    <w:rsid w:val="1407618A"/>
    <w:rsid w:val="140A17A1"/>
    <w:rsid w:val="141E6E98"/>
    <w:rsid w:val="157C2289"/>
    <w:rsid w:val="1586742B"/>
    <w:rsid w:val="161964C6"/>
    <w:rsid w:val="164C74DA"/>
    <w:rsid w:val="168D7598"/>
    <w:rsid w:val="17251F02"/>
    <w:rsid w:val="191507FE"/>
    <w:rsid w:val="19694374"/>
    <w:rsid w:val="1B213295"/>
    <w:rsid w:val="1B4A3ACE"/>
    <w:rsid w:val="1B4C2CD0"/>
    <w:rsid w:val="1B565763"/>
    <w:rsid w:val="1BB524F5"/>
    <w:rsid w:val="1C391C39"/>
    <w:rsid w:val="1C3D736A"/>
    <w:rsid w:val="1CB117C2"/>
    <w:rsid w:val="1D777799"/>
    <w:rsid w:val="1DD65CC8"/>
    <w:rsid w:val="1E54175F"/>
    <w:rsid w:val="1E56319D"/>
    <w:rsid w:val="1F163E84"/>
    <w:rsid w:val="1F325180"/>
    <w:rsid w:val="1F8343DB"/>
    <w:rsid w:val="20396400"/>
    <w:rsid w:val="20480747"/>
    <w:rsid w:val="2164555B"/>
    <w:rsid w:val="218B0B78"/>
    <w:rsid w:val="219C367C"/>
    <w:rsid w:val="21DD7533"/>
    <w:rsid w:val="21FD729B"/>
    <w:rsid w:val="220B1557"/>
    <w:rsid w:val="22993263"/>
    <w:rsid w:val="24A7216D"/>
    <w:rsid w:val="24AA7A3F"/>
    <w:rsid w:val="24BB4C9A"/>
    <w:rsid w:val="25CA2B30"/>
    <w:rsid w:val="269F1681"/>
    <w:rsid w:val="26B618CC"/>
    <w:rsid w:val="27DE2FC0"/>
    <w:rsid w:val="28CA01D8"/>
    <w:rsid w:val="29FC40F3"/>
    <w:rsid w:val="2A614A98"/>
    <w:rsid w:val="2C244FA1"/>
    <w:rsid w:val="2C6142AE"/>
    <w:rsid w:val="2CCF4C96"/>
    <w:rsid w:val="2E417D09"/>
    <w:rsid w:val="2EA3406A"/>
    <w:rsid w:val="2F124E51"/>
    <w:rsid w:val="2F4733FE"/>
    <w:rsid w:val="2F913390"/>
    <w:rsid w:val="2FBD0A5E"/>
    <w:rsid w:val="2FE619F1"/>
    <w:rsid w:val="30731155"/>
    <w:rsid w:val="33081F33"/>
    <w:rsid w:val="33D32CCC"/>
    <w:rsid w:val="34FD1935"/>
    <w:rsid w:val="384977AD"/>
    <w:rsid w:val="3CFD4441"/>
    <w:rsid w:val="3DDE0DD4"/>
    <w:rsid w:val="3DF8713D"/>
    <w:rsid w:val="3E0A4B97"/>
    <w:rsid w:val="3EA9688B"/>
    <w:rsid w:val="3EAE5407"/>
    <w:rsid w:val="3EBA0082"/>
    <w:rsid w:val="3EFD02AE"/>
    <w:rsid w:val="3F07387E"/>
    <w:rsid w:val="3F0D6319"/>
    <w:rsid w:val="3F6F2FB1"/>
    <w:rsid w:val="3FE24949"/>
    <w:rsid w:val="40774C14"/>
    <w:rsid w:val="410200B3"/>
    <w:rsid w:val="425158A3"/>
    <w:rsid w:val="42AC759A"/>
    <w:rsid w:val="42C002CF"/>
    <w:rsid w:val="44FA347A"/>
    <w:rsid w:val="45290F50"/>
    <w:rsid w:val="452B1BAF"/>
    <w:rsid w:val="45812155"/>
    <w:rsid w:val="484D176C"/>
    <w:rsid w:val="48F32012"/>
    <w:rsid w:val="4A7B65EB"/>
    <w:rsid w:val="4B751DCD"/>
    <w:rsid w:val="4B8F10F9"/>
    <w:rsid w:val="4BEA27C8"/>
    <w:rsid w:val="4D1865A3"/>
    <w:rsid w:val="4E3E6DEE"/>
    <w:rsid w:val="4E7A625A"/>
    <w:rsid w:val="4EDD74E8"/>
    <w:rsid w:val="4F020368"/>
    <w:rsid w:val="4F80608F"/>
    <w:rsid w:val="4FC43323"/>
    <w:rsid w:val="503572C0"/>
    <w:rsid w:val="511757F2"/>
    <w:rsid w:val="511D4F82"/>
    <w:rsid w:val="51B3364F"/>
    <w:rsid w:val="55850EFA"/>
    <w:rsid w:val="55AD03B6"/>
    <w:rsid w:val="566B3D9C"/>
    <w:rsid w:val="57DA1D5C"/>
    <w:rsid w:val="57DD440B"/>
    <w:rsid w:val="57F24E68"/>
    <w:rsid w:val="58724BEF"/>
    <w:rsid w:val="58BB30A2"/>
    <w:rsid w:val="58EF4377"/>
    <w:rsid w:val="58F447C2"/>
    <w:rsid w:val="594E12AA"/>
    <w:rsid w:val="59537B91"/>
    <w:rsid w:val="5966217F"/>
    <w:rsid w:val="59C15A6E"/>
    <w:rsid w:val="59F2097D"/>
    <w:rsid w:val="5A186745"/>
    <w:rsid w:val="5AB3021C"/>
    <w:rsid w:val="5B432946"/>
    <w:rsid w:val="5B780141"/>
    <w:rsid w:val="5B8D6102"/>
    <w:rsid w:val="5BD73D3B"/>
    <w:rsid w:val="5C1473E0"/>
    <w:rsid w:val="5E137A36"/>
    <w:rsid w:val="5E5553C7"/>
    <w:rsid w:val="5ECE2D52"/>
    <w:rsid w:val="607C3927"/>
    <w:rsid w:val="612B684E"/>
    <w:rsid w:val="61527712"/>
    <w:rsid w:val="63176E75"/>
    <w:rsid w:val="637A5646"/>
    <w:rsid w:val="639A01CB"/>
    <w:rsid w:val="63F4603A"/>
    <w:rsid w:val="63FA4B54"/>
    <w:rsid w:val="64093F70"/>
    <w:rsid w:val="651346D9"/>
    <w:rsid w:val="65923B91"/>
    <w:rsid w:val="66017F6E"/>
    <w:rsid w:val="66D90E30"/>
    <w:rsid w:val="68110444"/>
    <w:rsid w:val="68352BB8"/>
    <w:rsid w:val="68AB6990"/>
    <w:rsid w:val="69173724"/>
    <w:rsid w:val="6AA40BD1"/>
    <w:rsid w:val="6BEB5FCA"/>
    <w:rsid w:val="6BFA3EFD"/>
    <w:rsid w:val="6E2C2368"/>
    <w:rsid w:val="6F257305"/>
    <w:rsid w:val="70162D6E"/>
    <w:rsid w:val="704045D3"/>
    <w:rsid w:val="709538A7"/>
    <w:rsid w:val="70E76A1A"/>
    <w:rsid w:val="71726A12"/>
    <w:rsid w:val="71C05E95"/>
    <w:rsid w:val="72223297"/>
    <w:rsid w:val="73B75D5F"/>
    <w:rsid w:val="73E0463F"/>
    <w:rsid w:val="74231ACE"/>
    <w:rsid w:val="748553D3"/>
    <w:rsid w:val="76527987"/>
    <w:rsid w:val="773E295A"/>
    <w:rsid w:val="77B57F4F"/>
    <w:rsid w:val="77D15D7E"/>
    <w:rsid w:val="78091B5E"/>
    <w:rsid w:val="783B658D"/>
    <w:rsid w:val="786C52AB"/>
    <w:rsid w:val="78AD248D"/>
    <w:rsid w:val="7A4C17D5"/>
    <w:rsid w:val="7B1962B6"/>
    <w:rsid w:val="7C865339"/>
    <w:rsid w:val="7C8A4B4C"/>
    <w:rsid w:val="7C907F65"/>
    <w:rsid w:val="7C98391B"/>
    <w:rsid w:val="7D64046A"/>
    <w:rsid w:val="7D8A04D8"/>
    <w:rsid w:val="7DC26768"/>
    <w:rsid w:val="7E5D61B0"/>
    <w:rsid w:val="7EB70070"/>
    <w:rsid w:val="7FC71EF0"/>
    <w:rsid w:val="98FF49CE"/>
    <w:rsid w:val="9FAEA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00" w:line="440" w:lineRule="exact"/>
      <w:ind w:right="-2" w:rightChars="-1"/>
    </w:pPr>
    <w:rPr>
      <w:rFonts w:ascii="宋体" w:hAnsi="宋体"/>
      <w:sz w:val="28"/>
    </w:rPr>
  </w:style>
  <w:style w:type="paragraph" w:styleId="4">
    <w:name w:val="annotation text"/>
    <w:basedOn w:val="1"/>
    <w:link w:val="20"/>
    <w:qFormat/>
    <w:uiPriority w:val="0"/>
    <w:pPr>
      <w:jc w:val="left"/>
    </w:pPr>
  </w:style>
  <w:style w:type="paragraph" w:styleId="5">
    <w:name w:val="Body Text Indent"/>
    <w:basedOn w:val="1"/>
    <w:next w:val="6"/>
    <w:qFormat/>
    <w:uiPriority w:val="0"/>
    <w:pPr>
      <w:spacing w:line="360" w:lineRule="auto"/>
      <w:ind w:firstLine="570"/>
    </w:pPr>
    <w:rPr>
      <w:sz w:val="24"/>
    </w:rPr>
  </w:style>
  <w:style w:type="paragraph" w:styleId="6">
    <w:name w:val="Body Text First Indent 2"/>
    <w:basedOn w:val="1"/>
    <w:next w:val="1"/>
    <w:qFormat/>
    <w:uiPriority w:val="99"/>
    <w:pPr>
      <w:spacing w:after="120"/>
      <w:ind w:left="420" w:leftChars="200" w:firstLine="420"/>
    </w:pPr>
    <w:rPr>
      <w:color w:val="000000"/>
      <w:sz w:val="20"/>
    </w:rPr>
  </w:style>
  <w:style w:type="paragraph" w:styleId="7">
    <w:name w:val="Plain Text"/>
    <w:basedOn w:val="1"/>
    <w:autoRedefine/>
    <w:qFormat/>
    <w:uiPriority w:val="0"/>
    <w:rPr>
      <w:rFonts w:ascii="宋体" w:hAnsi="Courier New"/>
      <w:szCs w:val="24"/>
    </w:rPr>
  </w:style>
  <w:style w:type="paragraph" w:styleId="8">
    <w:name w:val="Balloon Text"/>
    <w:basedOn w:val="1"/>
    <w:link w:val="22"/>
    <w:autoRedefine/>
    <w:qFormat/>
    <w:uiPriority w:val="0"/>
    <w:rPr>
      <w:sz w:val="18"/>
      <w:szCs w:val="18"/>
    </w:rPr>
  </w:style>
  <w:style w:type="paragraph" w:styleId="9">
    <w:name w:val="footer"/>
    <w:basedOn w:val="1"/>
    <w:autoRedefine/>
    <w:qFormat/>
    <w:uiPriority w:val="0"/>
    <w:pPr>
      <w:framePr w:w="181" w:wrap="around" w:vAnchor="text" w:hAnchor="page" w:x="5896" w:y="7"/>
      <w:tabs>
        <w:tab w:val="center" w:pos="4153"/>
        <w:tab w:val="right" w:pos="8306"/>
      </w:tabs>
      <w:snapToGrid w:val="0"/>
      <w:jc w:val="left"/>
    </w:pPr>
    <w:rPr>
      <w:rFonts w:asciiTheme="minorEastAsia" w:hAnsiTheme="minorEastAsia" w:eastAsiaTheme="minorEastAsia"/>
      <w:sz w:val="28"/>
      <w:szCs w:val="2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4"/>
    <w:next w:val="4"/>
    <w:link w:val="21"/>
    <w:qFormat/>
    <w:uiPriority w:val="0"/>
    <w:rPr>
      <w:b/>
      <w:bCs/>
    </w:rPr>
  </w:style>
  <w:style w:type="character" w:styleId="15">
    <w:name w:val="Strong"/>
    <w:basedOn w:val="14"/>
    <w:qFormat/>
    <w:uiPriority w:val="22"/>
    <w:rPr>
      <w:b/>
      <w:bCs/>
    </w:rPr>
  </w:style>
  <w:style w:type="character" w:styleId="16">
    <w:name w:val="page number"/>
    <w:qFormat/>
    <w:uiPriority w:val="0"/>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p0"/>
    <w:basedOn w:val="1"/>
    <w:qFormat/>
    <w:uiPriority w:val="0"/>
    <w:pPr>
      <w:widowControl/>
    </w:pPr>
    <w:rPr>
      <w:rFonts w:ascii="Calibri" w:hAnsi="Calibri" w:cs="宋体"/>
      <w:kern w:val="0"/>
      <w:szCs w:val="21"/>
    </w:rPr>
  </w:style>
  <w:style w:type="character" w:customStyle="1" w:styleId="20">
    <w:name w:val="批注文字 Char"/>
    <w:basedOn w:val="14"/>
    <w:link w:val="4"/>
    <w:qFormat/>
    <w:uiPriority w:val="0"/>
    <w:rPr>
      <w:kern w:val="2"/>
      <w:sz w:val="21"/>
    </w:rPr>
  </w:style>
  <w:style w:type="character" w:customStyle="1" w:styleId="21">
    <w:name w:val="批注主题 Char"/>
    <w:basedOn w:val="20"/>
    <w:link w:val="12"/>
    <w:qFormat/>
    <w:uiPriority w:val="0"/>
    <w:rPr>
      <w:b/>
      <w:bCs/>
      <w:kern w:val="2"/>
      <w:sz w:val="21"/>
    </w:rPr>
  </w:style>
  <w:style w:type="character" w:customStyle="1" w:styleId="22">
    <w:name w:val="批注框文本 Char"/>
    <w:basedOn w:val="14"/>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6F5F05-45B8-4D87-A97A-C12646EE4394}">
  <ds:schemaRefs/>
</ds:datastoreItem>
</file>

<file path=docProps/app.xml><?xml version="1.0" encoding="utf-8"?>
<Properties xmlns="http://schemas.openxmlformats.org/officeDocument/2006/extended-properties" xmlns:vt="http://schemas.openxmlformats.org/officeDocument/2006/docPropsVTypes">
  <Template>Normal</Template>
  <Pages>16</Pages>
  <Words>5412</Words>
  <Characters>5600</Characters>
  <Lines>43</Lines>
  <Paragraphs>12</Paragraphs>
  <TotalTime>26</TotalTime>
  <ScaleCrop>false</ScaleCrop>
  <LinksUpToDate>false</LinksUpToDate>
  <CharactersWithSpaces>5886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2024-02-01T11:09:00Z</dcterms:created>
  <dc:creator>糖果</dc:creator>
  <cp:lastModifiedBy>刘潍</cp:lastModifiedBy>
  <dcterms:modified xsi:type="dcterms:W3CDTF">2025-06-06T08:39:28Z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2AA4F8F6479045DC8430851271D4AB3C_13</vt:lpwstr>
  </property>
  <property fmtid="{D5CDD505-2E9C-101B-9397-08002B2CF9AE}" pid="4" name="KSOTemplateDocerSaveRecord">
    <vt:lpwstr>eyJoZGlkIjoiMDc3OTNlYWQ1N2NiMGU1ODNiOTdkNWRiYjRlY2Q5ZTciLCJ1c2VySWQiOiI2MDg1NjgyMTAifQ==</vt:lpwstr>
  </property>
</Properties>
</file>