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号：MHJ2025</w:t>
      </w:r>
      <w:r>
        <w:rPr>
          <w:rFonts w:hint="eastAsia" w:ascii="宋体" w:hAnsi="宋体"/>
          <w:b/>
          <w:sz w:val="30"/>
          <w:highlight w:val="none"/>
          <w:lang w:val="en-US" w:eastAsia="zh-CN"/>
        </w:rPr>
        <w:t>043</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eastAsia="宋体"/>
          <w:sz w:val="32"/>
          <w:highlight w:val="none"/>
          <w:u w:val="single"/>
          <w:lang w:val="en-US" w:eastAsia="zh-CN"/>
        </w:rPr>
      </w:pPr>
      <w:r>
        <w:rPr>
          <w:rFonts w:hint="eastAsia" w:ascii="宋体" w:hAnsi="宋体"/>
          <w:sz w:val="32"/>
          <w:highlight w:val="none"/>
        </w:rPr>
        <w:t>项目名称：</w:t>
      </w:r>
      <w:bookmarkStart w:id="4" w:name="_GoBack"/>
      <w:bookmarkEnd w:id="4"/>
      <w:r>
        <w:rPr>
          <w:rFonts w:hint="eastAsia" w:ascii="宋体" w:hAnsi="宋体"/>
          <w:sz w:val="32"/>
          <w:highlight w:val="none"/>
          <w:u w:val="single"/>
        </w:rPr>
        <w:t>博学楼外墙和围墙出新</w:t>
      </w:r>
      <w:r>
        <w:rPr>
          <w:rFonts w:hint="eastAsia" w:ascii="宋体" w:hAnsi="宋体"/>
          <w:sz w:val="32"/>
          <w:highlight w:val="none"/>
          <w:u w:val="single"/>
          <w:lang w:val="en-US" w:eastAsia="zh-CN"/>
        </w:rPr>
        <w:t>项目</w:t>
      </w:r>
    </w:p>
    <w:p w14:paraId="351DBEEF">
      <w:pPr>
        <w:spacing w:line="360" w:lineRule="auto"/>
        <w:ind w:left="3006" w:leftChars="375" w:hanging="2256" w:hangingChars="705"/>
        <w:jc w:val="both"/>
        <w:rPr>
          <w:rFonts w:ascii="宋体" w:hAnsi="宋体"/>
          <w:sz w:val="32"/>
          <w:highlight w:val="none"/>
        </w:rPr>
      </w:pPr>
    </w:p>
    <w:p w14:paraId="69888512">
      <w:pPr>
        <w:ind w:firstLine="800" w:firstLineChars="250"/>
        <w:rPr>
          <w:rFonts w:hint="eastAsia" w:ascii="宋体" w:hAnsi="宋体"/>
          <w:sz w:val="32"/>
          <w:highlight w:val="none"/>
          <w:u w:val="single"/>
        </w:rPr>
      </w:pPr>
      <w:r>
        <w:rPr>
          <w:rFonts w:hint="eastAsia" w:ascii="宋体" w:hAnsi="宋体"/>
          <w:sz w:val="32"/>
          <w:highlight w:val="none"/>
        </w:rPr>
        <w:t>招 标 人（章）：</w:t>
      </w:r>
      <w:r>
        <w:rPr>
          <w:rFonts w:hint="eastAsia" w:ascii="宋体" w:hAnsi="宋体"/>
          <w:sz w:val="32"/>
          <w:highlight w:val="none"/>
          <w:u w:val="single"/>
        </w:rPr>
        <w:t>常州市新北区孟河中心小学</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6</w:t>
      </w:r>
      <w:r>
        <w:rPr>
          <w:rFonts w:hint="eastAsia" w:ascii="宋体" w:hAnsi="宋体"/>
          <w:sz w:val="32"/>
          <w:highlight w:val="none"/>
          <w:u w:val="single"/>
        </w:rPr>
        <w:t>月</w:t>
      </w:r>
      <w:r>
        <w:rPr>
          <w:rFonts w:hint="eastAsia" w:ascii="宋体" w:hAnsi="宋体"/>
          <w:sz w:val="32"/>
          <w:highlight w:val="none"/>
          <w:u w:val="single"/>
          <w:lang w:val="en-US" w:eastAsia="zh-CN"/>
        </w:rPr>
        <w:t>12</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52FE60F">
      <w:pPr>
        <w:adjustRightInd w:val="0"/>
        <w:snapToGrid w:val="0"/>
        <w:spacing w:line="300" w:lineRule="auto"/>
        <w:ind w:firstLine="2560" w:firstLineChars="850"/>
        <w:rPr>
          <w:rFonts w:ascii="宋体" w:hAnsi="宋体"/>
          <w:b/>
          <w:snapToGrid w:val="0"/>
          <w:sz w:val="30"/>
          <w:szCs w:val="30"/>
          <w:highlight w:val="none"/>
        </w:rPr>
      </w:pPr>
      <w:r>
        <w:rPr>
          <w:rFonts w:ascii="宋体" w:hAnsi="宋体"/>
          <w:b/>
          <w:snapToGrid w:val="0"/>
          <w:sz w:val="30"/>
          <w:szCs w:val="30"/>
          <w:highlight w:val="none"/>
        </w:rPr>
        <w:t>常州市建设工程招标投标办公室制</w:t>
      </w:r>
    </w:p>
    <w:p w14:paraId="70FD7364">
      <w:pPr>
        <w:widowControl w:val="0"/>
        <w:spacing w:line="560" w:lineRule="exact"/>
        <w:ind w:firstLine="3889"/>
        <w:jc w:val="both"/>
        <w:rPr>
          <w:rFonts w:ascii="宋体" w:hAnsi="宋体"/>
          <w:b/>
          <w:kern w:val="2"/>
          <w:sz w:val="44"/>
          <w:highlight w:val="none"/>
        </w:rPr>
      </w:pP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553BC63D">
            <w:pPr>
              <w:jc w:val="center"/>
              <w:rPr>
                <w:rFonts w:hint="eastAsia" w:ascii="宋体" w:hAnsi="宋体" w:eastAsia="宋体"/>
                <w:sz w:val="21"/>
                <w:szCs w:val="21"/>
                <w:highlight w:val="none"/>
                <w:lang w:val="en-US" w:eastAsia="zh-CN"/>
              </w:rPr>
            </w:pPr>
            <w:r>
              <w:rPr>
                <w:rFonts w:hint="eastAsia" w:ascii="宋体" w:hAnsi="宋体"/>
                <w:sz w:val="21"/>
                <w:szCs w:val="21"/>
                <w:highlight w:val="none"/>
              </w:rPr>
              <w:t>博学楼外墙和围墙出新</w:t>
            </w:r>
            <w:r>
              <w:rPr>
                <w:rFonts w:hint="eastAsia" w:ascii="宋体" w:hAnsi="宋体"/>
                <w:sz w:val="21"/>
                <w:szCs w:val="21"/>
                <w:highlight w:val="none"/>
                <w:lang w:val="en-US" w:eastAsia="zh-CN"/>
              </w:rPr>
              <w:t>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sz w:val="21"/>
                <w:szCs w:val="21"/>
                <w:highlight w:val="none"/>
                <w:lang w:val="en-US" w:eastAsia="zh-CN"/>
              </w:rPr>
              <w:t>蒋</w:t>
            </w:r>
            <w:r>
              <w:rPr>
                <w:rFonts w:hint="eastAsia" w:ascii="宋体" w:hAnsi="宋体"/>
                <w:sz w:val="21"/>
                <w:szCs w:val="21"/>
                <w:highlight w:val="none"/>
              </w:rPr>
              <w:t>工</w:t>
            </w:r>
          </w:p>
        </w:tc>
        <w:tc>
          <w:tcPr>
            <w:tcW w:w="1417" w:type="dxa"/>
            <w:gridSpan w:val="2"/>
            <w:vAlign w:val="center"/>
          </w:tcPr>
          <w:p w14:paraId="66313C48">
            <w:pPr>
              <w:jc w:val="center"/>
              <w:rPr>
                <w:rFonts w:ascii="宋体" w:hAnsi="宋体"/>
                <w:sz w:val="21"/>
                <w:szCs w:val="21"/>
                <w:highlight w:val="none"/>
              </w:rPr>
            </w:pPr>
            <w:r>
              <w:rPr>
                <w:rFonts w:hint="eastAsia" w:ascii="宋体" w:hAnsi="宋体"/>
                <w:sz w:val="21"/>
                <w:szCs w:val="21"/>
                <w:highlight w:val="none"/>
              </w:rPr>
              <w:t>电  话</w:t>
            </w:r>
          </w:p>
        </w:tc>
        <w:tc>
          <w:tcPr>
            <w:tcW w:w="2891" w:type="dxa"/>
            <w:gridSpan w:val="2"/>
            <w:tcBorders>
              <w:bottom w:val="single" w:color="auto" w:sz="4" w:space="0"/>
            </w:tcBorders>
            <w:vAlign w:val="center"/>
          </w:tcPr>
          <w:p w14:paraId="14F3DCE1">
            <w:pPr>
              <w:spacing w:line="340" w:lineRule="atLeast"/>
              <w:jc w:val="center"/>
              <w:rPr>
                <w:rFonts w:ascii="宋体" w:hAnsi="宋体"/>
                <w:sz w:val="21"/>
                <w:szCs w:val="21"/>
                <w:highlight w:val="none"/>
              </w:rPr>
            </w:pPr>
            <w:r>
              <w:rPr>
                <w:rFonts w:hint="eastAsia" w:ascii="宋体" w:hAnsi="宋体"/>
                <w:color w:val="000000"/>
                <w:szCs w:val="21"/>
                <w:highlight w:val="none"/>
              </w:rPr>
              <w:t>0519-</w:t>
            </w:r>
            <w:r>
              <w:rPr>
                <w:rFonts w:hint="eastAsia" w:ascii="宋体" w:hAnsi="宋体"/>
                <w:color w:val="000000"/>
                <w:szCs w:val="21"/>
                <w:highlight w:val="none"/>
                <w:lang w:val="en-US" w:eastAsia="zh-CN"/>
              </w:rPr>
              <w:t>82018281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sz w:val="21"/>
                <w:szCs w:val="21"/>
                <w:highlight w:val="none"/>
              </w:rPr>
              <w:t>QQ</w:t>
            </w:r>
          </w:p>
        </w:tc>
        <w:tc>
          <w:tcPr>
            <w:tcW w:w="2891" w:type="dxa"/>
            <w:gridSpan w:val="2"/>
            <w:tcBorders>
              <w:bottom w:val="single" w:color="auto" w:sz="4" w:space="0"/>
            </w:tcBorders>
            <w:vAlign w:val="center"/>
          </w:tcPr>
          <w:p w14:paraId="2786DD4F">
            <w:pPr>
              <w:spacing w:line="340" w:lineRule="atLeast"/>
              <w:jc w:val="center"/>
              <w:rPr>
                <w:rFonts w:ascii="宋体" w:hAnsi="宋体"/>
                <w:sz w:val="21"/>
                <w:szCs w:val="21"/>
                <w:highlight w:val="none"/>
              </w:rPr>
            </w:pPr>
            <w:r>
              <w:rPr>
                <w:rFonts w:hint="eastAsia" w:ascii="宋体" w:hAnsi="宋体"/>
                <w:sz w:val="21"/>
                <w:szCs w:val="21"/>
                <w:highlight w:val="none"/>
                <w:lang w:val="en-US" w:eastAsia="zh-CN"/>
              </w:rPr>
              <w:t>3492013359</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 xml:space="preserve"> 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hint="eastAsia" w:ascii="宋体" w:hAnsi="宋体" w:eastAsia="宋体"/>
                <w:sz w:val="21"/>
                <w:szCs w:val="21"/>
                <w:highlight w:val="none"/>
                <w:lang w:eastAsia="zh-CN"/>
              </w:rPr>
            </w:pPr>
            <w:r>
              <w:rPr>
                <w:rFonts w:hint="eastAsia" w:ascii="宋体" w:hAnsi="宋体"/>
                <w:sz w:val="21"/>
                <w:szCs w:val="21"/>
                <w:highlight w:val="none"/>
                <w:lang w:val="en-US" w:eastAsia="zh-CN"/>
              </w:rPr>
              <w:t>房建工程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1FB89BD5">
            <w:pPr>
              <w:ind w:right="-106" w:rightChars="-53"/>
              <w:rPr>
                <w:rFonts w:ascii="宋体" w:hAnsi="宋体" w:cs="宋体"/>
                <w:sz w:val="21"/>
                <w:szCs w:val="21"/>
                <w:highlight w:val="none"/>
              </w:rPr>
            </w:pPr>
            <w:r>
              <w:rPr>
                <w:rFonts w:hint="eastAsia" w:ascii="宋体" w:hAnsi="宋体" w:eastAsia="宋体" w:cs="宋体"/>
                <w:sz w:val="21"/>
                <w:szCs w:val="21"/>
                <w:highlight w:val="none"/>
              </w:rPr>
              <w:t>接收人：常州市新北区孟河中心小学</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6</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19</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6</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19</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p w14:paraId="4C11D1FB">
            <w:pPr>
              <w:ind w:right="-106" w:rightChars="-53"/>
              <w:rPr>
                <w:rFonts w:ascii="宋体" w:hAnsi="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16</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lang w:val="en-US" w:eastAsia="zh-CN"/>
        </w:rPr>
        <w:t>longkongjs@163.com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sz w:val="21"/>
          <w:szCs w:val="21"/>
          <w:highlight w:val="none"/>
          <w:lang w:val="en-US" w:eastAsia="zh-CN"/>
        </w:rPr>
        <w:t>2025年6</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17</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rPr>
        <w:t xml:space="preserve"> </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404CB085">
      <w:pPr>
        <w:rPr>
          <w:rFonts w:ascii="宋体" w:hAnsi="宋体"/>
          <w:b/>
          <w:bCs/>
          <w:sz w:val="44"/>
          <w:highlight w:val="none"/>
        </w:rPr>
      </w:pPr>
    </w:p>
    <w:p w14:paraId="3430A685">
      <w:pPr>
        <w:rPr>
          <w:rFonts w:ascii="宋体" w:hAnsi="宋体"/>
          <w:b/>
          <w:bCs/>
          <w:sz w:val="44"/>
          <w:highlight w:val="none"/>
        </w:rPr>
      </w:pPr>
    </w:p>
    <w:p w14:paraId="2FE9013B">
      <w:pPr>
        <w:rPr>
          <w:rFonts w:ascii="宋体" w:hAnsi="宋体"/>
          <w:b/>
          <w:bCs/>
          <w:sz w:val="44"/>
          <w:highlight w:val="none"/>
        </w:rPr>
      </w:pPr>
    </w:p>
    <w:p w14:paraId="7640E2A8">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）：常州市新北区孟河中心小学</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rPr>
        <w:t>博学楼外墙和围墙出新</w:t>
      </w:r>
      <w:r>
        <w:rPr>
          <w:rFonts w:hint="eastAsia" w:ascii="宋体" w:hAnsi="宋体" w:cs="宋体"/>
          <w:spacing w:val="-1"/>
          <w:sz w:val="21"/>
          <w:szCs w:val="21"/>
          <w:highlight w:val="none"/>
          <w:u w:val="single"/>
          <w:lang w:val="en-US" w:eastAsia="zh-CN"/>
        </w:rPr>
        <w:t>项目</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rPr>
        <w:t>博学楼外墙和围墙出新</w:t>
      </w:r>
      <w:r>
        <w:rPr>
          <w:rFonts w:hint="eastAsia" w:ascii="宋体" w:hAnsi="宋体" w:cs="宋体"/>
          <w:spacing w:val="-1"/>
          <w:sz w:val="21"/>
          <w:szCs w:val="21"/>
          <w:highlight w:val="none"/>
          <w:u w:val="single"/>
          <w:lang w:val="en-US" w:eastAsia="zh-CN"/>
        </w:rPr>
        <w:t>项目</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p>
    <w:p w14:paraId="79501008">
      <w:pPr>
        <w:spacing w:line="480" w:lineRule="auto"/>
        <w:ind w:firstLine="416" w:firstLineChars="200"/>
        <w:rPr>
          <w:rFonts w:hint="default" w:ascii="宋体" w:hAnsi="宋体" w:eastAsia="宋体" w:cs="宋体"/>
          <w:spacing w:val="-1"/>
          <w:sz w:val="21"/>
          <w:szCs w:val="21"/>
          <w:highlight w:val="none"/>
          <w:u w:val="single"/>
          <w:lang w:val="en-US"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 xml:space="preserve">  </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95%+</w:t>
      </w:r>
      <w:r>
        <w:rPr>
          <w:rFonts w:hint="eastAsia" w:ascii="宋体" w:hAnsi="宋体" w:cs="宋体"/>
          <w:b/>
          <w:bCs/>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rPr>
        <w:t xml:space="preserve"> </w:t>
      </w:r>
      <w:r>
        <w:rPr>
          <w:rFonts w:hint="eastAsia" w:ascii="宋体" w:hAnsi="宋体" w:cs="宋体"/>
          <w:b/>
          <w:bCs/>
          <w:spacing w:val="-35"/>
          <w:sz w:val="21"/>
          <w:szCs w:val="21"/>
          <w:highlight w:val="none"/>
          <w:u w:val="single"/>
          <w:lang w:val="en-US" w:eastAsia="zh-CN"/>
        </w:rPr>
        <w:t>5</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据常建[2014]279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2"/>
          <w:sz w:val="21"/>
          <w:szCs w:val="21"/>
          <w:highlight w:val="none"/>
          <w:u w:val="single"/>
          <w:lang w:val="en-US" w:eastAsia="zh-CN"/>
        </w:rPr>
        <w:t>5</w:t>
      </w:r>
      <w:r>
        <w:rPr>
          <w:rFonts w:hint="eastAsia" w:ascii="宋体" w:hAnsi="宋体" w:cs="宋体"/>
          <w:b/>
          <w:bCs/>
          <w:spacing w:val="-2"/>
          <w:sz w:val="21"/>
          <w:szCs w:val="21"/>
          <w:highlight w:val="none"/>
          <w:u w:val="single"/>
        </w:rPr>
        <w:t>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算原则为：①投标书中已有适用于工程的综合单价，按投标书中已有的综合单价结算；②投标书</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u w:val="single"/>
        </w:rPr>
        <w:t>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pacing w:val="5"/>
          <w:sz w:val="21"/>
          <w:szCs w:val="21"/>
          <w:highlight w:val="none"/>
          <w:u w:val="single"/>
        </w:rPr>
        <w:t xml:space="preserve"> </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 xml:space="preserve"> 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付至审定价的97%（无息），审定价的3%为质保金（无息）。</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工程竣工（完工）结算审定核减率相关要求按常孟政[2022]78号《孟河镇工程建设项目审计工作流程及要求（试行）通知执行。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w:t>
      </w:r>
      <w:r>
        <w:rPr>
          <w:rFonts w:hint="eastAsia" w:ascii="宋体" w:hAnsi="宋体" w:cs="宋体"/>
          <w:spacing w:val="1"/>
          <w:sz w:val="21"/>
          <w:szCs w:val="21"/>
          <w:highlight w:val="none"/>
        </w:rPr>
        <w:t xml:space="preserve"> </w:t>
      </w:r>
      <w:r>
        <w:rPr>
          <w:rFonts w:hint="eastAsia" w:ascii="宋体" w:hAnsi="宋体" w:cs="宋体"/>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发包人须严格执行《关于印发&lt;常州市建筑工人实名制管理和工资支付保障实施办法（试</w:t>
      </w:r>
      <w:r>
        <w:rPr>
          <w:rFonts w:hint="eastAsia" w:ascii="宋体" w:hAnsi="宋体" w:cs="宋体"/>
          <w:spacing w:val="1"/>
          <w:sz w:val="21"/>
          <w:szCs w:val="21"/>
          <w:highlight w:val="none"/>
          <w:u w:val="single"/>
        </w:rPr>
        <w:t>行）&gt;的通知》[常住建规（2020）3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工资支付保障有关规定的通知（常住建[20</w:t>
      </w:r>
      <w:r>
        <w:rPr>
          <w:rFonts w:hint="eastAsia" w:ascii="宋体" w:hAnsi="宋体" w:cs="宋体"/>
          <w:spacing w:val="-5"/>
          <w:sz w:val="21"/>
          <w:szCs w:val="21"/>
          <w:highlight w:val="none"/>
          <w:u w:val="single"/>
        </w:rPr>
        <w:t>21]152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3</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5</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420996"/>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7EC7B9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192BD2"/>
    <w:rsid w:val="424B28E5"/>
    <w:rsid w:val="426339F7"/>
    <w:rsid w:val="427A6EF1"/>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24D3F"/>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34827</Words>
  <Characters>36149</Characters>
  <Lines>311</Lines>
  <Paragraphs>87</Paragraphs>
  <TotalTime>4</TotalTime>
  <ScaleCrop>false</ScaleCrop>
  <LinksUpToDate>false</LinksUpToDate>
  <CharactersWithSpaces>39836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FF小执念『峰</cp:lastModifiedBy>
  <cp:lastPrinted>2019-01-22T13:52:00Z</cp:lastPrinted>
  <dcterms:modified xsi:type="dcterms:W3CDTF">2025-06-12T06:38:06Z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EAB8DA155B514719B41B6DEA4568BDB8_13</vt:lpwstr>
  </property>
  <property fmtid="{D5CDD505-2E9C-101B-9397-08002B2CF9AE}" pid="4" name="KSOTemplateDocerSaveRecord">
    <vt:lpwstr>eyJoZGlkIjoiMTMxMGNkYTJhN2NkODc0MzYwZWZhYmI0Y2E4ZDVlOGEiLCJ1c2VySWQiOiI2NDcwMTM5NDQifQ==</vt:lpwstr>
  </property>
</Properties>
</file>