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A4B5F">
      <w:pPr>
        <w:jc w:val="center"/>
        <w:rPr>
          <w:rFonts w:hint="eastAsia" w:ascii="宋体" w:hAnsi="宋体" w:cs="宋体"/>
          <w:b/>
          <w:sz w:val="36"/>
          <w:szCs w:val="36"/>
          <w:lang w:eastAsia="zh-CN"/>
        </w:rPr>
      </w:pPr>
      <w:r>
        <w:rPr>
          <w:rFonts w:hint="eastAsia" w:ascii="宋体" w:hAnsi="宋体" w:cs="宋体"/>
          <w:b/>
          <w:sz w:val="36"/>
          <w:szCs w:val="36"/>
          <w:lang w:eastAsia="zh-CN"/>
        </w:rPr>
        <w:t>薛家镇奥园小学北教学楼、食堂报告厅及风雨操场外墙体改造工程工程量清单及最高投标限价编制说明</w:t>
      </w:r>
    </w:p>
    <w:p w14:paraId="163F74F6">
      <w:pPr>
        <w:pStyle w:val="3"/>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default" w:ascii="宋体" w:hAnsi="宋体" w:eastAsia="宋体" w:cs="宋体"/>
          <w:b/>
          <w:kern w:val="2"/>
          <w:sz w:val="24"/>
          <w:szCs w:val="24"/>
          <w:highlight w:val="none"/>
          <w:lang w:val="en-US" w:eastAsia="zh-CN" w:bidi="ar-SA"/>
        </w:rPr>
      </w:pPr>
      <w:r>
        <w:rPr>
          <w:rFonts w:hint="eastAsia" w:ascii="宋体" w:hAnsi="宋体" w:eastAsia="宋体" w:cs="宋体"/>
          <w:b/>
          <w:kern w:val="2"/>
          <w:sz w:val="24"/>
          <w:szCs w:val="24"/>
          <w:highlight w:val="none"/>
          <w:lang w:val="en-US" w:eastAsia="zh-CN" w:bidi="ar-SA"/>
        </w:rPr>
        <w:t>一、工程名称：</w:t>
      </w:r>
      <w:r>
        <w:rPr>
          <w:rFonts w:hint="eastAsia" w:ascii="宋体" w:hAnsi="宋体" w:cs="宋体"/>
          <w:sz w:val="24"/>
          <w:szCs w:val="24"/>
          <w:highlight w:val="none"/>
          <w:lang w:val="en-US" w:eastAsia="zh-CN"/>
        </w:rPr>
        <w:t>薛家镇奥园小学北教学楼、食堂报告厅及风雨操场外墙改造工程</w:t>
      </w:r>
    </w:p>
    <w:p w14:paraId="7735301D">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二</w:t>
      </w:r>
      <w:r>
        <w:rPr>
          <w:rFonts w:hint="eastAsia" w:ascii="宋体" w:hAnsi="宋体" w:cs="宋体"/>
          <w:b/>
          <w:bCs/>
          <w:sz w:val="24"/>
          <w:szCs w:val="24"/>
          <w:highlight w:val="none"/>
        </w:rPr>
        <w:t>、工程概况：</w:t>
      </w:r>
    </w:p>
    <w:p w14:paraId="59DF0AB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cs="宋体"/>
          <w:sz w:val="24"/>
          <w:szCs w:val="24"/>
          <w:highlight w:val="none"/>
        </w:rPr>
        <w:t>本工程名称为</w:t>
      </w:r>
      <w:r>
        <w:rPr>
          <w:rFonts w:hint="eastAsia" w:ascii="宋体" w:hAnsi="宋体" w:cs="宋体"/>
          <w:sz w:val="24"/>
          <w:szCs w:val="24"/>
          <w:highlight w:val="none"/>
          <w:lang w:val="en-US" w:eastAsia="zh-CN"/>
        </w:rPr>
        <w:t>薛家镇奥园小学北教学楼、食堂报告厅及风雨操场外墙改造工程</w:t>
      </w:r>
      <w:r>
        <w:rPr>
          <w:rFonts w:hint="eastAsia" w:ascii="宋体" w:hAnsi="宋体" w:cs="宋体"/>
          <w:sz w:val="24"/>
          <w:szCs w:val="24"/>
          <w:highlight w:val="none"/>
        </w:rPr>
        <w:t>，项目建设单位为</w:t>
      </w:r>
      <w:r>
        <w:rPr>
          <w:rFonts w:hint="eastAsia" w:ascii="宋体" w:hAnsi="宋体" w:eastAsia="宋体" w:cs="宋体"/>
          <w:sz w:val="24"/>
          <w:szCs w:val="24"/>
          <w:highlight w:val="none"/>
          <w:lang w:val="en-US" w:eastAsia="zh-CN"/>
        </w:rPr>
        <w:t>常州市新北区薛家镇人民政府</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施工内容为薛家镇奥园小学北教学楼、食堂报告厅及风雨操场外立面、落水管等内容改造工程</w:t>
      </w:r>
      <w:r>
        <w:rPr>
          <w:rFonts w:hint="eastAsia" w:ascii="宋体" w:hAnsi="宋体" w:eastAsia="宋体" w:cs="宋体"/>
          <w:kern w:val="0"/>
          <w:sz w:val="24"/>
          <w:szCs w:val="24"/>
          <w:highlight w:val="none"/>
          <w:lang w:val="en-US" w:eastAsia="zh-CN"/>
        </w:rPr>
        <w:t>。</w:t>
      </w:r>
    </w:p>
    <w:p w14:paraId="13FDB7AF">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rPr>
          <w:rFonts w:hint="eastAsia" w:ascii="宋体" w:hAnsi="宋体" w:eastAsia="宋体" w:cs="宋体"/>
          <w:b/>
          <w:sz w:val="24"/>
          <w:szCs w:val="24"/>
          <w:highlight w:val="none"/>
          <w:lang w:eastAsia="zh-CN"/>
        </w:rPr>
      </w:pPr>
      <w:r>
        <w:rPr>
          <w:rFonts w:hint="eastAsia" w:ascii="宋体" w:hAnsi="宋体" w:cs="宋体"/>
          <w:b/>
          <w:sz w:val="24"/>
          <w:szCs w:val="24"/>
          <w:highlight w:val="none"/>
          <w:lang w:val="en-US" w:eastAsia="zh-CN"/>
        </w:rPr>
        <w:t>三、</w:t>
      </w:r>
      <w:r>
        <w:rPr>
          <w:rFonts w:hint="eastAsia" w:ascii="宋体" w:hAnsi="宋体" w:cs="宋体"/>
          <w:b/>
          <w:sz w:val="24"/>
          <w:szCs w:val="24"/>
          <w:highlight w:val="none"/>
        </w:rPr>
        <w:t>编制范围</w:t>
      </w:r>
      <w:r>
        <w:rPr>
          <w:rFonts w:hint="eastAsia" w:ascii="宋体" w:hAnsi="宋体" w:cs="宋体"/>
          <w:b/>
          <w:sz w:val="24"/>
          <w:szCs w:val="24"/>
          <w:highlight w:val="none"/>
          <w:lang w:eastAsia="zh-CN"/>
        </w:rPr>
        <w:t>：</w:t>
      </w:r>
    </w:p>
    <w:p w14:paraId="10A130C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sz w:val="24"/>
          <w:szCs w:val="24"/>
          <w:highlight w:val="none"/>
        </w:rPr>
      </w:pPr>
      <w:r>
        <w:rPr>
          <w:rFonts w:hint="eastAsia" w:ascii="宋体" w:hAnsi="宋体" w:cs="宋体"/>
          <w:sz w:val="24"/>
          <w:szCs w:val="24"/>
          <w:highlight w:val="none"/>
        </w:rPr>
        <w:t xml:space="preserve"> 施工图范围内的土建</w:t>
      </w:r>
      <w:r>
        <w:rPr>
          <w:rFonts w:hint="eastAsia" w:ascii="宋体" w:hAnsi="宋体" w:cs="宋体"/>
          <w:sz w:val="24"/>
          <w:szCs w:val="24"/>
          <w:highlight w:val="none"/>
          <w:lang w:val="en-US" w:eastAsia="zh-CN"/>
        </w:rPr>
        <w:t>改造</w:t>
      </w:r>
      <w:r>
        <w:rPr>
          <w:rFonts w:hint="eastAsia" w:ascii="宋体" w:hAnsi="宋体" w:cs="宋体"/>
          <w:sz w:val="24"/>
          <w:szCs w:val="24"/>
          <w:highlight w:val="none"/>
        </w:rPr>
        <w:t>工程,具体详见招标文件的有关内容。</w:t>
      </w:r>
    </w:p>
    <w:p w14:paraId="5F7921F4">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rPr>
          <w:rFonts w:hint="eastAsia" w:ascii="宋体" w:hAnsi="宋体" w:cs="宋体"/>
          <w:b/>
          <w:sz w:val="24"/>
          <w:szCs w:val="24"/>
          <w:highlight w:val="none"/>
        </w:rPr>
      </w:pPr>
      <w:r>
        <w:rPr>
          <w:rFonts w:hint="eastAsia" w:ascii="宋体" w:hAnsi="宋体" w:cs="宋体"/>
          <w:b/>
          <w:sz w:val="24"/>
          <w:szCs w:val="24"/>
          <w:highlight w:val="none"/>
          <w:lang w:val="en-US" w:eastAsia="zh-CN"/>
        </w:rPr>
        <w:t>四、</w:t>
      </w:r>
      <w:r>
        <w:rPr>
          <w:rFonts w:hint="eastAsia" w:ascii="宋体" w:hAnsi="宋体" w:cs="宋体"/>
          <w:b/>
          <w:sz w:val="24"/>
          <w:szCs w:val="24"/>
          <w:highlight w:val="none"/>
        </w:rPr>
        <w:t>编制依据：</w:t>
      </w:r>
    </w:p>
    <w:p w14:paraId="053C40B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sz w:val="24"/>
          <w:szCs w:val="24"/>
          <w:highlight w:val="none"/>
        </w:rPr>
      </w:pPr>
      <w:r>
        <w:rPr>
          <w:rFonts w:hint="eastAsia" w:ascii="宋体" w:hAnsi="宋体" w:cs="宋体"/>
          <w:sz w:val="24"/>
          <w:szCs w:val="24"/>
          <w:highlight w:val="none"/>
        </w:rPr>
        <w:t>1、施工图纸、招标文件等；</w:t>
      </w:r>
    </w:p>
    <w:p w14:paraId="39CF1F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cs="宋体"/>
          <w:sz w:val="24"/>
          <w:szCs w:val="24"/>
          <w:highlight w:val="none"/>
          <w:lang w:val="en-US"/>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《建设工程工程量清单计价规范》GB50500-2013、《房屋建筑与装饰工程工程量计算规范》（GB50854-2013）</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val="en-US" w:eastAsia="zh-CN"/>
        </w:rPr>
        <w:t>2014《江苏省建筑与装饰工程计价定额》、</w:t>
      </w:r>
      <w:r>
        <w:rPr>
          <w:rFonts w:hint="eastAsia" w:ascii="宋体" w:hAnsi="宋体" w:eastAsia="宋体" w:cs="宋体"/>
          <w:b w:val="0"/>
          <w:bCs w:val="0"/>
          <w:kern w:val="1"/>
          <w:sz w:val="24"/>
          <w:szCs w:val="24"/>
          <w:highlight w:val="none"/>
          <w:lang w:val="en-US" w:eastAsia="zh-CN"/>
        </w:rPr>
        <w:t>2010版《江苏省房屋修缮工程计价表》、</w:t>
      </w:r>
      <w:r>
        <w:rPr>
          <w:rFonts w:hint="eastAsia" w:ascii="宋体" w:hAnsi="宋体" w:eastAsia="宋体" w:cs="宋体"/>
          <w:sz w:val="24"/>
          <w:szCs w:val="24"/>
          <w:highlight w:val="none"/>
          <w:lang w:val="en-US" w:eastAsia="zh-CN"/>
        </w:rPr>
        <w:t>2014《江苏省建设工程费用定额》、苏建价[2014]448号、苏建价〔2016〕154号、常建〔2016〕94号、常建(2014)279号、苏建函价[2019]178号、常建[2019]1号文等现行计价文件及规定</w:t>
      </w:r>
      <w:r>
        <w:rPr>
          <w:rFonts w:hint="eastAsia" w:ascii="宋体" w:hAnsi="宋体" w:cs="宋体"/>
          <w:sz w:val="24"/>
          <w:szCs w:val="24"/>
          <w:highlight w:val="none"/>
          <w:lang w:val="en-US" w:eastAsia="zh-CN"/>
        </w:rPr>
        <w:t>。</w:t>
      </w:r>
    </w:p>
    <w:p w14:paraId="68A02736">
      <w:pPr>
        <w:keepNext w:val="0"/>
        <w:keepLines w:val="0"/>
        <w:pageBreakBefore w:val="0"/>
        <w:widowControl w:val="0"/>
        <w:numPr>
          <w:ilvl w:val="0"/>
          <w:numId w:val="0"/>
        </w:numPr>
        <w:kinsoku/>
        <w:wordWrap/>
        <w:overflowPunct/>
        <w:topLinePunct w:val="0"/>
        <w:autoSpaceDE/>
        <w:autoSpaceDN/>
        <w:bidi w:val="0"/>
        <w:adjustRightInd/>
        <w:snapToGrid/>
        <w:spacing w:line="420" w:lineRule="exact"/>
        <w:jc w:val="both"/>
        <w:textAlignment w:val="auto"/>
        <w:rPr>
          <w:rFonts w:hint="eastAsia" w:ascii="宋体" w:hAnsi="宋体" w:cs="宋体"/>
          <w:b/>
          <w:sz w:val="24"/>
          <w:szCs w:val="24"/>
          <w:highlight w:val="none"/>
        </w:rPr>
      </w:pPr>
      <w:r>
        <w:rPr>
          <w:rFonts w:hint="eastAsia" w:ascii="宋体" w:hAnsi="宋体" w:eastAsia="宋体" w:cs="宋体"/>
          <w:b/>
          <w:sz w:val="24"/>
          <w:szCs w:val="24"/>
          <w:highlight w:val="none"/>
          <w:lang w:val="en-US" w:eastAsia="zh-CN"/>
        </w:rPr>
        <w:t>五、</w:t>
      </w:r>
      <w:r>
        <w:rPr>
          <w:rFonts w:hint="eastAsia" w:ascii="宋体" w:hAnsi="宋体" w:eastAsia="宋体" w:cs="宋体"/>
          <w:b/>
          <w:sz w:val="24"/>
          <w:szCs w:val="24"/>
          <w:highlight w:val="none"/>
        </w:rPr>
        <w:t>工程量清单及最高投标限价</w:t>
      </w:r>
      <w:r>
        <w:rPr>
          <w:rFonts w:hint="eastAsia" w:ascii="宋体" w:hAnsi="宋体" w:cs="宋体"/>
          <w:b/>
          <w:sz w:val="24"/>
          <w:szCs w:val="24"/>
          <w:highlight w:val="none"/>
        </w:rPr>
        <w:t>编制说明</w:t>
      </w:r>
    </w:p>
    <w:p w14:paraId="1786BD9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1、工程质量目标：</w:t>
      </w:r>
      <w:r>
        <w:rPr>
          <w:rFonts w:hint="eastAsia" w:ascii="宋体" w:hAnsi="宋体" w:cs="宋体"/>
          <w:sz w:val="24"/>
          <w:szCs w:val="24"/>
          <w:highlight w:val="none"/>
          <w:lang w:val="en-US" w:eastAsia="zh-CN"/>
        </w:rPr>
        <w:t>合格</w:t>
      </w:r>
      <w:r>
        <w:rPr>
          <w:rFonts w:hint="eastAsia" w:ascii="宋体" w:hAnsi="宋体" w:eastAsia="宋体" w:cs="宋体"/>
          <w:sz w:val="24"/>
          <w:szCs w:val="24"/>
          <w:highlight w:val="none"/>
        </w:rPr>
        <w:t>。</w:t>
      </w:r>
    </w:p>
    <w:p w14:paraId="350B83C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2、工程安全目标：</w:t>
      </w:r>
      <w:r>
        <w:rPr>
          <w:rFonts w:hint="eastAsia" w:ascii="宋体" w:hAnsi="宋体" w:cs="宋体"/>
          <w:sz w:val="24"/>
          <w:szCs w:val="24"/>
          <w:highlight w:val="none"/>
          <w:lang w:val="en-US" w:eastAsia="zh-CN"/>
        </w:rPr>
        <w:t>合格</w:t>
      </w:r>
      <w:r>
        <w:rPr>
          <w:rFonts w:hint="eastAsia" w:ascii="宋体" w:hAnsi="宋体" w:eastAsia="宋体" w:cs="宋体"/>
          <w:sz w:val="24"/>
          <w:szCs w:val="24"/>
          <w:highlight w:val="none"/>
        </w:rPr>
        <w:t>。</w:t>
      </w:r>
    </w:p>
    <w:p w14:paraId="7BE00A6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3、工程类别：按费用定额规定。</w:t>
      </w:r>
    </w:p>
    <w:p w14:paraId="3293AC3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、人工单价按苏建函价〔202</w:t>
      </w:r>
      <w:r>
        <w:rPr>
          <w:rFonts w:hint="eastAsia" w:ascii="宋体" w:hAnsi="宋体" w:cs="宋体"/>
          <w:sz w:val="24"/>
          <w:szCs w:val="24"/>
          <w:highlight w:val="none"/>
          <w:lang w:val="en-US" w:eastAsia="zh-CN"/>
        </w:rPr>
        <w:t>5</w:t>
      </w:r>
      <w:r>
        <w:rPr>
          <w:rFonts w:hint="eastAsia" w:ascii="宋体" w:hAnsi="宋体" w:cs="宋体"/>
          <w:sz w:val="24"/>
          <w:szCs w:val="24"/>
          <w:highlight w:val="none"/>
        </w:rPr>
        <w:t>〕</w:t>
      </w:r>
      <w:r>
        <w:rPr>
          <w:rFonts w:hint="eastAsia" w:ascii="宋体" w:hAnsi="宋体" w:cs="宋体"/>
          <w:sz w:val="24"/>
          <w:szCs w:val="24"/>
          <w:highlight w:val="none"/>
          <w:lang w:val="en-US" w:eastAsia="zh-CN"/>
        </w:rPr>
        <w:t>66</w:t>
      </w:r>
      <w:r>
        <w:rPr>
          <w:rFonts w:hint="eastAsia" w:ascii="宋体" w:hAnsi="宋体" w:cs="宋体"/>
          <w:sz w:val="24"/>
          <w:szCs w:val="24"/>
          <w:highlight w:val="none"/>
        </w:rPr>
        <w:t>号文件执行，材料价格按202</w:t>
      </w:r>
      <w:r>
        <w:rPr>
          <w:rFonts w:hint="eastAsia" w:ascii="宋体" w:hAnsi="宋体" w:cs="宋体"/>
          <w:sz w:val="24"/>
          <w:szCs w:val="24"/>
          <w:highlight w:val="none"/>
          <w:lang w:val="en-US" w:eastAsia="zh-CN"/>
        </w:rPr>
        <w:t>5</w:t>
      </w:r>
      <w:r>
        <w:rPr>
          <w:rFonts w:hint="eastAsia" w:ascii="宋体" w:hAnsi="宋体" w:cs="宋体"/>
          <w:sz w:val="24"/>
          <w:szCs w:val="24"/>
          <w:highlight w:val="none"/>
        </w:rPr>
        <w:t>年</w:t>
      </w:r>
      <w:r>
        <w:rPr>
          <w:rFonts w:hint="eastAsia" w:ascii="宋体" w:hAnsi="宋体" w:cs="宋体"/>
          <w:sz w:val="24"/>
          <w:szCs w:val="24"/>
          <w:highlight w:val="none"/>
          <w:lang w:val="en-US" w:eastAsia="zh-CN"/>
        </w:rPr>
        <w:t>5</w:t>
      </w:r>
      <w:r>
        <w:rPr>
          <w:rFonts w:hint="eastAsia" w:ascii="宋体" w:hAnsi="宋体" w:cs="宋体"/>
          <w:sz w:val="24"/>
          <w:szCs w:val="24"/>
          <w:highlight w:val="none"/>
        </w:rPr>
        <w:t>月常州工程造价信息除税信息价（缺项向前查找）及市场价计取，机械费用依据江苏省2014年台班单价和苏建价〔2016〕154号规定计取</w:t>
      </w:r>
      <w:r>
        <w:rPr>
          <w:rFonts w:hint="eastAsia" w:ascii="宋体" w:hAnsi="宋体" w:cs="宋体"/>
          <w:sz w:val="24"/>
          <w:szCs w:val="24"/>
          <w:highlight w:val="none"/>
          <w:lang w:eastAsia="zh-CN"/>
        </w:rPr>
        <w:t>。</w:t>
      </w:r>
    </w:p>
    <w:p w14:paraId="0372552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、措施项目清单中的现场安全文明施工费为不可竞争费，含基本费和扬尘污染防治增加费，投标报价时按清单表中的费率计取不得调整。</w:t>
      </w:r>
    </w:p>
    <w:p w14:paraId="511BE9D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、本工程暂列金额</w:t>
      </w:r>
      <w:r>
        <w:rPr>
          <w:rFonts w:hint="eastAsia" w:ascii="宋体" w:hAnsi="宋体" w:eastAsia="宋体" w:cs="宋体"/>
          <w:sz w:val="24"/>
          <w:szCs w:val="24"/>
          <w:highlight w:val="none"/>
          <w:lang w:val="en-US" w:eastAsia="zh-CN"/>
        </w:rPr>
        <w:t>为0元</w:t>
      </w:r>
      <w:r>
        <w:rPr>
          <w:rFonts w:hint="eastAsia" w:ascii="宋体" w:hAnsi="宋体" w:eastAsia="宋体" w:cs="宋体"/>
          <w:sz w:val="24"/>
          <w:szCs w:val="24"/>
          <w:highlight w:val="none"/>
        </w:rPr>
        <w:t>。</w:t>
      </w:r>
    </w:p>
    <w:p w14:paraId="0AFD7A2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计税方式采用增值税一般计税模式。</w:t>
      </w:r>
    </w:p>
    <w:p w14:paraId="39E9CC3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、本工程施工所需</w:t>
      </w:r>
      <w:r>
        <w:rPr>
          <w:rFonts w:hint="eastAsia" w:ascii="宋体" w:hAnsi="宋体" w:cs="宋体"/>
          <w:sz w:val="24"/>
          <w:szCs w:val="24"/>
          <w:highlight w:val="none"/>
          <w:lang w:val="en-US" w:eastAsia="zh-CN"/>
        </w:rPr>
        <w:t>用</w:t>
      </w:r>
      <w:r>
        <w:rPr>
          <w:rFonts w:hint="eastAsia" w:ascii="宋体" w:hAnsi="宋体" w:eastAsia="宋体" w:cs="宋体"/>
          <w:sz w:val="24"/>
          <w:szCs w:val="24"/>
          <w:highlight w:val="none"/>
        </w:rPr>
        <w:t>水</w:t>
      </w:r>
      <w:r>
        <w:rPr>
          <w:rFonts w:hint="eastAsia" w:ascii="宋体" w:hAnsi="宋体" w:cs="宋体"/>
          <w:sz w:val="24"/>
          <w:szCs w:val="24"/>
          <w:highlight w:val="none"/>
          <w:lang w:val="en-US" w:eastAsia="zh-CN"/>
        </w:rPr>
        <w:t>及</w:t>
      </w:r>
      <w:r>
        <w:rPr>
          <w:rFonts w:hint="eastAsia" w:ascii="宋体" w:hAnsi="宋体" w:eastAsia="宋体" w:cs="宋体"/>
          <w:sz w:val="24"/>
          <w:szCs w:val="24"/>
          <w:highlight w:val="none"/>
        </w:rPr>
        <w:t>接电等由承包人负责，相关费用在投标报价中考虑。</w:t>
      </w:r>
    </w:p>
    <w:p w14:paraId="630AAB5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总价措施项目费率、规费、税金按相关文件和规定计取</w:t>
      </w:r>
      <w:r>
        <w:rPr>
          <w:rFonts w:hint="eastAsia" w:ascii="宋体" w:hAnsi="宋体" w:eastAsia="宋体" w:cs="宋体"/>
          <w:sz w:val="24"/>
          <w:szCs w:val="24"/>
          <w:highlight w:val="none"/>
          <w:lang w:eastAsia="zh-CN"/>
        </w:rPr>
        <w:t>。</w:t>
      </w:r>
    </w:p>
    <w:p w14:paraId="57D8FE2A">
      <w:pPr>
        <w:keepNext w:val="0"/>
        <w:keepLines w:val="0"/>
        <w:pageBreakBefore w:val="0"/>
        <w:widowControl w:val="0"/>
        <w:numPr>
          <w:ilvl w:val="0"/>
          <w:numId w:val="0"/>
        </w:numPr>
        <w:pBdr>
          <w:top w:val="none" w:color="FF0000" w:sz="0" w:space="1"/>
          <w:left w:val="none" w:color="FF0000" w:sz="0" w:space="4"/>
          <w:bottom w:val="none" w:color="FF0000" w:sz="0" w:space="1"/>
          <w:right w:val="none" w:color="FF0000" w:sz="0" w:space="0"/>
        </w:pBdr>
        <w:kinsoku/>
        <w:wordWrap/>
        <w:overflowPunct/>
        <w:topLinePunct w:val="0"/>
        <w:autoSpaceDE/>
        <w:autoSpaceDN/>
        <w:bidi w:val="0"/>
        <w:adjustRightInd/>
        <w:snapToGrid/>
        <w:spacing w:line="420" w:lineRule="exact"/>
        <w:jc w:val="both"/>
        <w:textAlignment w:val="auto"/>
        <w:rPr>
          <w:rFonts w:hint="eastAsia" w:ascii="宋体" w:hAnsi="宋体" w:cs="宋体"/>
          <w:b/>
          <w:bCs/>
          <w:kern w:val="0"/>
          <w:sz w:val="24"/>
          <w:highlight w:val="none"/>
        </w:rPr>
      </w:pPr>
      <w:r>
        <w:rPr>
          <w:rFonts w:hint="eastAsia" w:ascii="宋体" w:hAnsi="宋体" w:cs="宋体"/>
          <w:b/>
          <w:bCs/>
          <w:kern w:val="0"/>
          <w:sz w:val="24"/>
          <w:szCs w:val="32"/>
          <w:lang w:val="en-US" w:eastAsia="zh-CN" w:bidi="ar-SA"/>
        </w:rPr>
        <w:t>六</w:t>
      </w:r>
      <w:r>
        <w:rPr>
          <w:rFonts w:hint="eastAsia" w:ascii="宋体" w:hAnsi="宋体" w:eastAsia="宋体" w:cs="宋体"/>
          <w:b/>
          <w:bCs/>
          <w:kern w:val="0"/>
          <w:sz w:val="24"/>
          <w:szCs w:val="32"/>
          <w:lang w:val="en-US" w:eastAsia="zh-CN" w:bidi="ar-SA"/>
        </w:rPr>
        <w:t>、</w:t>
      </w:r>
      <w:r>
        <w:rPr>
          <w:rFonts w:hint="eastAsia" w:ascii="宋体" w:hAnsi="宋体" w:cs="宋体"/>
          <w:b/>
          <w:bCs/>
          <w:kern w:val="0"/>
          <w:sz w:val="24"/>
          <w:highlight w:val="none"/>
        </w:rPr>
        <w:t>计价相关说明：</w:t>
      </w:r>
    </w:p>
    <w:p w14:paraId="08CDA2E0">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（一）一般说明：</w:t>
      </w:r>
    </w:p>
    <w:p w14:paraId="42A66B6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1、本清单所列工程数量是根据图纸或现行情况暂定的，仅作为投标的共同基础，不能作为最终结算与支付的依据。</w:t>
      </w:r>
      <w:r>
        <w:rPr>
          <w:rFonts w:ascii="Arial" w:hAnsi="Arial" w:cs="Arial"/>
          <w:kern w:val="0"/>
          <w:sz w:val="24"/>
        </w:rPr>
        <w:t>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r>
        <w:rPr>
          <w:rFonts w:ascii="Arial" w:hAnsi="Arial" w:cs="Arial"/>
          <w:sz w:val="24"/>
        </w:rPr>
        <w:t>。</w:t>
      </w:r>
    </w:p>
    <w:p w14:paraId="438CFD6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图纸、招标文件、技术要求、有关施工规范及工程量清单中的项目特征互为补充，均作为编制投标报价的依据，中标人不得以清单漏项、清单描述不全、清单描述前后矛盾、清单描述和设计图纸及规范不一致等为由要求增加、索赔相关费用等。</w:t>
      </w:r>
    </w:p>
    <w:p w14:paraId="44F203E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所有按“项”为单位设置的分部分项清单和单价措施清单，投标人需认真勘察现场并结合自身情况，考虑本项目的施工组织设计和施工方案，现场根据建设方要求及相关政策法规实施，在报价中予以综合考虑造价风险，综合单价包含图纸及相关要求的一切施工费用，以项为单位的均为包干价，结算时不做调整。</w:t>
      </w:r>
    </w:p>
    <w:p w14:paraId="026A7DF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、清单综合单价组价由投标人进行复核，如有疑问投标人应在答疑期间提出，如答疑期间未提出，则发包人认为清单描述所有内容投标人已综合考虑在相应的清单综合单价内。</w:t>
      </w:r>
    </w:p>
    <w:p w14:paraId="757CC21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、按建筑工地扬尘防治标准和上级主管部门建设工程扬尘防治实施细则要求实施所需增加的费用均由投标人综合考虑报价，施工中不再另行签证。</w:t>
      </w:r>
    </w:p>
    <w:p w14:paraId="2DBF83D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lang w:val="en-US" w:eastAsia="zh-CN"/>
        </w:rPr>
        <w:t>、对已完工程及设备保护采取覆盖、包裹、封闭、隔离、不同材质、方式、方法等必要保护措施所发生的任何费用均由投标人综合考虑报价，施工中不再另行签证。</w:t>
      </w:r>
    </w:p>
    <w:p w14:paraId="2F68EF6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、投标人自行踏勘现场，应充分了解项目位置、道路交通、装卸限制及其他情况和因素，由投标人综合考虑报价，施工中不再另行签证。</w:t>
      </w:r>
    </w:p>
    <w:p w14:paraId="7C8C646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、因和本建设项目中其他施工单位交叉作业或配合所引起的工序调整、窝工降效等因素引起的费用，由投标人综合考虑报价，施工中不再另行签证。</w:t>
      </w:r>
    </w:p>
    <w:p w14:paraId="401BE05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、工程所需水、接电或自行发电等费用由投标人在投标报价中综合考虑，结算时不调整。临时水电，招标人仅提供一个总接入点，点位由投标人自行踏勘，点位后的相关费用均由投标人在投标报价中综合考虑。</w:t>
      </w:r>
    </w:p>
    <w:p w14:paraId="0618595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本工程中所用的所有材料和设备均必须达到相应国家最高环保标准。所有的材料及设备必须符合现行有关质量、消防、环保、卫生健康、安全等相应规范、规定和要求，否则视同违约处理；未注明品牌要求的，材料、设备均按中档品牌考虑。</w:t>
      </w:r>
    </w:p>
    <w:p w14:paraId="393F8A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、改造区域内有人车流动，带来施工降效，在投标时综合考虑。</w:t>
      </w:r>
    </w:p>
    <w:p w14:paraId="485BE4A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、外立面等高处施工可能发生的高处防护措施、过人车通道的防护等发生的相关措施费用，投标明综合考虑。</w:t>
      </w:r>
    </w:p>
    <w:p w14:paraId="5AE8DC1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、施工噪声对居民的影响等而产生的相关费用在投标时综合考虑。</w:t>
      </w:r>
    </w:p>
    <w:p w14:paraId="1BDE01F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kern w:val="0"/>
          <w:sz w:val="24"/>
        </w:rPr>
      </w:pPr>
      <w:r>
        <w:rPr>
          <w:rFonts w:hint="eastAsia" w:ascii="宋体" w:hAnsi="宋体" w:cs="宋体"/>
          <w:sz w:val="24"/>
          <w:szCs w:val="24"/>
          <w:highlight w:val="none"/>
          <w:lang w:val="en-US" w:eastAsia="zh-CN"/>
        </w:rPr>
        <w:t>14、</w:t>
      </w:r>
      <w:r>
        <w:rPr>
          <w:rFonts w:hint="eastAsia" w:ascii="宋体" w:hAnsi="宋体" w:cs="宋体"/>
          <w:kern w:val="0"/>
          <w:sz w:val="24"/>
        </w:rPr>
        <w:t>本工程水泥砂浆厚度由投标单位在报价中综合考虑，结算时不再进行调整。</w:t>
      </w:r>
    </w:p>
    <w:p w14:paraId="6FC73D0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cs="宋体"/>
          <w:kern w:val="0"/>
          <w:sz w:val="24"/>
        </w:rPr>
      </w:pPr>
      <w:r>
        <w:rPr>
          <w:rFonts w:hint="eastAsia" w:ascii="宋体" w:hAnsi="宋体" w:cs="宋体"/>
          <w:kern w:val="0"/>
          <w:sz w:val="24"/>
          <w:lang w:val="en-US" w:eastAsia="zh-CN"/>
        </w:rPr>
        <w:t>15、</w:t>
      </w:r>
      <w:r>
        <w:rPr>
          <w:rFonts w:hint="eastAsia" w:ascii="宋体" w:hAnsi="宋体" w:cs="宋体"/>
          <w:kern w:val="0"/>
          <w:sz w:val="24"/>
        </w:rPr>
        <w:t>不同装饰面之间的处理、收口、打胶等，由投标人在报价时自行综合考虑，并包含在相应项目的综合单价中。</w:t>
      </w:r>
    </w:p>
    <w:p w14:paraId="580B73F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cs="宋体"/>
          <w:kern w:val="0"/>
          <w:sz w:val="24"/>
          <w:lang w:val="en-US" w:eastAsia="zh-CN"/>
        </w:rPr>
        <w:t>16、</w:t>
      </w:r>
      <w:r>
        <w:rPr>
          <w:rFonts w:hint="eastAsia" w:ascii="宋体" w:hAnsi="宋体" w:eastAsia="宋体" w:cs="宋体"/>
          <w:sz w:val="24"/>
          <w:szCs w:val="24"/>
          <w:highlight w:val="none"/>
          <w:lang w:val="en-US" w:eastAsia="zh-CN"/>
        </w:rPr>
        <w:t>余方弃置工程量清单，投标人必须在综合单价中综合考虑挖土及装车、运输、堆放处置、建筑垃圾（或土方）弃置费（包括但不限于弃土费、购土费、城管部门的手续费）、堆弃场地租金或购置费等所有相关费用。</w:t>
      </w:r>
    </w:p>
    <w:p w14:paraId="2966BA1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default"/>
          <w:lang w:val="en-US" w:eastAsia="zh-CN"/>
        </w:rPr>
      </w:pPr>
      <w:r>
        <w:rPr>
          <w:rFonts w:hint="eastAsia" w:ascii="宋体" w:hAnsi="宋体" w:cs="宋体"/>
          <w:sz w:val="24"/>
          <w:szCs w:val="24"/>
          <w:highlight w:val="none"/>
          <w:lang w:val="en-US" w:eastAsia="zh-CN"/>
        </w:rPr>
        <w:t>17</w:t>
      </w:r>
      <w:r>
        <w:rPr>
          <w:rFonts w:hint="eastAsia" w:ascii="宋体" w:hAnsi="宋体" w:eastAsia="宋体" w:cs="宋体"/>
          <w:sz w:val="24"/>
          <w:szCs w:val="24"/>
          <w:highlight w:val="none"/>
          <w:lang w:val="en-US" w:eastAsia="zh-CN"/>
        </w:rPr>
        <w:t>、</w:t>
      </w:r>
      <w:r>
        <w:rPr>
          <w:rFonts w:hint="eastAsia" w:ascii="宋体" w:hAnsi="宋体" w:eastAsia="宋体" w:cs="宋体"/>
          <w:kern w:val="2"/>
          <w:sz w:val="24"/>
          <w:szCs w:val="24"/>
          <w:highlight w:val="none"/>
          <w:lang w:val="en-US" w:eastAsia="zh-CN" w:bidi="ar-SA"/>
        </w:rPr>
        <w:t>拆除工程：拆除、拆除所需的锯（切）缝、场内归堆及堆场等均包含在综合单价中，结算时不另行计算也不作任何调整。因野蛮施工而导致需要保留部分的结构损坏，其修复费用由投标人自行承担。</w:t>
      </w:r>
      <w:r>
        <w:rPr>
          <w:rFonts w:hint="eastAsia"/>
          <w:sz w:val="24"/>
          <w:szCs w:val="24"/>
          <w:lang w:val="en-US" w:eastAsia="zh-CN"/>
        </w:rPr>
        <w:t>拆除的所有建筑垃圾或建设单位需要利用的材料均须运至现场建设单位指定地点堆放，考虑垂直运输。拆除工程做好原已完工程的成品保护，费用已含在拆除费用中</w:t>
      </w:r>
      <w:r>
        <w:rPr>
          <w:rFonts w:hint="eastAsia" w:ascii="宋体" w:hAnsi="宋体" w:cs="宋体"/>
          <w:kern w:val="0"/>
          <w:sz w:val="24"/>
        </w:rPr>
        <w:t>。</w:t>
      </w:r>
    </w:p>
    <w:p w14:paraId="6C897CA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18</w:t>
      </w:r>
      <w:r>
        <w:rPr>
          <w:rFonts w:hint="eastAsia" w:ascii="宋体" w:hAnsi="宋体" w:eastAsia="宋体" w:cs="宋体"/>
          <w:kern w:val="2"/>
          <w:sz w:val="24"/>
          <w:szCs w:val="24"/>
          <w:highlight w:val="none"/>
          <w:lang w:val="en-US" w:eastAsia="zh-CN" w:bidi="ar-SA"/>
        </w:rPr>
        <w:t>、投标人应自行认真勘察现场，根据工程实际与施工组织设计可对清单已列措施项目进行增补（或平衡报价），但不应更改招标人已列措施项目。结算时，除工程变更引起的施工方案改变外，不得以措施项目清单漏项为由要求新增措施项目。</w:t>
      </w:r>
    </w:p>
    <w:p w14:paraId="5171221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19、</w:t>
      </w:r>
      <w:r>
        <w:rPr>
          <w:rFonts w:hint="eastAsia" w:ascii="宋体" w:hAnsi="宋体" w:eastAsia="宋体" w:cs="宋体"/>
          <w:kern w:val="2"/>
          <w:sz w:val="24"/>
          <w:szCs w:val="24"/>
          <w:highlight w:val="none"/>
          <w:lang w:val="en-US" w:eastAsia="zh-CN" w:bidi="ar-SA"/>
        </w:rPr>
        <w:t>投标人须自行考虑整个施工范围内，各种建筑材料和机械设备的运输条件、运输距离、各种可能存在的干扰因素，合理安排各种材料设备的运输方法和运输设备，并在投标报价中充分考虑相应的场内场外运输费用，本工程所有材料设备的场内场外运输费用，结算时均不另行计算也不作任何调整。</w:t>
      </w:r>
    </w:p>
    <w:p w14:paraId="38635FE4">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cs="宋体"/>
          <w:kern w:val="0"/>
          <w:sz w:val="24"/>
          <w:lang w:val="en-US" w:eastAsia="zh-CN"/>
        </w:rPr>
      </w:pPr>
      <w:r>
        <w:rPr>
          <w:rFonts w:hint="eastAsia" w:ascii="宋体" w:hAnsi="宋体" w:cs="宋体"/>
          <w:kern w:val="2"/>
          <w:sz w:val="24"/>
          <w:szCs w:val="24"/>
          <w:highlight w:val="none"/>
          <w:lang w:val="en-US" w:eastAsia="zh-CN" w:bidi="ar-SA"/>
        </w:rPr>
        <w:t>20、</w:t>
      </w:r>
      <w:r>
        <w:rPr>
          <w:rFonts w:hint="eastAsia" w:ascii="宋体" w:hAnsi="宋体" w:cs="宋体"/>
          <w:kern w:val="0"/>
          <w:sz w:val="24"/>
        </w:rPr>
        <w:t>与其他专业工程/其他承包单位之间的配合、协调（如为其他专业工程所需的面材开洞、留洞、挖槽、开洞部位的修补、密封及二次成品保护等工作），须于措施项目表二中考虑</w:t>
      </w:r>
      <w:r>
        <w:rPr>
          <w:rFonts w:hint="eastAsia" w:ascii="宋体" w:hAnsi="宋体" w:cs="宋体"/>
          <w:kern w:val="0"/>
          <w:sz w:val="24"/>
          <w:lang w:eastAsia="zh-CN"/>
        </w:rPr>
        <w:t>，</w:t>
      </w:r>
      <w:r>
        <w:rPr>
          <w:rFonts w:hint="eastAsia" w:ascii="宋体" w:hAnsi="宋体" w:cs="宋体"/>
          <w:kern w:val="0"/>
          <w:sz w:val="24"/>
          <w:lang w:val="en-US" w:eastAsia="zh-CN"/>
        </w:rPr>
        <w:t>不得另行收取配合费。</w:t>
      </w:r>
    </w:p>
    <w:p w14:paraId="4A75945F">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21、</w:t>
      </w:r>
      <w:r>
        <w:rPr>
          <w:rFonts w:hint="eastAsia" w:ascii="宋体" w:hAnsi="宋体" w:eastAsia="宋体" w:cs="宋体"/>
          <w:kern w:val="0"/>
          <w:sz w:val="24"/>
        </w:rPr>
        <w:t>本工程所有用材的环保等级、防火等级、有害物质限量指标等均应满足设计及现行规范要求。</w:t>
      </w:r>
    </w:p>
    <w:p w14:paraId="23CF3E5B">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22、所有材料的卸力费、保管费、二次搬运费以及施工范围内的垃圾清运由投标方自行考虑计入报价，结算不再另行计取。</w:t>
      </w:r>
    </w:p>
    <w:p w14:paraId="28877CB5">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23、本工程外墙脚手架采用钢管脚手架，费用已考虑承插型盘扣式钢管脚手架，结算不再另行计取。</w:t>
      </w:r>
    </w:p>
    <w:p w14:paraId="0039DB95">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24、单价及总价措施项目清单未列的，如投标单位认为实际现场需要的其他措施，则投标单位需将其费用自行考虑在投标总价内，结算时不新增措施项目清单。</w:t>
      </w:r>
    </w:p>
    <w:p w14:paraId="147FC173">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25、工程完工后，对包括但不限于装修范围及涉及范围的保洁工作由中标人负责，有关费用投标人综合考虑在投标报价内，结算时招标人不另行支付费用。</w:t>
      </w:r>
    </w:p>
    <w:p w14:paraId="4131B794">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26、所有外立面设施设备保护包含在清单费用内，不另行计算。</w:t>
      </w:r>
    </w:p>
    <w:p w14:paraId="122EC647">
      <w:pPr>
        <w:numPr>
          <w:ilvl w:val="0"/>
          <w:numId w:val="0"/>
        </w:numPr>
        <w:tabs>
          <w:tab w:val="left" w:pos="933"/>
          <w:tab w:val="left" w:pos="1960"/>
        </w:tabs>
        <w:autoSpaceDE w:val="0"/>
        <w:autoSpaceDN w:val="0"/>
        <w:adjustRightInd w:val="0"/>
        <w:spacing w:line="360" w:lineRule="auto"/>
        <w:ind w:leftChars="0"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27、用于本项目的所有材料、设备必须符合有关规范、设计图纸规定的质量要求。且所有材料及设备的品牌、规格型号、色号、产地、生产产家、参数、性能、价格等均须提前一周书面征求监理单位、跟踪审计单位、建设单位等同意后方能进行采购。所有材料及设备进场前也必须经监理单位、跟踪审计单位、建设单位等事先认可后才能用于本工程。即中标人对用于本工程的所有材料及设备的品牌、规格型号、色号、产地、生产产家、参数、性能、价格等负责。安装工程中所涉及的灯具、卫生洁具、设备等部分材料必须满足深化设计要求及甲方要求，样品经甲方确认后采购，其综合单价不得调整。</w:t>
      </w:r>
    </w:p>
    <w:p w14:paraId="4B3A0DE2">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lang w:val="en-US" w:eastAsia="zh-CN"/>
        </w:rPr>
        <w:t>28、</w:t>
      </w:r>
      <w:r>
        <w:rPr>
          <w:rFonts w:hint="eastAsia" w:ascii="宋体" w:hAnsi="宋体" w:eastAsia="宋体" w:cs="宋体"/>
          <w:sz w:val="24"/>
          <w:szCs w:val="24"/>
          <w:highlight w:val="none"/>
          <w:lang w:val="en-US" w:eastAsia="zh-CN"/>
        </w:rPr>
        <w:t>绿化清单描述中的规格为进场修剪后的规格。</w:t>
      </w:r>
    </w:p>
    <w:p w14:paraId="1C4A3D60">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29</w:t>
      </w:r>
      <w:r>
        <w:rPr>
          <w:rFonts w:hint="eastAsia" w:ascii="宋体" w:hAnsi="宋体" w:eastAsia="宋体" w:cs="宋体"/>
          <w:sz w:val="24"/>
          <w:szCs w:val="24"/>
          <w:highlight w:val="none"/>
          <w:lang w:val="en-US" w:eastAsia="zh-CN"/>
        </w:rPr>
        <w:t>、绿化分部分项单价包含：苗木采购、运输、挖坑、种植、种植土加基肥、渗水试验、场内运输等附属工作和养护期内养护管理的全部工作内容，绕杆、支撑在单价措施项目中列出清单子目。</w:t>
      </w:r>
    </w:p>
    <w:p w14:paraId="47DBC7AD">
      <w:pPr>
        <w:keepNext w:val="0"/>
        <w:keepLines w:val="0"/>
        <w:pageBreakBefore w:val="0"/>
        <w:pBdr>
          <w:top w:val="none" w:color="FF0000" w:sz="0" w:space="1"/>
          <w:left w:val="none" w:color="FF0000" w:sz="0" w:space="4"/>
          <w:bottom w:val="none" w:color="FF0000" w:sz="0" w:space="1"/>
          <w:right w:val="none" w:color="FF0000" w:sz="0" w:space="0"/>
        </w:pBdr>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lang w:val="en-US" w:eastAsia="zh-CN"/>
        </w:rPr>
        <w:t>、本工程绿化部分养护期为24个月。</w:t>
      </w:r>
    </w:p>
    <w:p w14:paraId="2AF2BD9B">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color w:val="FF0000"/>
          <w:sz w:val="24"/>
          <w:highlight w:val="yellow"/>
        </w:rPr>
      </w:pPr>
      <w:r>
        <w:rPr>
          <w:rFonts w:hint="eastAsia" w:ascii="宋体" w:hAnsi="宋体" w:eastAsia="宋体" w:cs="宋体"/>
          <w:b/>
          <w:bCs/>
          <w:sz w:val="24"/>
          <w:szCs w:val="24"/>
          <w:highlight w:val="none"/>
          <w:lang w:val="en-US" w:eastAsia="zh-CN"/>
        </w:rPr>
        <w:t>（二）</w:t>
      </w:r>
      <w:r>
        <w:rPr>
          <w:rFonts w:hint="eastAsia"/>
          <w:b/>
          <w:bCs/>
          <w:color w:val="auto"/>
          <w:sz w:val="24"/>
          <w:highlight w:val="none"/>
        </w:rPr>
        <w:t>主要材料品牌表：</w:t>
      </w:r>
    </w:p>
    <w:tbl>
      <w:tblPr>
        <w:tblStyle w:val="5"/>
        <w:tblW w:w="9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2661"/>
        <w:gridCol w:w="2381"/>
        <w:gridCol w:w="3520"/>
      </w:tblGrid>
      <w:tr w14:paraId="69D58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noWrap w:val="0"/>
            <w:vAlign w:val="top"/>
          </w:tcPr>
          <w:p w14:paraId="355CA29A">
            <w:pPr>
              <w:spacing w:line="420" w:lineRule="exact"/>
              <w:jc w:val="center"/>
              <w:rPr>
                <w:rFonts w:hint="eastAsia"/>
                <w:sz w:val="24"/>
              </w:rPr>
            </w:pPr>
            <w:r>
              <w:rPr>
                <w:rFonts w:hint="eastAsia"/>
                <w:sz w:val="24"/>
              </w:rPr>
              <w:t>序号</w:t>
            </w:r>
          </w:p>
        </w:tc>
        <w:tc>
          <w:tcPr>
            <w:tcW w:w="2661" w:type="dxa"/>
            <w:noWrap w:val="0"/>
            <w:vAlign w:val="top"/>
          </w:tcPr>
          <w:p w14:paraId="06B23C52">
            <w:pPr>
              <w:spacing w:line="420" w:lineRule="exact"/>
              <w:jc w:val="center"/>
              <w:rPr>
                <w:rFonts w:hint="eastAsia"/>
                <w:sz w:val="24"/>
              </w:rPr>
            </w:pPr>
            <w:r>
              <w:rPr>
                <w:rFonts w:hint="eastAsia"/>
                <w:sz w:val="24"/>
              </w:rPr>
              <w:t>材料名称</w:t>
            </w:r>
          </w:p>
        </w:tc>
        <w:tc>
          <w:tcPr>
            <w:tcW w:w="2381" w:type="dxa"/>
            <w:noWrap w:val="0"/>
            <w:vAlign w:val="top"/>
          </w:tcPr>
          <w:p w14:paraId="169F7429">
            <w:pPr>
              <w:spacing w:line="420" w:lineRule="exact"/>
              <w:jc w:val="center"/>
              <w:rPr>
                <w:rFonts w:hint="eastAsia"/>
                <w:sz w:val="24"/>
              </w:rPr>
            </w:pPr>
            <w:r>
              <w:rPr>
                <w:rFonts w:hint="eastAsia"/>
                <w:sz w:val="24"/>
              </w:rPr>
              <w:t>规格</w:t>
            </w:r>
          </w:p>
        </w:tc>
        <w:tc>
          <w:tcPr>
            <w:tcW w:w="3520" w:type="dxa"/>
            <w:noWrap w:val="0"/>
            <w:vAlign w:val="top"/>
          </w:tcPr>
          <w:p w14:paraId="7FEFDE55">
            <w:pPr>
              <w:spacing w:line="420" w:lineRule="exact"/>
              <w:jc w:val="center"/>
              <w:rPr>
                <w:rFonts w:hint="eastAsia"/>
                <w:sz w:val="24"/>
              </w:rPr>
            </w:pPr>
            <w:r>
              <w:rPr>
                <w:rFonts w:hint="eastAsia"/>
                <w:sz w:val="24"/>
              </w:rPr>
              <w:t>选用品牌</w:t>
            </w:r>
          </w:p>
        </w:tc>
      </w:tr>
      <w:tr w14:paraId="41D2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noWrap w:val="0"/>
            <w:vAlign w:val="top"/>
          </w:tcPr>
          <w:p w14:paraId="001C5E40">
            <w:pPr>
              <w:spacing w:line="420" w:lineRule="exact"/>
              <w:jc w:val="center"/>
              <w:rPr>
                <w:rFonts w:hint="eastAsia" w:eastAsia="宋体"/>
                <w:sz w:val="22"/>
                <w:szCs w:val="22"/>
                <w:lang w:val="en-US" w:eastAsia="zh-CN"/>
              </w:rPr>
            </w:pPr>
            <w:r>
              <w:rPr>
                <w:rFonts w:hint="eastAsia"/>
                <w:sz w:val="22"/>
                <w:szCs w:val="22"/>
                <w:lang w:val="en-US" w:eastAsia="zh-CN"/>
              </w:rPr>
              <w:t>1</w:t>
            </w:r>
          </w:p>
        </w:tc>
        <w:tc>
          <w:tcPr>
            <w:tcW w:w="2661" w:type="dxa"/>
            <w:noWrap w:val="0"/>
            <w:vAlign w:val="top"/>
          </w:tcPr>
          <w:p w14:paraId="0C02EE23">
            <w:pPr>
              <w:spacing w:line="420" w:lineRule="exact"/>
              <w:jc w:val="center"/>
              <w:rPr>
                <w:rFonts w:hint="eastAsia" w:ascii="宋体" w:hAnsi="宋体" w:cs="宋体"/>
                <w:kern w:val="0"/>
                <w:sz w:val="22"/>
                <w:szCs w:val="22"/>
                <w:lang w:val="en-US" w:eastAsia="zh-CN" w:bidi="ar-SA"/>
              </w:rPr>
            </w:pPr>
            <w:r>
              <w:rPr>
                <w:rFonts w:hint="eastAsia" w:ascii="宋体" w:hAnsi="宋体" w:cs="宋体"/>
                <w:kern w:val="0"/>
                <w:sz w:val="22"/>
                <w:szCs w:val="22"/>
              </w:rPr>
              <w:t>油漆</w:t>
            </w:r>
            <w:r>
              <w:rPr>
                <w:rFonts w:hint="eastAsia" w:ascii="宋体" w:hAnsi="宋体" w:cs="宋体"/>
                <w:kern w:val="0"/>
                <w:sz w:val="22"/>
                <w:szCs w:val="22"/>
                <w:lang w:eastAsia="zh-CN"/>
              </w:rPr>
              <w:t>、</w:t>
            </w:r>
            <w:r>
              <w:rPr>
                <w:rFonts w:hint="eastAsia" w:ascii="宋体" w:hAnsi="宋体" w:cs="宋体"/>
                <w:kern w:val="0"/>
                <w:sz w:val="22"/>
                <w:szCs w:val="22"/>
                <w:lang w:val="en-US" w:eastAsia="zh-CN"/>
              </w:rPr>
              <w:t>腻子</w:t>
            </w:r>
            <w:r>
              <w:rPr>
                <w:rFonts w:hint="eastAsia" w:ascii="宋体" w:hAnsi="宋体" w:cs="宋体"/>
                <w:kern w:val="0"/>
                <w:sz w:val="22"/>
                <w:szCs w:val="22"/>
                <w:lang w:eastAsia="zh-CN"/>
              </w:rPr>
              <w:t>、</w:t>
            </w:r>
            <w:r>
              <w:rPr>
                <w:rFonts w:hint="eastAsia" w:ascii="宋体" w:hAnsi="宋体" w:cs="宋体"/>
                <w:kern w:val="0"/>
                <w:sz w:val="22"/>
                <w:szCs w:val="22"/>
              </w:rPr>
              <w:t>涂料</w:t>
            </w:r>
          </w:p>
        </w:tc>
        <w:tc>
          <w:tcPr>
            <w:tcW w:w="2381" w:type="dxa"/>
            <w:noWrap w:val="0"/>
            <w:vAlign w:val="top"/>
          </w:tcPr>
          <w:p w14:paraId="17A3790C">
            <w:pPr>
              <w:spacing w:line="420" w:lineRule="exact"/>
              <w:jc w:val="center"/>
              <w:rPr>
                <w:rFonts w:hint="eastAsia"/>
                <w:kern w:val="2"/>
                <w:sz w:val="22"/>
                <w:szCs w:val="22"/>
                <w:lang w:val="en-US" w:eastAsia="zh-CN" w:bidi="ar-SA"/>
              </w:rPr>
            </w:pPr>
          </w:p>
        </w:tc>
        <w:tc>
          <w:tcPr>
            <w:tcW w:w="3520" w:type="dxa"/>
            <w:noWrap w:val="0"/>
            <w:vAlign w:val="top"/>
          </w:tcPr>
          <w:p w14:paraId="78680DFD">
            <w:pPr>
              <w:spacing w:line="420" w:lineRule="exact"/>
              <w:jc w:val="center"/>
              <w:rPr>
                <w:rFonts w:hint="default" w:ascii="宋体" w:hAnsi="宋体" w:cs="宋体"/>
                <w:kern w:val="0"/>
                <w:sz w:val="22"/>
                <w:szCs w:val="22"/>
                <w:lang w:val="en-US" w:eastAsia="zh-CN" w:bidi="ar-SA"/>
              </w:rPr>
            </w:pPr>
            <w:r>
              <w:rPr>
                <w:rFonts w:hint="eastAsia" w:ascii="宋体" w:hAnsi="宋体" w:eastAsia="宋体" w:cs="宋体"/>
                <w:kern w:val="0"/>
                <w:sz w:val="22"/>
                <w:szCs w:val="22"/>
                <w:lang w:val="en-US" w:eastAsia="zh-CN"/>
              </w:rPr>
              <w:t>三棵树、晨光、德威特</w:t>
            </w:r>
          </w:p>
        </w:tc>
      </w:tr>
      <w:tr w14:paraId="43A1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noWrap w:val="0"/>
            <w:vAlign w:val="top"/>
          </w:tcPr>
          <w:p w14:paraId="13944BCE">
            <w:pPr>
              <w:spacing w:line="420" w:lineRule="exact"/>
              <w:jc w:val="center"/>
              <w:rPr>
                <w:rFonts w:hint="default" w:eastAsia="宋体"/>
                <w:sz w:val="22"/>
                <w:szCs w:val="22"/>
                <w:lang w:val="en-US" w:eastAsia="zh-CN"/>
              </w:rPr>
            </w:pPr>
            <w:r>
              <w:rPr>
                <w:rFonts w:hint="eastAsia"/>
                <w:sz w:val="22"/>
                <w:szCs w:val="22"/>
                <w:lang w:val="en-US" w:eastAsia="zh-CN"/>
              </w:rPr>
              <w:t>2</w:t>
            </w:r>
          </w:p>
        </w:tc>
        <w:tc>
          <w:tcPr>
            <w:tcW w:w="2661" w:type="dxa"/>
            <w:noWrap w:val="0"/>
            <w:vAlign w:val="center"/>
          </w:tcPr>
          <w:p w14:paraId="34A970AF">
            <w:pPr>
              <w:widowControl/>
              <w:jc w:val="center"/>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防水材料</w:t>
            </w:r>
          </w:p>
        </w:tc>
        <w:tc>
          <w:tcPr>
            <w:tcW w:w="2381" w:type="dxa"/>
            <w:noWrap w:val="0"/>
            <w:vAlign w:val="center"/>
          </w:tcPr>
          <w:p w14:paraId="4040F6C5">
            <w:pPr>
              <w:widowControl/>
              <w:jc w:val="center"/>
              <w:rPr>
                <w:rFonts w:ascii="宋体" w:hAnsi="宋体" w:cs="宋体"/>
                <w:kern w:val="0"/>
                <w:sz w:val="22"/>
                <w:szCs w:val="22"/>
              </w:rPr>
            </w:pPr>
          </w:p>
        </w:tc>
        <w:tc>
          <w:tcPr>
            <w:tcW w:w="3520" w:type="dxa"/>
            <w:noWrap w:val="0"/>
            <w:vAlign w:val="center"/>
          </w:tcPr>
          <w:p w14:paraId="148B6553">
            <w:pPr>
              <w:spacing w:line="420" w:lineRule="exact"/>
              <w:jc w:val="center"/>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东方雨虹、科顺、卓宝</w:t>
            </w:r>
          </w:p>
        </w:tc>
      </w:tr>
      <w:tr w14:paraId="6B659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 w:type="dxa"/>
            <w:noWrap w:val="0"/>
            <w:vAlign w:val="top"/>
          </w:tcPr>
          <w:p w14:paraId="6DF3DBB6">
            <w:pPr>
              <w:spacing w:line="420" w:lineRule="exact"/>
              <w:jc w:val="center"/>
              <w:rPr>
                <w:rFonts w:hint="default" w:eastAsia="宋体"/>
                <w:sz w:val="22"/>
                <w:szCs w:val="22"/>
                <w:lang w:val="en-US" w:eastAsia="zh-CN"/>
              </w:rPr>
            </w:pPr>
            <w:r>
              <w:rPr>
                <w:rFonts w:hint="eastAsia"/>
                <w:sz w:val="22"/>
                <w:szCs w:val="22"/>
                <w:lang w:val="en-US" w:eastAsia="zh-CN"/>
              </w:rPr>
              <w:t>3</w:t>
            </w:r>
          </w:p>
        </w:tc>
        <w:tc>
          <w:tcPr>
            <w:tcW w:w="2661" w:type="dxa"/>
            <w:noWrap w:val="0"/>
            <w:vAlign w:val="center"/>
          </w:tcPr>
          <w:p w14:paraId="17E62089">
            <w:pPr>
              <w:widowControl/>
              <w:jc w:val="center"/>
              <w:rPr>
                <w:rFonts w:hint="eastAsia" w:ascii="宋体" w:hAnsi="宋体" w:eastAsia="宋体" w:cs="宋体"/>
                <w:kern w:val="0"/>
                <w:sz w:val="22"/>
                <w:szCs w:val="22"/>
                <w:lang w:val="en-US" w:eastAsia="zh-CN"/>
              </w:rPr>
            </w:pPr>
            <w:r>
              <w:rPr>
                <w:rFonts w:hint="eastAsia" w:ascii="宋体" w:hAnsi="宋体" w:cs="宋体"/>
                <w:kern w:val="0"/>
                <w:sz w:val="22"/>
                <w:szCs w:val="22"/>
                <w:lang w:val="en-US" w:eastAsia="zh-CN"/>
              </w:rPr>
              <w:t>给排水管材</w:t>
            </w:r>
          </w:p>
        </w:tc>
        <w:tc>
          <w:tcPr>
            <w:tcW w:w="2381" w:type="dxa"/>
            <w:noWrap w:val="0"/>
            <w:vAlign w:val="center"/>
          </w:tcPr>
          <w:p w14:paraId="653F5ACE">
            <w:pPr>
              <w:widowControl/>
              <w:jc w:val="center"/>
              <w:rPr>
                <w:rFonts w:ascii="宋体" w:hAnsi="宋体" w:cs="宋体"/>
                <w:kern w:val="0"/>
                <w:sz w:val="22"/>
                <w:szCs w:val="22"/>
              </w:rPr>
            </w:pPr>
          </w:p>
        </w:tc>
        <w:tc>
          <w:tcPr>
            <w:tcW w:w="3520" w:type="dxa"/>
            <w:noWrap w:val="0"/>
            <w:vAlign w:val="center"/>
          </w:tcPr>
          <w:p w14:paraId="4452FFDE">
            <w:pPr>
              <w:spacing w:line="420" w:lineRule="exact"/>
              <w:jc w:val="center"/>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公元、联塑、中财</w:t>
            </w:r>
          </w:p>
        </w:tc>
      </w:tr>
    </w:tbl>
    <w:p w14:paraId="189B6314">
      <w:pPr>
        <w:spacing w:line="420" w:lineRule="exact"/>
        <w:ind w:left="-240" w:leftChars="-75"/>
        <w:jc w:val="left"/>
        <w:rPr>
          <w:rFonts w:hint="eastAsia" w:hAnsi="宋体"/>
          <w:sz w:val="24"/>
        </w:rPr>
      </w:pPr>
      <w:r>
        <w:rPr>
          <w:rFonts w:hint="eastAsia"/>
          <w:sz w:val="24"/>
        </w:rPr>
        <w:t>注：</w:t>
      </w:r>
      <w:r>
        <w:rPr>
          <w:rFonts w:hint="eastAsia" w:hAnsi="宋体"/>
          <w:sz w:val="24"/>
        </w:rPr>
        <w:t>以上推荐品牌价格不随甲方颜色及选样调整而调整，投标价格需综合考虑此项内容。</w:t>
      </w:r>
    </w:p>
    <w:p w14:paraId="7CE313A8">
      <w:pPr>
        <w:rPr>
          <w:rFonts w:hint="eastAsia" w:ascii="宋体" w:hAnsi="宋体" w:eastAsia="宋体" w:cs="宋体"/>
          <w:kern w:val="2"/>
          <w:sz w:val="24"/>
          <w:szCs w:val="24"/>
          <w:highlight w:val="none"/>
          <w:lang w:val="en-US" w:eastAsia="zh-CN" w:bidi="ar-SA"/>
        </w:rPr>
      </w:pPr>
    </w:p>
    <w:p w14:paraId="6BBA4C59">
      <w:pPr>
        <w:rPr>
          <w:rFonts w:hint="eastAsia" w:ascii="宋体" w:hAnsi="宋体" w:eastAsia="宋体" w:cs="宋体"/>
          <w:kern w:val="2"/>
          <w:sz w:val="24"/>
          <w:szCs w:val="24"/>
          <w:highlight w:val="none"/>
          <w:lang w:val="en-US" w:eastAsia="zh-CN" w:bidi="ar-SA"/>
        </w:rPr>
      </w:pPr>
    </w:p>
    <w:p w14:paraId="0F78C612">
      <w:pPr>
        <w:pStyle w:val="3"/>
        <w:ind w:firstLine="4080" w:firstLineChars="17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江苏信和工程建设管理房地产评估有限公司</w:t>
      </w:r>
    </w:p>
    <w:p w14:paraId="01FFD4FE">
      <w:pPr>
        <w:pStyle w:val="3"/>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 xml:space="preserve">                                               2025年6月5</w:t>
      </w:r>
      <w:bookmarkStart w:id="0" w:name="_GoBack"/>
      <w:bookmarkEnd w:id="0"/>
      <w:r>
        <w:rPr>
          <w:rFonts w:hint="eastAsia" w:ascii="宋体" w:hAnsi="宋体" w:cs="宋体"/>
          <w:kern w:val="2"/>
          <w:sz w:val="24"/>
          <w:szCs w:val="24"/>
          <w:highlight w:val="none"/>
          <w:lang w:val="en-US" w:eastAsia="zh-CN" w:bidi="ar-SA"/>
        </w:rPr>
        <w:t>日</w:t>
      </w:r>
    </w:p>
    <w:sectPr>
      <w:pgSz w:w="11906" w:h="16838"/>
      <w:pgMar w:top="1440" w:right="1633" w:bottom="1440"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3Yjc1MDQ5MDMxZjc2ZTg0NDdiMGVmMmFlMGIxZDEifQ=="/>
  </w:docVars>
  <w:rsids>
    <w:rsidRoot w:val="00E62207"/>
    <w:rsid w:val="00A30976"/>
    <w:rsid w:val="00E62207"/>
    <w:rsid w:val="00F305E9"/>
    <w:rsid w:val="013A592B"/>
    <w:rsid w:val="01A0546A"/>
    <w:rsid w:val="01C26E13"/>
    <w:rsid w:val="0348159A"/>
    <w:rsid w:val="03E5503B"/>
    <w:rsid w:val="04854536"/>
    <w:rsid w:val="04BF588C"/>
    <w:rsid w:val="054F5532"/>
    <w:rsid w:val="05BC4C35"/>
    <w:rsid w:val="07492003"/>
    <w:rsid w:val="08015980"/>
    <w:rsid w:val="086A70E8"/>
    <w:rsid w:val="08E615A8"/>
    <w:rsid w:val="09195D74"/>
    <w:rsid w:val="091C01AA"/>
    <w:rsid w:val="09890001"/>
    <w:rsid w:val="098971B5"/>
    <w:rsid w:val="0A0C1573"/>
    <w:rsid w:val="0B3E2A88"/>
    <w:rsid w:val="0CD901D5"/>
    <w:rsid w:val="109323D8"/>
    <w:rsid w:val="118D018D"/>
    <w:rsid w:val="124473D0"/>
    <w:rsid w:val="150B34E8"/>
    <w:rsid w:val="1575048E"/>
    <w:rsid w:val="15CF05FB"/>
    <w:rsid w:val="167069E6"/>
    <w:rsid w:val="16A6065A"/>
    <w:rsid w:val="17980C59"/>
    <w:rsid w:val="17D27FF6"/>
    <w:rsid w:val="182F0FA8"/>
    <w:rsid w:val="19003166"/>
    <w:rsid w:val="1AA45F75"/>
    <w:rsid w:val="1B2821A3"/>
    <w:rsid w:val="1BF55BDB"/>
    <w:rsid w:val="1C56042C"/>
    <w:rsid w:val="1C850170"/>
    <w:rsid w:val="1E5A2311"/>
    <w:rsid w:val="1EC17FA0"/>
    <w:rsid w:val="1ED610D7"/>
    <w:rsid w:val="1F8D37AA"/>
    <w:rsid w:val="1FDB58B6"/>
    <w:rsid w:val="21314F99"/>
    <w:rsid w:val="234A3673"/>
    <w:rsid w:val="238C2928"/>
    <w:rsid w:val="239C0AC9"/>
    <w:rsid w:val="24BB6A3D"/>
    <w:rsid w:val="257C53A7"/>
    <w:rsid w:val="26296BB1"/>
    <w:rsid w:val="27225ADA"/>
    <w:rsid w:val="288D1679"/>
    <w:rsid w:val="28E31B84"/>
    <w:rsid w:val="2A7E2297"/>
    <w:rsid w:val="2C461DBB"/>
    <w:rsid w:val="3236068C"/>
    <w:rsid w:val="326205EA"/>
    <w:rsid w:val="33FD3B57"/>
    <w:rsid w:val="34BD7D12"/>
    <w:rsid w:val="34FA260B"/>
    <w:rsid w:val="375827F9"/>
    <w:rsid w:val="3BD40CAA"/>
    <w:rsid w:val="3BE030E8"/>
    <w:rsid w:val="3C073099"/>
    <w:rsid w:val="3CD35F06"/>
    <w:rsid w:val="3D021290"/>
    <w:rsid w:val="3E625CB5"/>
    <w:rsid w:val="3EFF019A"/>
    <w:rsid w:val="3F0A13CC"/>
    <w:rsid w:val="3FC7326B"/>
    <w:rsid w:val="41831414"/>
    <w:rsid w:val="41DA7286"/>
    <w:rsid w:val="426E42FC"/>
    <w:rsid w:val="42A20843"/>
    <w:rsid w:val="42C3180B"/>
    <w:rsid w:val="445915F6"/>
    <w:rsid w:val="4461698E"/>
    <w:rsid w:val="462161AE"/>
    <w:rsid w:val="475707FA"/>
    <w:rsid w:val="478E12A6"/>
    <w:rsid w:val="497C0145"/>
    <w:rsid w:val="49F7474D"/>
    <w:rsid w:val="4B404625"/>
    <w:rsid w:val="4C45630D"/>
    <w:rsid w:val="4C4A0410"/>
    <w:rsid w:val="4E516C0B"/>
    <w:rsid w:val="50747AE5"/>
    <w:rsid w:val="541A2DAC"/>
    <w:rsid w:val="54216F96"/>
    <w:rsid w:val="563A2C30"/>
    <w:rsid w:val="56742F2C"/>
    <w:rsid w:val="57F8000E"/>
    <w:rsid w:val="58ED7D45"/>
    <w:rsid w:val="5A9321AA"/>
    <w:rsid w:val="5C0C0D58"/>
    <w:rsid w:val="5C0C706A"/>
    <w:rsid w:val="5D403159"/>
    <w:rsid w:val="5D8B1FAD"/>
    <w:rsid w:val="5E826D2B"/>
    <w:rsid w:val="5ECB4491"/>
    <w:rsid w:val="5ED14F63"/>
    <w:rsid w:val="5EE17A4E"/>
    <w:rsid w:val="5F096FA4"/>
    <w:rsid w:val="5F6136C2"/>
    <w:rsid w:val="5FB73A97"/>
    <w:rsid w:val="605D5AD7"/>
    <w:rsid w:val="61DE59C0"/>
    <w:rsid w:val="63F62259"/>
    <w:rsid w:val="661878B1"/>
    <w:rsid w:val="66566EDE"/>
    <w:rsid w:val="66A852F5"/>
    <w:rsid w:val="67EE346A"/>
    <w:rsid w:val="689F7B94"/>
    <w:rsid w:val="68D51E67"/>
    <w:rsid w:val="69CF4947"/>
    <w:rsid w:val="69DF593D"/>
    <w:rsid w:val="69FE0A8D"/>
    <w:rsid w:val="6AF0517A"/>
    <w:rsid w:val="6C8639E2"/>
    <w:rsid w:val="6DDB0A5D"/>
    <w:rsid w:val="6E6B2E90"/>
    <w:rsid w:val="6E95615F"/>
    <w:rsid w:val="6EC23C35"/>
    <w:rsid w:val="6EE53DC0"/>
    <w:rsid w:val="6F5227C6"/>
    <w:rsid w:val="6F732A26"/>
    <w:rsid w:val="70450A80"/>
    <w:rsid w:val="70453B93"/>
    <w:rsid w:val="70BA3C5B"/>
    <w:rsid w:val="722717C4"/>
    <w:rsid w:val="73190EF9"/>
    <w:rsid w:val="737A6CB7"/>
    <w:rsid w:val="76432944"/>
    <w:rsid w:val="76AA651F"/>
    <w:rsid w:val="77D2744E"/>
    <w:rsid w:val="785F485D"/>
    <w:rsid w:val="7A707A80"/>
    <w:rsid w:val="7C785F52"/>
    <w:rsid w:val="7FBD6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line="480" w:lineRule="auto"/>
    </w:pPr>
    <w:rPr>
      <w:sz w:val="28"/>
      <w:szCs w:val="24"/>
    </w:rPr>
  </w:style>
  <w:style w:type="paragraph" w:styleId="4">
    <w:name w:val="footer"/>
    <w:basedOn w:val="1"/>
    <w:qFormat/>
    <w:uiPriority w:val="0"/>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character" w:customStyle="1" w:styleId="9">
    <w:name w:val="font01"/>
    <w:basedOn w:val="7"/>
    <w:qFormat/>
    <w:uiPriority w:val="0"/>
    <w:rPr>
      <w:rFonts w:hint="eastAsia" w:ascii="宋体" w:hAnsi="宋体" w:eastAsia="宋体" w:cs="宋体"/>
      <w:color w:val="000000"/>
      <w:sz w:val="24"/>
      <w:szCs w:val="24"/>
      <w:u w:val="none"/>
    </w:rPr>
  </w:style>
  <w:style w:type="character" w:customStyle="1" w:styleId="10">
    <w:name w:val="font1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3341</Words>
  <Characters>3452</Characters>
  <Lines>0</Lines>
  <Paragraphs>0</Paragraphs>
  <TotalTime>2</TotalTime>
  <ScaleCrop>false</ScaleCrop>
  <LinksUpToDate>false</LinksUpToDate>
  <CharactersWithSpaces>3501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飘雪</dc:creator>
  <cp:lastModifiedBy>L</cp:lastModifiedBy>
  <dcterms:modified xsi:type="dcterms:W3CDTF">2025-06-12T09:06:27Z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95FBEFE2904B4C4B9A51940CC06BDE52_13</vt:lpwstr>
  </property>
  <property fmtid="{D5CDD505-2E9C-101B-9397-08002B2CF9AE}" pid="4" name="KSOTemplateDocerSaveRecord">
    <vt:lpwstr>eyJoZGlkIjoiMjVkZGU1NGQ0ZWYzYmNiOTY1MzJjNjEyZmM5NWM5MTgiLCJ1c2VySWQiOiI0MTE1Njk5ODUifQ==</vt:lpwstr>
  </property>
</Properties>
</file>