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8E3F6">
      <w:pPr>
        <w:keepNext w:val="0"/>
        <w:keepLines w:val="0"/>
        <w:pageBreakBefore w:val="0"/>
        <w:widowControl w:val="0"/>
        <w:shd w:val="clear" w:color="auto" w:fill="auto"/>
        <w:kinsoku/>
        <w:wordWrap/>
        <w:overflowPunct/>
        <w:topLinePunct w:val="0"/>
        <w:autoSpaceDE w:val="0"/>
        <w:autoSpaceDN/>
        <w:bidi w:val="0"/>
        <w:adjustRightInd w:val="0"/>
        <w:snapToGrid w:val="0"/>
        <w:spacing w:line="560" w:lineRule="exact"/>
        <w:ind w:right="0" w:rightChars="0" w:firstLine="440" w:firstLineChars="100"/>
        <w:jc w:val="center"/>
        <w:textAlignment w:val="auto"/>
        <w:rPr>
          <w:rFonts w:hint="eastAsia" w:ascii="黑体" w:hAnsi="宋体" w:eastAsia="黑体" w:cs="黑体"/>
          <w:bCs/>
          <w:color w:val="auto"/>
          <w:sz w:val="32"/>
          <w:szCs w:val="32"/>
          <w:highlight w:val="none"/>
          <w:lang w:bidi="ar"/>
        </w:rPr>
      </w:pPr>
      <w:bookmarkStart w:id="3" w:name="_GoBack"/>
      <w:bookmarkEnd w:id="3"/>
      <w:r>
        <w:rPr>
          <w:rFonts w:hint="eastAsia" w:ascii="方正小标宋简体" w:hAnsi="Times New Roman" w:eastAsia="方正小标宋简体" w:cs="方正小标宋简体"/>
          <w:bCs/>
          <w:color w:val="auto"/>
          <w:kern w:val="44"/>
          <w:sz w:val="44"/>
          <w:szCs w:val="44"/>
          <w:highlight w:val="none"/>
          <w:lang w:bidi="ar"/>
        </w:rPr>
        <w:t>招标公告</w:t>
      </w:r>
    </w:p>
    <w:p w14:paraId="1766A007">
      <w:pPr>
        <w:keepNext w:val="0"/>
        <w:keepLines w:val="0"/>
        <w:pageBreakBefore w:val="0"/>
        <w:widowControl w:val="0"/>
        <w:shd w:val="clear" w:color="auto" w:fill="auto"/>
        <w:kinsoku/>
        <w:wordWrap/>
        <w:overflowPunct/>
        <w:topLinePunct w:val="0"/>
        <w:autoSpaceDE w:val="0"/>
        <w:autoSpaceDN/>
        <w:bidi w:val="0"/>
        <w:adjustRightInd w:val="0"/>
        <w:snapToGrid w:val="0"/>
        <w:spacing w:line="560" w:lineRule="exact"/>
        <w:ind w:right="0" w:rightChars="0" w:firstLine="320" w:firstLineChars="1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07C6C30F">
      <w:pPr>
        <w:keepNext w:val="0"/>
        <w:keepLines w:val="0"/>
        <w:pageBreakBefore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滨江物流短驳装卸及运输增补服务</w:t>
      </w:r>
      <w:r>
        <w:rPr>
          <w:rFonts w:hint="eastAsia" w:ascii="仿宋_GB2312" w:hAnsi="仿宋_GB2312" w:eastAsia="仿宋_GB2312" w:cs="仿宋_GB2312"/>
          <w:color w:val="auto"/>
          <w:kern w:val="0"/>
          <w:sz w:val="32"/>
          <w:szCs w:val="32"/>
          <w:highlight w:val="none"/>
          <w:u w:val="single"/>
        </w:rPr>
        <w:t>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kern w:val="0"/>
          <w:sz w:val="32"/>
          <w:szCs w:val="32"/>
          <w:highlight w:val="none"/>
          <w:u w:val="single"/>
        </w:rPr>
        <w:t>常州滨江物流发展集团有限公司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滨江物流短驳装卸及运输增补服务</w:t>
      </w:r>
      <w:r>
        <w:rPr>
          <w:rFonts w:hint="eastAsia" w:ascii="仿宋_GB2312" w:hAnsi="仿宋_GB2312" w:eastAsia="仿宋_GB2312" w:cs="仿宋_GB2312"/>
          <w:color w:val="auto"/>
          <w:kern w:val="0"/>
          <w:sz w:val="32"/>
          <w:szCs w:val="32"/>
          <w:highlight w:val="none"/>
          <w:u w:val="single"/>
        </w:rPr>
        <w:t>项目</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42AC2274">
      <w:pPr>
        <w:keepNext w:val="0"/>
        <w:keepLines w:val="0"/>
        <w:pageBreakBefore w:val="0"/>
        <w:widowControl w:val="0"/>
        <w:shd w:val="clear" w:color="auto" w:fill="auto"/>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二、招标内容</w:t>
      </w:r>
    </w:p>
    <w:p w14:paraId="019ADD1E">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729D995A">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w:t>
      </w:r>
      <w:r>
        <w:rPr>
          <w:rFonts w:hint="eastAsia" w:ascii="仿宋_GB2312" w:hAnsi="仿宋_GB2312" w:eastAsia="仿宋_GB2312" w:cs="仿宋_GB2312"/>
          <w:bCs/>
          <w:color w:val="auto"/>
          <w:sz w:val="32"/>
          <w:szCs w:val="32"/>
          <w:highlight w:val="none"/>
          <w:lang w:val="en-US" w:eastAsia="zh-CN"/>
        </w:rPr>
        <w:t>服务</w:t>
      </w:r>
      <w:r>
        <w:rPr>
          <w:rFonts w:hint="eastAsia" w:ascii="仿宋_GB2312" w:hAnsi="仿宋_GB2312" w:eastAsia="仿宋_GB2312" w:cs="仿宋_GB2312"/>
          <w:bCs/>
          <w:color w:val="auto"/>
          <w:sz w:val="32"/>
          <w:szCs w:val="32"/>
          <w:highlight w:val="none"/>
        </w:rPr>
        <w:t>地点：常州市新北区</w:t>
      </w:r>
      <w:r>
        <w:rPr>
          <w:rFonts w:hint="eastAsia" w:ascii="仿宋_GB2312" w:hAnsi="仿宋_GB2312" w:eastAsia="仿宋_GB2312" w:cs="仿宋_GB2312"/>
          <w:bCs/>
          <w:color w:val="auto"/>
          <w:sz w:val="32"/>
          <w:szCs w:val="32"/>
          <w:highlight w:val="none"/>
          <w:lang w:val="en-US" w:eastAsia="zh-CN"/>
        </w:rPr>
        <w:t>滨开区</w:t>
      </w:r>
      <w:r>
        <w:rPr>
          <w:rFonts w:hint="eastAsia" w:ascii="仿宋_GB2312" w:hAnsi="仿宋_GB2312" w:eastAsia="仿宋_GB2312" w:cs="仿宋_GB2312"/>
          <w:color w:val="auto"/>
          <w:sz w:val="32"/>
          <w:szCs w:val="32"/>
          <w:highlight w:val="none"/>
          <w:u w:val="none"/>
        </w:rPr>
        <w:t>。</w:t>
      </w:r>
    </w:p>
    <w:p w14:paraId="7DB8BDD9">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2.1.2</w:t>
      </w:r>
      <w:r>
        <w:rPr>
          <w:rFonts w:hint="eastAsia" w:ascii="仿宋_GB2312" w:hAnsi="仿宋_GB2312" w:eastAsia="仿宋_GB2312" w:cs="仿宋_GB2312"/>
          <w:bCs/>
          <w:color w:val="auto"/>
          <w:sz w:val="32"/>
          <w:szCs w:val="32"/>
          <w:highlight w:val="none"/>
          <w:u w:val="none"/>
          <w:lang w:val="en-US" w:eastAsia="zh-CN"/>
        </w:rPr>
        <w:t>服务范围</w:t>
      </w:r>
      <w:r>
        <w:rPr>
          <w:rFonts w:hint="eastAsia" w:ascii="仿宋_GB2312" w:hAnsi="仿宋_GB2312" w:eastAsia="仿宋_GB2312" w:cs="仿宋_GB2312"/>
          <w:bCs/>
          <w:color w:val="auto"/>
          <w:sz w:val="32"/>
          <w:szCs w:val="32"/>
          <w:highlight w:val="none"/>
          <w:u w:val="none"/>
        </w:rPr>
        <w:t>：</w:t>
      </w:r>
    </w:p>
    <w:p w14:paraId="53B56111">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bCs/>
          <w:color w:val="auto"/>
          <w:sz w:val="32"/>
          <w:szCs w:val="32"/>
          <w:highlight w:val="none"/>
          <w:u w:val="none"/>
        </w:rPr>
        <w:t>启凯德胜码头与各库区之间短驳运输；</w:t>
      </w:r>
    </w:p>
    <w:p w14:paraId="6F21E29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kern w:val="2"/>
          <w:sz w:val="32"/>
          <w:szCs w:val="32"/>
          <w:lang w:val="en-US" w:eastAsia="zh-CN" w:bidi="ar-SA"/>
        </w:rPr>
        <w:t>（2）</w:t>
      </w:r>
      <w:r>
        <w:rPr>
          <w:rFonts w:hint="eastAsia" w:ascii="仿宋_GB2312" w:hAnsi="仿宋_GB2312" w:eastAsia="仿宋_GB2312" w:cs="仿宋_GB2312"/>
          <w:bCs/>
          <w:color w:val="auto"/>
          <w:sz w:val="32"/>
          <w:szCs w:val="32"/>
          <w:highlight w:val="none"/>
          <w:u w:val="none"/>
        </w:rPr>
        <w:t>库区与库区之间短驳运输；</w:t>
      </w:r>
    </w:p>
    <w:p w14:paraId="0A58E83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638" w:leftChars="304" w:right="0" w:rightChars="0" w:firstLine="0" w:firstLineChars="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bCs/>
          <w:color w:val="auto"/>
          <w:sz w:val="32"/>
          <w:szCs w:val="32"/>
          <w:highlight w:val="none"/>
          <w:u w:val="none"/>
        </w:rPr>
        <w:t>启凯德胜码头、各库区至本省范围内货物运输；</w:t>
      </w:r>
    </w:p>
    <w:p w14:paraId="057EAB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638" w:leftChars="304" w:right="0" w:rightChars="0" w:firstLine="0" w:firstLineChars="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bCs/>
          <w:color w:val="auto"/>
          <w:sz w:val="32"/>
          <w:szCs w:val="32"/>
          <w:highlight w:val="none"/>
          <w:u w:val="none"/>
        </w:rPr>
        <w:t>本省范围内至启凯德胜码头、各库区或其他目的地货物运输；</w:t>
      </w:r>
    </w:p>
    <w:p w14:paraId="38092AD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638" w:leftChars="304" w:right="0" w:rightChars="0" w:firstLine="0" w:firstLineChars="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bCs/>
          <w:color w:val="auto"/>
          <w:sz w:val="32"/>
          <w:szCs w:val="32"/>
          <w:highlight w:val="none"/>
          <w:u w:val="none"/>
        </w:rPr>
        <w:t>库内装卸、搬运服务，包含：叉车、叉车工、人工辅助等</w:t>
      </w:r>
      <w:r>
        <w:rPr>
          <w:rFonts w:hint="eastAsia" w:ascii="仿宋_GB2312" w:hAnsi="仿宋_GB2312" w:eastAsia="仿宋_GB2312" w:cs="仿宋_GB2312"/>
          <w:color w:val="auto"/>
          <w:sz w:val="32"/>
          <w:szCs w:val="32"/>
          <w:highlight w:val="none"/>
          <w:u w:val="none"/>
        </w:rPr>
        <w:t>。</w:t>
      </w:r>
    </w:p>
    <w:p w14:paraId="57706184">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2.1.3</w:t>
      </w:r>
      <w:r>
        <w:rPr>
          <w:rFonts w:hint="eastAsia" w:ascii="仿宋_GB2312" w:hAnsi="仿宋_GB2312" w:eastAsia="仿宋_GB2312" w:cs="仿宋_GB2312"/>
          <w:bCs/>
          <w:color w:val="auto"/>
          <w:sz w:val="32"/>
          <w:szCs w:val="32"/>
          <w:highlight w:val="none"/>
          <w:u w:val="none"/>
          <w:lang w:val="en-US" w:eastAsia="zh-CN"/>
        </w:rPr>
        <w:t>采购预算</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val="en-US" w:eastAsia="zh-CN"/>
        </w:rPr>
        <w:t>人民币</w:t>
      </w:r>
      <w:r>
        <w:rPr>
          <w:rFonts w:hint="default" w:ascii="仿宋_GB2312" w:hAnsi="仿宋_GB2312" w:eastAsia="仿宋_GB2312" w:cs="仿宋_GB2312"/>
          <w:color w:val="000000"/>
          <w:spacing w:val="-2"/>
          <w:sz w:val="32"/>
          <w:szCs w:val="32"/>
          <w:highlight w:val="none"/>
          <w:lang w:val="en-US" w:eastAsia="zh-CN"/>
        </w:rPr>
        <w:t>750万元</w:t>
      </w:r>
      <w:r>
        <w:rPr>
          <w:rFonts w:hint="eastAsia" w:ascii="仿宋_GB2312" w:hAnsi="仿宋_GB2312" w:eastAsia="仿宋_GB2312" w:cs="仿宋_GB2312"/>
          <w:color w:val="auto"/>
          <w:sz w:val="32"/>
          <w:szCs w:val="32"/>
          <w:highlight w:val="none"/>
          <w:u w:val="none"/>
        </w:rPr>
        <w:t>。</w:t>
      </w:r>
    </w:p>
    <w:p w14:paraId="4E206352">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2.1.4服务期限：自合同签订时间起至2027年10月31日止</w:t>
      </w:r>
      <w:r>
        <w:rPr>
          <w:rFonts w:hint="eastAsia" w:ascii="仿宋_GB2312" w:hAnsi="仿宋_GB2312" w:eastAsia="仿宋_GB2312" w:cs="仿宋_GB2312"/>
          <w:color w:val="auto"/>
          <w:sz w:val="32"/>
          <w:szCs w:val="32"/>
          <w:highlight w:val="none"/>
          <w:u w:val="none"/>
        </w:rPr>
        <w:t>。</w:t>
      </w:r>
    </w:p>
    <w:p w14:paraId="22A35B27">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5入围方式：综合得分前12名的投标人为入围中标人，资格符合但数量不满12家的则全部作为协议中标人。协议中标人入围后，针对招标人的具体项目（包含招标人的全资及控股子公司）须进行竞价，详见竞价规则</w:t>
      </w:r>
      <w:r>
        <w:rPr>
          <w:rFonts w:hint="eastAsia" w:ascii="仿宋_GB2312" w:hAnsi="仿宋_GB2312" w:eastAsia="仿宋_GB2312" w:cs="仿宋_GB2312"/>
          <w:bCs/>
          <w:color w:val="auto"/>
          <w:sz w:val="32"/>
          <w:szCs w:val="32"/>
          <w:highlight w:val="none"/>
          <w:u w:val="none"/>
        </w:rPr>
        <w:t>。</w:t>
      </w:r>
    </w:p>
    <w:p w14:paraId="586F0F0C">
      <w:pPr>
        <w:keepNext w:val="0"/>
        <w:keepLines w:val="0"/>
        <w:pageBreakBefore w:val="0"/>
        <w:widowControl w:val="0"/>
        <w:shd w:val="clear" w:color="auto" w:fill="auto"/>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三、对投标人的基本要求</w:t>
      </w:r>
    </w:p>
    <w:p w14:paraId="566FD47C">
      <w:pPr>
        <w:keepNext w:val="0"/>
        <w:keepLines w:val="0"/>
        <w:pageBreakBefore w:val="0"/>
        <w:widowControl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3.1具有独立承担民事责任能力的法人或其他组织，提供有效的营业执照；</w:t>
      </w:r>
    </w:p>
    <w:p w14:paraId="7ACD4672">
      <w:pPr>
        <w:pStyle w:val="2"/>
        <w:keepNext w:val="0"/>
        <w:keepLines w:val="0"/>
        <w:pageBreakBefore w:val="0"/>
        <w:widowControl w:val="0"/>
        <w:kinsoku/>
        <w:wordWrap/>
        <w:overflowPunct/>
        <w:topLinePunct w:val="0"/>
        <w:autoSpaceDN/>
        <w:bidi w:val="0"/>
        <w:spacing w:after="0" w:line="560" w:lineRule="exact"/>
        <w:ind w:firstLine="640" w:firstLineChars="200"/>
        <w:textAlignment w:val="auto"/>
        <w:rPr>
          <w:rFonts w:hint="eastAsia"/>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2具有良好的商业信誉和健全的财务会计制度；资产运营良好，不存在因借贷、担保等可能影响投标人履行本招标项目的情况，具有良好的经营业绩，具有提供优质服务的能力；</w:t>
      </w:r>
    </w:p>
    <w:p w14:paraId="749E30B4">
      <w:pPr>
        <w:keepNext w:val="0"/>
        <w:keepLines w:val="0"/>
        <w:pageBreakBefore w:val="0"/>
        <w:widowControl w:val="0"/>
        <w:shd w:val="clear" w:color="auto" w:fill="auto"/>
        <w:kinsoku/>
        <w:wordWrap/>
        <w:overflowPunct/>
        <w:topLinePunct w:val="0"/>
        <w:autoSpaceDN/>
        <w:bidi w:val="0"/>
        <w:spacing w:line="560" w:lineRule="exact"/>
        <w:ind w:left="0" w:leftChars="0" w:right="0" w:rightChars="0"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3.3</w:t>
      </w:r>
      <w:r>
        <w:rPr>
          <w:rFonts w:hint="eastAsia" w:ascii="仿宋_GB2312" w:hAnsi="仿宋_GB2312" w:eastAsia="仿宋_GB2312" w:cs="仿宋_GB2312"/>
          <w:color w:val="000000"/>
          <w:spacing w:val="-2"/>
          <w:sz w:val="32"/>
          <w:szCs w:val="32"/>
          <w:highlight w:val="none"/>
        </w:rPr>
        <w:t>具有履行合同所必需的设备和专业技术能力</w:t>
      </w:r>
      <w:r>
        <w:rPr>
          <w:rFonts w:hint="eastAsia" w:ascii="仿宋_GB2312" w:hAnsi="仿宋_GB2312" w:eastAsia="仿宋_GB2312" w:cs="仿宋_GB2312"/>
          <w:color w:val="auto"/>
          <w:kern w:val="0"/>
          <w:sz w:val="32"/>
          <w:szCs w:val="32"/>
          <w:highlight w:val="none"/>
        </w:rPr>
        <w:t>；</w:t>
      </w:r>
    </w:p>
    <w:p w14:paraId="6F0CEE3F">
      <w:pPr>
        <w:keepNext w:val="0"/>
        <w:keepLines w:val="0"/>
        <w:pageBreakBefore w:val="0"/>
        <w:widowControl w:val="0"/>
        <w:shd w:val="clear" w:color="auto" w:fill="auto"/>
        <w:kinsoku/>
        <w:wordWrap/>
        <w:overflowPunct/>
        <w:topLinePunct w:val="0"/>
        <w:autoSpaceDN/>
        <w:bidi w:val="0"/>
        <w:spacing w:line="560" w:lineRule="exact"/>
        <w:ind w:left="0" w:leftChars="0" w:right="0" w:rightChars="0"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3.4有依法缴纳税收和社会保障资金的良好记录</w:t>
      </w:r>
      <w:r>
        <w:rPr>
          <w:rFonts w:hint="eastAsia" w:ascii="仿宋_GB2312" w:hAnsi="仿宋_GB2312" w:eastAsia="仿宋_GB2312" w:cs="仿宋_GB2312"/>
          <w:color w:val="auto"/>
          <w:kern w:val="0"/>
          <w:sz w:val="32"/>
          <w:szCs w:val="32"/>
          <w:highlight w:val="none"/>
        </w:rPr>
        <w:t>；</w:t>
      </w:r>
    </w:p>
    <w:p w14:paraId="2502010C">
      <w:pPr>
        <w:keepNext w:val="0"/>
        <w:keepLines w:val="0"/>
        <w:pageBreakBefore w:val="0"/>
        <w:widowControl w:val="0"/>
        <w:shd w:val="clear" w:color="auto" w:fill="auto"/>
        <w:kinsoku/>
        <w:wordWrap/>
        <w:overflowPunct/>
        <w:topLinePunct w:val="0"/>
        <w:autoSpaceDN/>
        <w:bidi w:val="0"/>
        <w:spacing w:line="560" w:lineRule="exact"/>
        <w:ind w:left="0" w:leftChars="0" w:right="0" w:rightChars="0"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3.5</w:t>
      </w:r>
      <w:r>
        <w:rPr>
          <w:rFonts w:hint="eastAsia" w:ascii="仿宋_GB2312" w:hAnsi="仿宋_GB2312" w:eastAsia="仿宋_GB2312" w:cs="仿宋_GB2312"/>
          <w:color w:val="000000"/>
          <w:spacing w:val="-2"/>
          <w:sz w:val="32"/>
          <w:szCs w:val="32"/>
          <w:highlight w:val="none"/>
        </w:rPr>
        <w:t>参加招标活动前二年内，在经营活动中无重大违法记录或无不良行为记录（如该记录对禁止参与招投标活动有明确规定的，从其规定，不受二年限制）</w:t>
      </w:r>
    </w:p>
    <w:p w14:paraId="238F0DEB">
      <w:pPr>
        <w:keepNext w:val="0"/>
        <w:keepLines w:val="0"/>
        <w:pageBreakBefore w:val="0"/>
        <w:widowControl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3.6无其他法律、行政法规规定的禁止参与招投标活动的行为；</w:t>
      </w:r>
    </w:p>
    <w:p w14:paraId="667DFFB4">
      <w:pPr>
        <w:pStyle w:val="2"/>
        <w:keepNext w:val="0"/>
        <w:keepLines w:val="0"/>
        <w:pageBreakBefore w:val="0"/>
        <w:widowControl w:val="0"/>
        <w:kinsoku/>
        <w:wordWrap/>
        <w:overflowPunct/>
        <w:topLinePunct w:val="0"/>
        <w:autoSpaceDN/>
        <w:bidi w:val="0"/>
        <w:spacing w:after="0" w:line="560" w:lineRule="exact"/>
        <w:ind w:firstLine="640" w:firstLineChars="200"/>
        <w:textAlignment w:val="auto"/>
        <w:rPr>
          <w:rFonts w:hint="eastAsia" w:ascii="仿宋_GB2312" w:hAnsi="仿宋_GB2312" w:eastAsia="仿宋_GB2312" w:cs="仿宋_GB2312"/>
          <w:color w:val="000000"/>
          <w:spacing w:val="-2"/>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3.7</w:t>
      </w:r>
      <w:r>
        <w:rPr>
          <w:rFonts w:hint="eastAsia" w:ascii="仿宋_GB2312" w:hAnsi="仿宋_GB2312" w:eastAsia="仿宋_GB2312" w:cs="仿宋_GB2312"/>
          <w:color w:val="000000"/>
          <w:spacing w:val="-2"/>
          <w:sz w:val="32"/>
          <w:szCs w:val="32"/>
          <w:highlight w:val="none"/>
          <w:lang w:val="en-US" w:eastAsia="zh-CN"/>
        </w:rPr>
        <w:t>投标人须具有有效的《道路运输经营许可证》，提供证书复印件并加盖公章</w:t>
      </w:r>
      <w:r>
        <w:rPr>
          <w:rFonts w:hint="eastAsia" w:ascii="仿宋_GB2312" w:hAnsi="仿宋_GB2312" w:eastAsia="仿宋_GB2312" w:cs="仿宋_GB2312"/>
          <w:color w:val="auto"/>
          <w:kern w:val="0"/>
          <w:sz w:val="32"/>
          <w:szCs w:val="32"/>
          <w:highlight w:val="none"/>
          <w:lang w:val="en-US" w:eastAsia="zh-CN"/>
        </w:rPr>
        <w:t>；</w:t>
      </w:r>
    </w:p>
    <w:p w14:paraId="699A5473">
      <w:pPr>
        <w:pStyle w:val="2"/>
        <w:keepNext w:val="0"/>
        <w:keepLines w:val="0"/>
        <w:pageBreakBefore w:val="0"/>
        <w:widowControl w:val="0"/>
        <w:kinsoku/>
        <w:wordWrap/>
        <w:overflowPunct/>
        <w:topLinePunct w:val="0"/>
        <w:autoSpaceDN/>
        <w:bidi w:val="0"/>
        <w:spacing w:after="0" w:line="560" w:lineRule="exact"/>
        <w:ind w:firstLine="640" w:firstLineChars="200"/>
        <w:textAlignment w:val="auto"/>
        <w:rPr>
          <w:rFonts w:hint="eastAsia" w:ascii="仿宋_GB2312" w:hAnsi="仿宋_GB2312" w:eastAsia="仿宋_GB2312" w:cs="仿宋_GB2312"/>
          <w:b w:val="0"/>
          <w:bCs w:val="0"/>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3.8凡为滨江物流短驳装卸及运输服务项目（项目编号：</w:t>
      </w:r>
      <w:r>
        <w:rPr>
          <w:rFonts w:hint="eastAsia" w:ascii="宋体" w:hAnsi="宋体"/>
          <w:b w:val="0"/>
          <w:bCs w:val="0"/>
          <w:color w:val="auto"/>
          <w:sz w:val="36"/>
          <w:szCs w:val="36"/>
          <w:highlight w:val="none"/>
          <w:lang w:eastAsia="zh-CN"/>
        </w:rPr>
        <w:t>SG2024394</w:t>
      </w:r>
      <w:r>
        <w:rPr>
          <w:rFonts w:hint="eastAsia" w:ascii="仿宋_GB2312" w:hAnsi="仿宋_GB2312" w:eastAsia="仿宋_GB2312" w:cs="仿宋_GB2312"/>
          <w:b w:val="0"/>
          <w:bCs w:val="0"/>
          <w:color w:val="auto"/>
          <w:spacing w:val="0"/>
          <w:kern w:val="0"/>
          <w:sz w:val="32"/>
          <w:szCs w:val="32"/>
          <w:highlight w:val="none"/>
          <w:lang w:val="en-US" w:eastAsia="zh-CN"/>
        </w:rPr>
        <w:t>）的中标单位，不得再参加本项目的采购活动</w:t>
      </w:r>
      <w:r>
        <w:rPr>
          <w:rFonts w:hint="eastAsia" w:ascii="仿宋_GB2312" w:hAnsi="仿宋_GB2312" w:eastAsia="仿宋_GB2312" w:cs="仿宋_GB2312"/>
          <w:b w:val="0"/>
          <w:bCs w:val="0"/>
          <w:color w:val="auto"/>
          <w:kern w:val="0"/>
          <w:sz w:val="32"/>
          <w:szCs w:val="32"/>
          <w:highlight w:val="none"/>
          <w:lang w:val="en-US" w:eastAsia="zh-CN"/>
        </w:rPr>
        <w:t>；</w:t>
      </w:r>
    </w:p>
    <w:p w14:paraId="203CF46F">
      <w:pPr>
        <w:pStyle w:val="2"/>
        <w:keepNext w:val="0"/>
        <w:keepLines w:val="0"/>
        <w:pageBreakBefore w:val="0"/>
        <w:widowControl w:val="0"/>
        <w:kinsoku/>
        <w:wordWrap/>
        <w:overflowPunct/>
        <w:topLinePunct w:val="0"/>
        <w:autoSpaceDN/>
        <w:bidi w:val="0"/>
        <w:spacing w:after="0" w:line="560" w:lineRule="exact"/>
        <w:ind w:firstLine="640" w:firstLineChars="200"/>
        <w:textAlignment w:val="auto"/>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color w:val="auto"/>
          <w:kern w:val="0"/>
          <w:sz w:val="32"/>
          <w:szCs w:val="32"/>
          <w:highlight w:val="none"/>
          <w:lang w:val="en-US" w:eastAsia="zh-CN"/>
        </w:rPr>
        <w:t>3.9</w:t>
      </w:r>
      <w:r>
        <w:rPr>
          <w:rFonts w:hint="eastAsia" w:ascii="仿宋_GB2312" w:hAnsi="仿宋_GB2312" w:eastAsia="仿宋_GB2312" w:cs="仿宋_GB2312"/>
          <w:color w:val="000000"/>
          <w:spacing w:val="-2"/>
          <w:sz w:val="32"/>
          <w:szCs w:val="32"/>
          <w:highlight w:val="none"/>
        </w:rPr>
        <w:t>未被“信用中国”网站或“中国政府采购网”网站列入失信被执行人、重大税收违法案件当事人名单、政府采购严重失信行为记录名单</w:t>
      </w:r>
      <w:r>
        <w:rPr>
          <w:rFonts w:hint="eastAsia" w:ascii="仿宋_GB2312" w:hAnsi="仿宋_GB2312" w:eastAsia="仿宋_GB2312" w:cs="仿宋_GB2312"/>
          <w:color w:val="auto"/>
          <w:kern w:val="0"/>
          <w:sz w:val="32"/>
          <w:szCs w:val="32"/>
          <w:highlight w:val="none"/>
        </w:rPr>
        <w:t>；</w:t>
      </w:r>
    </w:p>
    <w:p w14:paraId="41BFA07C">
      <w:pPr>
        <w:pStyle w:val="2"/>
        <w:keepNext w:val="0"/>
        <w:keepLines w:val="0"/>
        <w:pageBreakBefore w:val="0"/>
        <w:widowControl w:val="0"/>
        <w:kinsoku/>
        <w:wordWrap/>
        <w:overflowPunct/>
        <w:topLinePunct w:val="0"/>
        <w:autoSpaceDN/>
        <w:bidi w:val="0"/>
        <w:spacing w:after="0" w:line="560" w:lineRule="exact"/>
        <w:ind w:firstLine="632" w:firstLineChars="200"/>
        <w:textAlignment w:val="auto"/>
        <w:rPr>
          <w:rFonts w:hint="default" w:ascii="仿宋_GB2312" w:hAnsi="仿宋_GB2312" w:eastAsia="仿宋_GB2312" w:cs="仿宋_GB2312"/>
          <w:color w:val="000000"/>
          <w:spacing w:val="-2"/>
          <w:sz w:val="32"/>
          <w:szCs w:val="32"/>
          <w:highlight w:val="none"/>
          <w:lang w:val="en-US" w:eastAsia="zh-CN"/>
        </w:rPr>
      </w:pPr>
      <w:r>
        <w:rPr>
          <w:rFonts w:hint="eastAsia" w:ascii="仿宋_GB2312" w:hAnsi="仿宋_GB2312" w:eastAsia="仿宋_GB2312" w:cs="仿宋_GB2312"/>
          <w:color w:val="000000"/>
          <w:spacing w:val="-2"/>
          <w:sz w:val="32"/>
          <w:szCs w:val="32"/>
          <w:highlight w:val="none"/>
          <w:lang w:val="en-US" w:eastAsia="zh-CN"/>
        </w:rPr>
        <w:t>3.10单位负责人为同一人或者存在直接控股、管理关系的不同投标人，不得参加同一合同项下的采购活动；与招标人存在利害关系可能影响招标公正性的法人、其他组织，不得参加投标；</w:t>
      </w:r>
    </w:p>
    <w:p w14:paraId="748FA946">
      <w:pPr>
        <w:keepNext w:val="0"/>
        <w:keepLines w:val="0"/>
        <w:pageBreakBefore w:val="0"/>
        <w:widowControl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074F0A5">
      <w:pPr>
        <w:keepNext w:val="0"/>
        <w:keepLines w:val="0"/>
        <w:pageBreakBefore w:val="0"/>
        <w:widowControl w:val="0"/>
        <w:shd w:val="clear" w:color="auto" w:fill="auto"/>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四</w:t>
      </w:r>
      <w:r>
        <w:rPr>
          <w:rFonts w:hint="eastAsia" w:ascii="黑体" w:hAnsi="宋体" w:eastAsia="黑体" w:cs="黑体"/>
          <w:bCs/>
          <w:color w:val="auto"/>
          <w:sz w:val="32"/>
          <w:szCs w:val="32"/>
          <w:highlight w:val="none"/>
          <w:lang w:bidi="ar"/>
        </w:rPr>
        <w:t>、招标文件</w:t>
      </w:r>
      <w:r>
        <w:rPr>
          <w:rFonts w:hint="eastAsia" w:ascii="黑体" w:hAnsi="黑体" w:eastAsia="黑体" w:cs="黑体"/>
          <w:color w:val="000000"/>
          <w:spacing w:val="-2"/>
          <w:sz w:val="32"/>
          <w:szCs w:val="32"/>
        </w:rPr>
        <w:t>的时间和办法</w:t>
      </w:r>
    </w:p>
    <w:p w14:paraId="4A03B13E">
      <w:pPr>
        <w:keepNext w:val="0"/>
        <w:keepLines w:val="0"/>
        <w:pageBreakBefore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1投标人应首先注册成为E交易平台网站会员，详见注册指南。</w:t>
      </w:r>
    </w:p>
    <w:p w14:paraId="7727B34B">
      <w:pPr>
        <w:keepNext w:val="0"/>
        <w:keepLines w:val="0"/>
        <w:pageBreakBefore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2投标人按系统提示交纳招标文件费用后在规定的报名时间内下载招标文件。</w:t>
      </w:r>
    </w:p>
    <w:p w14:paraId="30C1AF3C">
      <w:pPr>
        <w:keepNext w:val="0"/>
        <w:keepLines w:val="0"/>
        <w:pageBreakBefore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3招标文件发售时间：2025年7月1日至2025年7月</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日</w:t>
      </w:r>
    </w:p>
    <w:p w14:paraId="5F62512B">
      <w:pPr>
        <w:keepNext w:val="0"/>
        <w:keepLines w:val="0"/>
        <w:pageBreakBefore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报名截止时间：2025年7月</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日</w:t>
      </w:r>
    </w:p>
    <w:p w14:paraId="14EE287E">
      <w:pPr>
        <w:keepNext w:val="0"/>
        <w:keepLines w:val="0"/>
        <w:pageBreakBefore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招标文件费用：人民币叁佰元整</w:t>
      </w:r>
    </w:p>
    <w:p w14:paraId="1DA41DFC">
      <w:pPr>
        <w:keepNext w:val="0"/>
        <w:keepLines w:val="0"/>
        <w:pageBreakBefore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收款单位：江苏中冠工程咨询有限公司</w:t>
      </w:r>
    </w:p>
    <w:p w14:paraId="066CB52A">
      <w:pPr>
        <w:keepNext w:val="0"/>
        <w:keepLines w:val="0"/>
        <w:pageBreakBefore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银行账号及开户银行：按E交易平台提示信息操作，所需电子发票开票的操作如下：供应商登录会员网上系统---点击进入后台---资金管理---标书费电子发票打印或服务费电子发票打印---右侧点击“开具蓝票”按钮，补充完善开票信息后，点击开票。</w:t>
      </w:r>
    </w:p>
    <w:p w14:paraId="35C906C2">
      <w:pPr>
        <w:keepNext w:val="0"/>
        <w:keepLines w:val="0"/>
        <w:pageBreakBefore w:val="0"/>
        <w:widowControl w:val="0"/>
        <w:shd w:val="clear" w:color="auto" w:fill="auto"/>
        <w:kinsoku/>
        <w:wordWrap/>
        <w:overflowPunct/>
        <w:topLinePunct w:val="0"/>
        <w:autoSpaceDE w:val="0"/>
        <w:autoSpaceDN/>
        <w:bidi w:val="0"/>
        <w:adjustRightInd w:val="0"/>
        <w:snapToGrid w:val="0"/>
        <w:spacing w:line="560" w:lineRule="exact"/>
        <w:ind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五</w:t>
      </w:r>
      <w:r>
        <w:rPr>
          <w:rFonts w:hint="eastAsia" w:ascii="黑体" w:hAnsi="宋体" w:eastAsia="黑体" w:cs="黑体"/>
          <w:bCs/>
          <w:color w:val="auto"/>
          <w:sz w:val="32"/>
          <w:szCs w:val="32"/>
          <w:highlight w:val="none"/>
          <w:lang w:bidi="ar"/>
        </w:rPr>
        <w:t>、投标保证金有关事项</w:t>
      </w:r>
    </w:p>
    <w:p w14:paraId="182FEC08">
      <w:pPr>
        <w:pStyle w:val="2"/>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5.1投标保证金数额：人民币壹万元整</w:t>
      </w:r>
    </w:p>
    <w:p w14:paraId="5206174A">
      <w:pPr>
        <w:pStyle w:val="2"/>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5.2投标保证金到账截止日期：2025年7月18日</w:t>
      </w:r>
    </w:p>
    <w:p w14:paraId="778F9F99">
      <w:pPr>
        <w:pStyle w:val="2"/>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5.3投标保证金缴纳方式：按E交易平台提示信息操作</w:t>
      </w:r>
    </w:p>
    <w:p w14:paraId="43F2C193">
      <w:pPr>
        <w:keepNext w:val="0"/>
        <w:keepLines w:val="0"/>
        <w:pageBreakBefore w:val="0"/>
        <w:widowControl w:val="0"/>
        <w:shd w:val="clear" w:color="auto" w:fill="auto"/>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rPr>
        <w:t>投标人必须通过E交易会员注册账（卡）号自行将投标保证金按规定方式和时间及时足额缴至系统提示的账户并到账（以E交易平台系统到账为准），拒绝以其他方式缴纳，禁止第三方代缴保证金，否则将被视为无效响应，其投标文件将被评标委员会拒绝。</w:t>
      </w:r>
    </w:p>
    <w:p w14:paraId="0D35686E">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六、现场踏勘</w:t>
      </w:r>
    </w:p>
    <w:p w14:paraId="0428830A">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投标人自行踏勘。</w:t>
      </w:r>
    </w:p>
    <w:p w14:paraId="330D72E6">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黑体" w:hAnsi="宋体" w:eastAsia="黑体" w:cs="黑体"/>
          <w:bCs/>
          <w:color w:val="auto"/>
          <w:kern w:val="2"/>
          <w:sz w:val="32"/>
          <w:szCs w:val="32"/>
          <w:lang w:val="en-US" w:eastAsia="zh-CN" w:bidi="ar"/>
        </w:rPr>
      </w:pPr>
      <w:r>
        <w:rPr>
          <w:rFonts w:hint="eastAsia" w:ascii="黑体" w:hAnsi="宋体" w:eastAsia="黑体" w:cs="黑体"/>
          <w:bCs/>
          <w:color w:val="auto"/>
          <w:kern w:val="2"/>
          <w:sz w:val="32"/>
          <w:szCs w:val="32"/>
          <w:lang w:val="en-US" w:eastAsia="zh-CN" w:bidi="ar"/>
        </w:rPr>
        <w:t>七、答疑时间</w:t>
      </w:r>
    </w:p>
    <w:p w14:paraId="5220A04A">
      <w:pPr>
        <w:keepNext w:val="0"/>
        <w:keepLines w:val="0"/>
        <w:pageBreakBefore w:val="0"/>
        <w:widowControl w:val="0"/>
        <w:shd w:val="clear" w:color="auto" w:fill="auto"/>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default" w:ascii="仿宋_GB2312" w:hAnsi="仿宋_GB2312" w:eastAsia="仿宋_GB2312" w:cs="仿宋_GB2312"/>
          <w:bCs/>
          <w:color w:val="auto"/>
          <w:kern w:val="0"/>
          <w:sz w:val="32"/>
          <w:szCs w:val="32"/>
          <w:highlight w:val="none"/>
          <w:lang w:val="en-US" w:eastAsia="zh-CN" w:bidi="ar-SA"/>
        </w:rPr>
        <w:t>投标人对招标文件如有疑问，请将疑问于报名截止时间前通过E交易平台向江苏中冠工程咨询有限公司提出</w:t>
      </w:r>
      <w:r>
        <w:rPr>
          <w:rFonts w:hint="eastAsia" w:ascii="仿宋_GB2312" w:hAnsi="仿宋_GB2312" w:eastAsia="仿宋_GB2312" w:cs="仿宋_GB2312"/>
          <w:color w:val="000000"/>
          <w:spacing w:val="-2"/>
          <w:sz w:val="32"/>
          <w:szCs w:val="32"/>
        </w:rPr>
        <w:t>。</w:t>
      </w:r>
    </w:p>
    <w:p w14:paraId="05D79087">
      <w:pPr>
        <w:keepNext w:val="0"/>
        <w:keepLines w:val="0"/>
        <w:pageBreakBefore w:val="0"/>
        <w:widowControl w:val="0"/>
        <w:shd w:val="clear" w:color="auto" w:fill="auto"/>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八</w:t>
      </w:r>
      <w:r>
        <w:rPr>
          <w:rFonts w:hint="eastAsia" w:ascii="黑体" w:hAnsi="宋体" w:eastAsia="黑体" w:cs="黑体"/>
          <w:bCs/>
          <w:color w:val="auto"/>
          <w:sz w:val="32"/>
          <w:szCs w:val="32"/>
          <w:highlight w:val="none"/>
          <w:lang w:bidi="ar"/>
        </w:rPr>
        <w:t>、投标截止时间</w:t>
      </w:r>
    </w:p>
    <w:p w14:paraId="4376820D">
      <w:pPr>
        <w:keepNext w:val="0"/>
        <w:keepLines w:val="0"/>
        <w:pageBreakBefore w:val="0"/>
        <w:widowControl/>
        <w:shd w:val="clear" w:color="auto" w:fill="auto"/>
        <w:kinsoku/>
        <w:wordWrap/>
        <w:overflowPunct/>
        <w:topLinePunct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8</w:t>
      </w:r>
      <w:r>
        <w:rPr>
          <w:rFonts w:hint="eastAsia" w:ascii="仿宋_GB2312" w:hAnsi="仿宋_GB2312" w:eastAsia="仿宋_GB2312" w:cs="仿宋_GB2312"/>
          <w:bCs/>
          <w:color w:val="auto"/>
          <w:kern w:val="0"/>
          <w:sz w:val="32"/>
          <w:szCs w:val="32"/>
          <w:highlight w:val="none"/>
        </w:rPr>
        <w:t>.1投标文件接收时间</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2025年7月21日13:40-14:00（北京时间）</w:t>
      </w:r>
    </w:p>
    <w:p w14:paraId="5FBC6587">
      <w:pPr>
        <w:keepNext w:val="0"/>
        <w:keepLines w:val="0"/>
        <w:pageBreakBefore w:val="0"/>
        <w:widowControl/>
        <w:shd w:val="clear" w:color="auto" w:fill="auto"/>
        <w:kinsoku/>
        <w:wordWrap/>
        <w:overflowPunct/>
        <w:topLinePunct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8</w:t>
      </w:r>
      <w:r>
        <w:rPr>
          <w:rFonts w:hint="eastAsia" w:ascii="仿宋_GB2312" w:hAnsi="仿宋_GB2312" w:eastAsia="仿宋_GB2312" w:cs="仿宋_GB2312"/>
          <w:bCs/>
          <w:color w:val="auto"/>
          <w:kern w:val="0"/>
          <w:sz w:val="32"/>
          <w:szCs w:val="32"/>
          <w:highlight w:val="none"/>
        </w:rPr>
        <w:t>.2投标截止时间为：2025年7月21日14:00（北京时间）</w:t>
      </w:r>
    </w:p>
    <w:p w14:paraId="344B717C">
      <w:pPr>
        <w:keepNext w:val="0"/>
        <w:keepLines w:val="0"/>
        <w:pageBreakBefore w:val="0"/>
        <w:widowControl/>
        <w:shd w:val="clear" w:color="auto" w:fill="auto"/>
        <w:kinsoku/>
        <w:wordWrap/>
        <w:overflowPunct/>
        <w:topLinePunct w:val="0"/>
        <w:autoSpaceDN/>
        <w:bidi w:val="0"/>
        <w:spacing w:line="560" w:lineRule="exact"/>
        <w:ind w:left="0" w:leftChars="0" w:right="0" w:rightChars="0" w:firstLine="640" w:firstLineChars="200"/>
        <w:jc w:val="left"/>
        <w:textAlignment w:val="auto"/>
        <w:rPr>
          <w:rFonts w:hint="default"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rPr>
        <w:t>8</w:t>
      </w:r>
      <w:r>
        <w:rPr>
          <w:rFonts w:hint="eastAsia" w:ascii="仿宋_GB2312" w:hAnsi="仿宋_GB2312" w:eastAsia="仿宋_GB2312" w:cs="仿宋_GB2312"/>
          <w:bCs/>
          <w:color w:val="auto"/>
          <w:kern w:val="0"/>
          <w:sz w:val="32"/>
          <w:szCs w:val="32"/>
          <w:highlight w:val="none"/>
        </w:rPr>
        <w:t>.3地点：江苏中冠工程咨询有限公司（常州市新北区龙锦路1259-2号10楼）</w:t>
      </w:r>
    </w:p>
    <w:p w14:paraId="11E6B4D9">
      <w:pPr>
        <w:pStyle w:val="2"/>
        <w:keepNext w:val="0"/>
        <w:keepLines w:val="0"/>
        <w:pageBreakBefore w:val="0"/>
        <w:numPr>
          <w:ilvl w:val="0"/>
          <w:numId w:val="0"/>
        </w:numPr>
        <w:kinsoku/>
        <w:wordWrap/>
        <w:overflowPunct/>
        <w:topLinePunct w:val="0"/>
        <w:autoSpaceDN/>
        <w:bidi w:val="0"/>
        <w:spacing w:after="0" w:line="560" w:lineRule="exact"/>
        <w:ind w:leftChars="0" w:firstLine="640" w:firstLineChars="200"/>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kern w:val="2"/>
          <w:sz w:val="32"/>
          <w:szCs w:val="32"/>
          <w:lang w:val="en-US" w:eastAsia="zh-CN" w:bidi="ar"/>
        </w:rPr>
        <w:t>九</w:t>
      </w:r>
      <w:r>
        <w:rPr>
          <w:rFonts w:hint="eastAsia" w:ascii="黑体" w:hAnsi="宋体" w:eastAsia="黑体" w:cs="黑体"/>
          <w:bCs/>
          <w:color w:val="auto"/>
          <w:kern w:val="2"/>
          <w:sz w:val="32"/>
          <w:szCs w:val="32"/>
          <w:lang w:val="en-US" w:eastAsia="en-US" w:bidi="ar"/>
        </w:rPr>
        <w:t>、</w:t>
      </w:r>
      <w:r>
        <w:rPr>
          <w:rFonts w:hint="eastAsia" w:ascii="黑体" w:hAnsi="宋体" w:eastAsia="黑体" w:cs="黑体"/>
          <w:bCs/>
          <w:color w:val="auto"/>
          <w:sz w:val="32"/>
          <w:szCs w:val="32"/>
          <w:highlight w:val="none"/>
          <w:lang w:bidi="ar"/>
        </w:rPr>
        <w:t>开标时间</w:t>
      </w:r>
    </w:p>
    <w:p w14:paraId="6C294414">
      <w:pPr>
        <w:keepNext w:val="0"/>
        <w:keepLines w:val="0"/>
        <w:pageBreakBefore w:val="0"/>
        <w:widowControl/>
        <w:shd w:val="clear" w:color="auto" w:fill="auto"/>
        <w:kinsoku/>
        <w:wordWrap/>
        <w:overflowPunct/>
        <w:topLinePunct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2025年7月21日14:00（北京时间）</w:t>
      </w:r>
    </w:p>
    <w:p w14:paraId="57A0484E">
      <w:pPr>
        <w:keepNext w:val="0"/>
        <w:keepLines w:val="0"/>
        <w:pageBreakBefore w:val="0"/>
        <w:shd w:val="clear" w:color="auto" w:fill="auto"/>
        <w:kinsoku/>
        <w:wordWrap/>
        <w:overflowPunct/>
        <w:topLinePunct w:val="0"/>
        <w:autoSpaceDN/>
        <w:bidi w:val="0"/>
        <w:spacing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val="en-US" w:eastAsia="zh-CN" w:bidi="ar"/>
        </w:rPr>
        <w:t>十</w:t>
      </w:r>
      <w:r>
        <w:rPr>
          <w:rFonts w:hint="eastAsia" w:ascii="黑体" w:hAnsi="宋体" w:eastAsia="黑体" w:cs="黑体"/>
          <w:bCs/>
          <w:color w:val="auto"/>
          <w:sz w:val="32"/>
          <w:szCs w:val="32"/>
          <w:highlight w:val="none"/>
          <w:lang w:bidi="ar"/>
        </w:rPr>
        <w:t>、资格审查</w:t>
      </w:r>
    </w:p>
    <w:p w14:paraId="5DCB8A7C">
      <w:pPr>
        <w:keepNext w:val="0"/>
        <w:keepLines w:val="0"/>
        <w:pageBreakBefore w:val="0"/>
        <w:widowControl/>
        <w:shd w:val="clear" w:color="auto" w:fill="auto"/>
        <w:kinsoku/>
        <w:wordWrap/>
        <w:overflowPunct/>
        <w:topLinePunct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w:t>
      </w:r>
    </w:p>
    <w:p w14:paraId="144648C7">
      <w:pPr>
        <w:keepNext w:val="0"/>
        <w:keepLines w:val="0"/>
        <w:pageBreakBefore w:val="0"/>
        <w:widowControl w:val="0"/>
        <w:shd w:val="clear" w:color="auto" w:fill="auto"/>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十一</w:t>
      </w:r>
      <w:r>
        <w:rPr>
          <w:rFonts w:hint="eastAsia" w:ascii="黑体" w:hAnsi="宋体" w:eastAsia="黑体" w:cs="黑体"/>
          <w:bCs/>
          <w:color w:val="auto"/>
          <w:sz w:val="32"/>
          <w:szCs w:val="32"/>
          <w:highlight w:val="none"/>
          <w:lang w:bidi="ar"/>
        </w:rPr>
        <w:t>、评标办法</w:t>
      </w:r>
    </w:p>
    <w:p w14:paraId="040A9579">
      <w:pPr>
        <w:keepNext w:val="0"/>
        <w:keepLines w:val="0"/>
        <w:pageBreakBefore w:val="0"/>
        <w:widowControl/>
        <w:shd w:val="clear" w:color="auto" w:fill="auto"/>
        <w:kinsoku/>
        <w:wordWrap/>
        <w:overflowPunct/>
        <w:topLinePunct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□最低评标价法</w:t>
      </w:r>
      <w:r>
        <w:rPr>
          <w:rFonts w:hint="eastAsia" w:ascii="仿宋_GB2312" w:hAnsi="仿宋_GB2312" w:eastAsia="仿宋_GB2312" w:cs="仿宋_GB2312"/>
          <w:bCs/>
          <w:color w:val="auto"/>
          <w:kern w:val="0"/>
          <w:sz w:val="32"/>
          <w:szCs w:val="32"/>
          <w:highlight w:val="none"/>
          <w:u w:val="single"/>
        </w:rPr>
        <w:t>。</w:t>
      </w:r>
    </w:p>
    <w:p w14:paraId="720B82C8">
      <w:pPr>
        <w:keepNext w:val="0"/>
        <w:keepLines w:val="0"/>
        <w:pageBreakBefore w:val="0"/>
        <w:widowControl w:val="0"/>
        <w:shd w:val="clear" w:color="auto" w:fill="auto"/>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十</w:t>
      </w:r>
      <w:r>
        <w:rPr>
          <w:rFonts w:hint="eastAsia" w:ascii="黑体" w:hAnsi="宋体" w:eastAsia="黑体" w:cs="黑体"/>
          <w:bCs/>
          <w:color w:val="auto"/>
          <w:sz w:val="32"/>
          <w:szCs w:val="32"/>
          <w:highlight w:val="none"/>
          <w:lang w:bidi="ar"/>
        </w:rPr>
        <w:t>、发布公告的媒介</w:t>
      </w:r>
    </w:p>
    <w:p w14:paraId="0E7B2F3B">
      <w:pPr>
        <w:keepNext w:val="0"/>
        <w:keepLines w:val="0"/>
        <w:pageBreakBefore w:val="0"/>
        <w:widowControl w:val="0"/>
        <w:shd w:val="clear" w:color="auto" w:fill="auto"/>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w:t>
      </w:r>
      <w:r>
        <w:rPr>
          <w:rFonts w:hint="eastAsia" w:ascii="仿宋_GB2312" w:hAnsi="仿宋_GB2312" w:eastAsia="仿宋_GB2312" w:cs="仿宋_GB2312"/>
          <w:color w:val="000000"/>
          <w:spacing w:val="-2"/>
          <w:sz w:val="32"/>
          <w:szCs w:val="32"/>
          <w:highlight w:val="none"/>
        </w:rPr>
        <w:t>江苏中冠工程咨询有限公司</w:t>
      </w:r>
      <w:r>
        <w:rPr>
          <w:rFonts w:hint="eastAsia" w:ascii="仿宋_GB2312" w:hAnsi="仿宋_GB2312" w:eastAsia="仿宋_GB2312" w:cs="仿宋_GB2312"/>
          <w:bCs/>
          <w:color w:val="auto"/>
          <w:sz w:val="32"/>
          <w:szCs w:val="32"/>
          <w:highlight w:val="none"/>
          <w:lang w:bidi="ar"/>
        </w:rPr>
        <w:t>网上发布。</w:t>
      </w:r>
    </w:p>
    <w:p w14:paraId="47693916">
      <w:pPr>
        <w:keepNext w:val="0"/>
        <w:keepLines w:val="0"/>
        <w:pageBreakBefore w:val="0"/>
        <w:shd w:val="clear" w:color="auto" w:fill="auto"/>
        <w:kinsoku/>
        <w:wordWrap/>
        <w:overflowPunct/>
        <w:topLinePunct w:val="0"/>
        <w:autoSpaceDN/>
        <w:bidi w:val="0"/>
        <w:spacing w:line="560" w:lineRule="exact"/>
        <w:ind w:left="0" w:leftChars="0" w:right="0" w:rightChars="0" w:firstLine="640" w:firstLineChars="200"/>
        <w:textAlignment w:val="auto"/>
        <w:rPr>
          <w:rFonts w:ascii="宋体" w:hAnsi="宋体" w:cs="宋体"/>
          <w:color w:val="auto"/>
          <w:kern w:val="0"/>
          <w:sz w:val="24"/>
          <w:highlight w:val="none"/>
        </w:rPr>
      </w:pPr>
      <w:r>
        <w:rPr>
          <w:rFonts w:hint="eastAsia" w:ascii="黑体" w:hAnsi="宋体" w:eastAsia="黑体" w:cs="黑体"/>
          <w:bCs/>
          <w:color w:val="auto"/>
          <w:sz w:val="32"/>
          <w:szCs w:val="32"/>
          <w:highlight w:val="none"/>
          <w:lang w:val="en-US" w:eastAsia="zh-CN" w:bidi="ar"/>
        </w:rPr>
        <w:t>十一</w:t>
      </w:r>
      <w:r>
        <w:rPr>
          <w:rFonts w:hint="eastAsia" w:ascii="黑体" w:hAnsi="宋体" w:eastAsia="黑体" w:cs="黑体"/>
          <w:bCs/>
          <w:color w:val="auto"/>
          <w:sz w:val="32"/>
          <w:szCs w:val="32"/>
          <w:highlight w:val="none"/>
          <w:lang w:bidi="ar"/>
        </w:rPr>
        <w:t>、联系方式</w:t>
      </w:r>
    </w:p>
    <w:tbl>
      <w:tblPr>
        <w:tblStyle w:val="6"/>
        <w:tblW w:w="8799" w:type="dxa"/>
        <w:tblInd w:w="0" w:type="dxa"/>
        <w:tblLayout w:type="autofit"/>
        <w:tblCellMar>
          <w:top w:w="0" w:type="dxa"/>
          <w:left w:w="108" w:type="dxa"/>
          <w:bottom w:w="0" w:type="dxa"/>
          <w:right w:w="108" w:type="dxa"/>
        </w:tblCellMar>
      </w:tblPr>
      <w:tblGrid>
        <w:gridCol w:w="3998"/>
        <w:gridCol w:w="4801"/>
      </w:tblGrid>
      <w:tr w14:paraId="5130430E">
        <w:tblPrEx>
          <w:tblCellMar>
            <w:top w:w="0" w:type="dxa"/>
            <w:left w:w="108" w:type="dxa"/>
            <w:bottom w:w="0" w:type="dxa"/>
            <w:right w:w="108" w:type="dxa"/>
          </w:tblCellMar>
        </w:tblPrEx>
        <w:trPr>
          <w:trHeight w:val="1100" w:hRule="atLeast"/>
        </w:trPr>
        <w:tc>
          <w:tcPr>
            <w:tcW w:w="3998" w:type="dxa"/>
            <w:noWrap w:val="0"/>
            <w:vAlign w:val="top"/>
          </w:tcPr>
          <w:p w14:paraId="53B21219">
            <w:pPr>
              <w:keepNext w:val="0"/>
              <w:keepLines w:val="0"/>
              <w:pageBreakBefore w:val="0"/>
              <w:widowControl w:val="0"/>
              <w:shd w:val="clear" w:color="auto" w:fill="auto"/>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color w:val="000000"/>
                <w:spacing w:val="-2"/>
                <w:sz w:val="32"/>
                <w:szCs w:val="32"/>
                <w:lang w:eastAsia="zh-CN"/>
              </w:rPr>
              <w:t>常州滨江物流发展集团有限公司</w:t>
            </w:r>
          </w:p>
        </w:tc>
        <w:tc>
          <w:tcPr>
            <w:tcW w:w="4801" w:type="dxa"/>
            <w:noWrap w:val="0"/>
            <w:vAlign w:val="top"/>
          </w:tcPr>
          <w:p w14:paraId="6D138001">
            <w:pPr>
              <w:keepNext w:val="0"/>
              <w:keepLines w:val="0"/>
              <w:pageBreakBefore w:val="0"/>
              <w:widowControl w:val="0"/>
              <w:shd w:val="clear" w:color="auto" w:fill="auto"/>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招标代理机构：江苏中冠工程咨询有限公司</w:t>
            </w:r>
          </w:p>
        </w:tc>
      </w:tr>
      <w:tr w14:paraId="62DE58DD">
        <w:tblPrEx>
          <w:tblCellMar>
            <w:top w:w="0" w:type="dxa"/>
            <w:left w:w="108" w:type="dxa"/>
            <w:bottom w:w="0" w:type="dxa"/>
            <w:right w:w="108" w:type="dxa"/>
          </w:tblCellMar>
        </w:tblPrEx>
        <w:trPr>
          <w:trHeight w:val="1100" w:hRule="atLeast"/>
        </w:trPr>
        <w:tc>
          <w:tcPr>
            <w:tcW w:w="3998" w:type="dxa"/>
            <w:noWrap w:val="0"/>
            <w:vAlign w:val="top"/>
          </w:tcPr>
          <w:p w14:paraId="1BA9C734">
            <w:pPr>
              <w:keepNext w:val="0"/>
              <w:keepLines w:val="0"/>
              <w:pageBreakBefore w:val="0"/>
              <w:widowControl w:val="0"/>
              <w:shd w:val="clear" w:color="auto" w:fill="auto"/>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地址：江苏省常州市新北区春江街道东海路202号24幢</w:t>
            </w:r>
          </w:p>
        </w:tc>
        <w:tc>
          <w:tcPr>
            <w:tcW w:w="4801" w:type="dxa"/>
            <w:noWrap w:val="0"/>
            <w:vAlign w:val="top"/>
          </w:tcPr>
          <w:p w14:paraId="3B554872">
            <w:pPr>
              <w:keepNext w:val="0"/>
              <w:keepLines w:val="0"/>
              <w:pageBreakBefore w:val="0"/>
              <w:widowControl w:val="0"/>
              <w:shd w:val="clear" w:color="auto" w:fill="auto"/>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地址：常州市新北区龙锦路1259-2号9楼</w:t>
            </w:r>
          </w:p>
        </w:tc>
      </w:tr>
      <w:tr w14:paraId="7665051B">
        <w:tblPrEx>
          <w:tblCellMar>
            <w:top w:w="0" w:type="dxa"/>
            <w:left w:w="108" w:type="dxa"/>
            <w:bottom w:w="0" w:type="dxa"/>
            <w:right w:w="108" w:type="dxa"/>
          </w:tblCellMar>
        </w:tblPrEx>
        <w:trPr>
          <w:trHeight w:val="550" w:hRule="atLeast"/>
        </w:trPr>
        <w:tc>
          <w:tcPr>
            <w:tcW w:w="3998" w:type="dxa"/>
            <w:noWrap w:val="0"/>
            <w:vAlign w:val="top"/>
          </w:tcPr>
          <w:p w14:paraId="355EC303">
            <w:pPr>
              <w:keepNext w:val="0"/>
              <w:keepLines w:val="0"/>
              <w:pageBreakBefore w:val="0"/>
              <w:widowControl w:val="0"/>
              <w:shd w:val="clear" w:color="auto" w:fill="auto"/>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val="en-US" w:eastAsia="zh-CN" w:bidi="ar"/>
              </w:rPr>
              <w:t>黄女士</w:t>
            </w:r>
          </w:p>
        </w:tc>
        <w:tc>
          <w:tcPr>
            <w:tcW w:w="4801" w:type="dxa"/>
            <w:noWrap w:val="0"/>
            <w:vAlign w:val="top"/>
          </w:tcPr>
          <w:p w14:paraId="25D580DA">
            <w:pPr>
              <w:keepNext w:val="0"/>
              <w:keepLines w:val="0"/>
              <w:pageBreakBefore w:val="0"/>
              <w:widowControl w:val="0"/>
              <w:shd w:val="clear" w:color="auto" w:fill="auto"/>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联系人：涂女士</w:t>
            </w:r>
          </w:p>
        </w:tc>
      </w:tr>
      <w:tr w14:paraId="5FB74010">
        <w:tblPrEx>
          <w:tblCellMar>
            <w:top w:w="0" w:type="dxa"/>
            <w:left w:w="108" w:type="dxa"/>
            <w:bottom w:w="0" w:type="dxa"/>
            <w:right w:w="108" w:type="dxa"/>
          </w:tblCellMar>
        </w:tblPrEx>
        <w:trPr>
          <w:trHeight w:val="550" w:hRule="atLeast"/>
        </w:trPr>
        <w:tc>
          <w:tcPr>
            <w:tcW w:w="3998" w:type="dxa"/>
            <w:noWrap w:val="0"/>
            <w:vAlign w:val="top"/>
          </w:tcPr>
          <w:p w14:paraId="0A89E527">
            <w:pPr>
              <w:keepNext w:val="0"/>
              <w:keepLines w:val="0"/>
              <w:pageBreakBefore w:val="0"/>
              <w:widowControl w:val="0"/>
              <w:shd w:val="clear" w:color="auto" w:fill="auto"/>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val="en-US" w:eastAsia="zh-CN" w:bidi="ar"/>
              </w:rPr>
              <w:t>0519-85582503</w:t>
            </w:r>
          </w:p>
        </w:tc>
        <w:tc>
          <w:tcPr>
            <w:tcW w:w="4801" w:type="dxa"/>
            <w:noWrap w:val="0"/>
            <w:vAlign w:val="top"/>
          </w:tcPr>
          <w:p w14:paraId="19BC1324">
            <w:pPr>
              <w:keepNext w:val="0"/>
              <w:keepLines w:val="0"/>
              <w:pageBreakBefore w:val="0"/>
              <w:widowControl w:val="0"/>
              <w:shd w:val="clear" w:color="auto" w:fill="auto"/>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0519-85581855</w:t>
            </w:r>
          </w:p>
        </w:tc>
      </w:tr>
    </w:tbl>
    <w:p w14:paraId="0A470F72">
      <w:pPr>
        <w:keepNext w:val="0"/>
        <w:keepLines w:val="0"/>
        <w:pageBreakBefore w:val="0"/>
        <w:shd w:val="clear" w:color="auto" w:fill="auto"/>
        <w:kinsoku/>
        <w:wordWrap/>
        <w:overflowPunct/>
        <w:topLinePunct w:val="0"/>
        <w:autoSpaceDN/>
        <w:bidi w:val="0"/>
        <w:spacing w:line="560" w:lineRule="exact"/>
        <w:ind w:left="0" w:leftChars="0" w:right="0" w:rightChars="0" w:firstLine="562" w:firstLineChars="200"/>
        <w:textAlignment w:val="auto"/>
        <w:rPr>
          <w:rFonts w:ascii="宋体" w:hAnsi="宋体" w:cs="Arial"/>
          <w:b/>
          <w:bCs/>
          <w:color w:val="auto"/>
          <w:kern w:val="0"/>
          <w:sz w:val="28"/>
          <w:szCs w:val="28"/>
          <w:highlight w:val="none"/>
        </w:rPr>
      </w:pPr>
    </w:p>
    <w:p w14:paraId="5B9CA3E0">
      <w:pPr>
        <w:keepNext w:val="0"/>
        <w:keepLines w:val="0"/>
        <w:pageBreakBefore w:val="0"/>
        <w:widowControl w:val="0"/>
        <w:shd w:val="clear" w:color="auto" w:fill="auto"/>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522797139"/>
      <w:bookmarkStart w:id="1" w:name="_Toc32718"/>
      <w:bookmarkStart w:id="2" w:name="_Toc389065130"/>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2756373A">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1．信息公布、招投标答疑:常州国家高新区管委会（新北区人民政府）网、江苏中冠工程咨询有限公司网、E交易网。</w:t>
      </w:r>
    </w:p>
    <w:p w14:paraId="60A0BE74">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7D014287">
      <w:pPr>
        <w:keepNext w:val="0"/>
        <w:keepLines w:val="0"/>
        <w:pageBreakBefore w:val="0"/>
        <w:kinsoku/>
        <w:wordWrap/>
        <w:overflowPunct/>
        <w:topLinePunct w:val="0"/>
        <w:autoSpaceDN/>
        <w:bidi w:val="0"/>
        <w:spacing w:line="560" w:lineRule="exact"/>
        <w:textAlignment w:val="auto"/>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sectPr>
      <w:footerReference r:id="rId3" w:type="default"/>
      <w:pgSz w:w="11906" w:h="16838"/>
      <w:pgMar w:top="1928" w:right="1361" w:bottom="215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A681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6A417">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D6A417">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B47CF"/>
    <w:rsid w:val="196B47CF"/>
    <w:rsid w:val="27D155F4"/>
    <w:rsid w:val="2ACC1A0C"/>
    <w:rsid w:val="3C7C1A89"/>
    <w:rsid w:val="6866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ourier New" w:hAnsi="Courier New" w:eastAsia="Cambria Math" w:cs="MingLiU"/>
      <w:lang w:eastAsia="en-US"/>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1917</Words>
  <Characters>2093</Characters>
  <Lines>0</Lines>
  <Paragraphs>0</Paragraphs>
  <TotalTime>4</TotalTime>
  <ScaleCrop>false</ScaleCrop>
  <LinksUpToDate>false</LinksUpToDate>
  <CharactersWithSpaces>2101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2025-07-01T05:48:00Z</dcterms:created>
  <dc:creator>星星</dc:creator>
  <cp:lastModifiedBy>刘潍</cp:lastModifiedBy>
  <dcterms:modified xsi:type="dcterms:W3CDTF">2025-07-01T07:49:24Z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A05782D4C1A0426E89E3075C3D1D6E85_13</vt:lpwstr>
  </property>
  <property fmtid="{D5CDD505-2E9C-101B-9397-08002B2CF9AE}" pid="4" name="KSOTemplateDocerSaveRecord">
    <vt:lpwstr>eyJoZGlkIjoiMDc3OTNlYWQ1N2NiMGU1ODNiOTdkNWRiYjRlY2Q5ZTciLCJ1c2VySWQiOiI2MDg1NjgyMTAifQ==</vt:lpwstr>
  </property>
</Properties>
</file>