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浦西村后臧墅人居环境提升工程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rPr>
            </w:pPr>
            <w:r>
              <w:rPr>
                <w:rFonts w:hint="eastAsia" w:ascii="宋体"/>
                <w:sz w:val="22"/>
                <w:szCs w:val="22"/>
              </w:rPr>
              <w:t>常州市新北区西夏墅镇浦西村村民委员会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浦西村后臧墅人居环境提升工程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ascii="宋体"/>
                <w:sz w:val="22"/>
                <w:szCs w:val="22"/>
              </w:rPr>
            </w:pPr>
            <w:r>
              <w:rPr>
                <w:rFonts w:hint="eastAsia" w:ascii="宋体"/>
                <w:sz w:val="22"/>
                <w:szCs w:val="22"/>
              </w:rPr>
              <w:t>常州市新北区西夏墅镇浦西村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lang w:eastAsia="zh-CN"/>
              </w:rPr>
            </w:pPr>
            <w:r>
              <w:rPr>
                <w:rFonts w:hint="eastAsia" w:ascii="宋体" w:hAnsi="宋体" w:cs="仿宋_GB2312"/>
                <w:sz w:val="22"/>
                <w:szCs w:val="22"/>
                <w:lang w:eastAsia="zh-CN"/>
              </w:rPr>
              <w:t>PX202506128</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约4</w:t>
            </w:r>
            <w:r>
              <w:rPr>
                <w:rFonts w:hint="eastAsia" w:ascii="宋体" w:hAnsi="宋体"/>
                <w:sz w:val="22"/>
                <w:szCs w:val="22"/>
                <w:lang w:val="en-US" w:eastAsia="zh-CN"/>
              </w:rPr>
              <w:t>0</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b/>
                <w:bCs/>
                <w:sz w:val="22"/>
                <w:szCs w:val="22"/>
                <w:highlight w:val="none"/>
              </w:rPr>
              <w:t>2025年0</w:t>
            </w:r>
            <w:r>
              <w:rPr>
                <w:rFonts w:hint="eastAsia" w:ascii="宋体" w:hAnsi="宋体"/>
                <w:b/>
                <w:bCs/>
                <w:sz w:val="22"/>
                <w:szCs w:val="22"/>
                <w:highlight w:val="none"/>
                <w:lang w:val="en-US" w:eastAsia="zh-CN"/>
              </w:rPr>
              <w:t>7</w:t>
            </w:r>
            <w:r>
              <w:rPr>
                <w:rFonts w:hint="eastAsia" w:ascii="宋体" w:hAnsi="宋体"/>
                <w:b/>
                <w:bCs/>
                <w:sz w:val="22"/>
                <w:szCs w:val="22"/>
                <w:highlight w:val="none"/>
              </w:rPr>
              <w:t>月</w:t>
            </w:r>
            <w:r>
              <w:rPr>
                <w:rFonts w:hint="eastAsia" w:ascii="宋体" w:hAnsi="宋体"/>
                <w:b/>
                <w:bCs/>
                <w:sz w:val="22"/>
                <w:szCs w:val="22"/>
                <w:highlight w:val="none"/>
                <w:lang w:val="en-US" w:eastAsia="zh-CN"/>
              </w:rPr>
              <w:t>03</w:t>
            </w:r>
            <w:r>
              <w:rPr>
                <w:rFonts w:hint="eastAsia" w:ascii="宋体" w:hAnsi="宋体"/>
                <w:b/>
                <w:bCs/>
                <w:sz w:val="22"/>
                <w:szCs w:val="22"/>
                <w:highlight w:val="none"/>
              </w:rPr>
              <w:t>日至2025年0</w:t>
            </w:r>
            <w:r>
              <w:rPr>
                <w:rFonts w:hint="eastAsia" w:ascii="宋体" w:hAnsi="宋体"/>
                <w:b/>
                <w:bCs/>
                <w:sz w:val="22"/>
                <w:szCs w:val="22"/>
                <w:highlight w:val="none"/>
                <w:lang w:val="en-US" w:eastAsia="zh-CN"/>
              </w:rPr>
              <w:t>7</w:t>
            </w:r>
            <w:r>
              <w:rPr>
                <w:rFonts w:hint="eastAsia" w:ascii="宋体" w:hAnsi="宋体"/>
                <w:b/>
                <w:bCs/>
                <w:sz w:val="22"/>
                <w:szCs w:val="22"/>
                <w:highlight w:val="none"/>
              </w:rPr>
              <w:t>月</w:t>
            </w:r>
            <w:r>
              <w:rPr>
                <w:rFonts w:hint="eastAsia" w:ascii="宋体" w:hAnsi="宋体"/>
                <w:b/>
                <w:bCs/>
                <w:sz w:val="22"/>
                <w:szCs w:val="22"/>
                <w:highlight w:val="none"/>
                <w:lang w:val="en-US" w:eastAsia="zh-CN"/>
              </w:rPr>
              <w:t>07</w:t>
            </w:r>
            <w:r>
              <w:rPr>
                <w:rFonts w:hint="eastAsia" w:ascii="宋体" w:hAnsi="宋体"/>
                <w:b/>
                <w:bCs/>
                <w:sz w:val="22"/>
                <w:szCs w:val="22"/>
                <w:highlight w:val="none"/>
              </w:rPr>
              <w:t>日</w:t>
            </w:r>
            <w:r>
              <w:rPr>
                <w:rFonts w:ascii="宋体" w:hAnsi="宋体"/>
                <w:b/>
                <w:bCs/>
                <w:sz w:val="22"/>
                <w:szCs w:val="22"/>
                <w:highlight w:val="none"/>
              </w:rPr>
              <w:t>09</w:t>
            </w:r>
            <w:r>
              <w:rPr>
                <w:rFonts w:hint="eastAsia" w:ascii="宋体" w:hAnsi="宋体"/>
                <w:b/>
                <w:bCs/>
                <w:sz w:val="22"/>
                <w:szCs w:val="22"/>
                <w:highlight w:val="none"/>
              </w:rPr>
              <w:t>时至</w:t>
            </w:r>
            <w:r>
              <w:rPr>
                <w:rFonts w:ascii="宋体" w:hAnsi="宋体"/>
                <w:b/>
                <w:bCs/>
                <w:sz w:val="22"/>
                <w:szCs w:val="22"/>
                <w:highlight w:val="none"/>
              </w:rPr>
              <w:t>17</w:t>
            </w:r>
            <w:r>
              <w:rPr>
                <w:rFonts w:hint="eastAsia" w:ascii="宋体" w:hAnsi="宋体"/>
                <w:b/>
                <w:bCs/>
                <w:sz w:val="22"/>
                <w:szCs w:val="22"/>
                <w:highlight w:val="none"/>
              </w:rPr>
              <w:t>时</w:t>
            </w:r>
            <w:r>
              <w:rPr>
                <w:rFonts w:hint="eastAsia" w:ascii="宋体" w:hAnsi="宋体"/>
                <w:sz w:val="22"/>
                <w:szCs w:val="22"/>
                <w:highlight w:val="none"/>
              </w:rPr>
              <w:t>（工作时间），报名须提交资料，详见附件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b/>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70</w:t>
            </w:r>
            <w:r>
              <w:rPr>
                <w:rFonts w:hint="eastAsia" w:ascii="宋体"/>
                <w:sz w:val="22"/>
                <w:szCs w:val="22"/>
              </w:rPr>
              <w:t>00元整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bookmarkStart w:id="0" w:name="OLE_LINK11"/>
            <w:r>
              <w:rPr>
                <w:rFonts w:hint="eastAsia" w:ascii="宋体" w:hAnsi="宋体" w:cs="仿宋_GB2312"/>
                <w:sz w:val="22"/>
                <w:szCs w:val="22"/>
              </w:rPr>
              <w:t>经评审的最低或次低投标价法</w:t>
            </w:r>
            <w:bookmarkEnd w:id="0"/>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7</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日1</w:t>
            </w:r>
            <w:r>
              <w:rPr>
                <w:rFonts w:hint="eastAsia" w:ascii="宋体" w:hAnsi="宋体" w:cs="宋体"/>
                <w:b/>
                <w:sz w:val="22"/>
                <w:szCs w:val="22"/>
                <w:highlight w:val="none"/>
                <w:lang w:val="en-US" w:eastAsia="zh-CN"/>
              </w:rPr>
              <w:t>0</w:t>
            </w:r>
            <w:r>
              <w:rPr>
                <w:rFonts w:hint="eastAsia" w:ascii="宋体" w:hAnsi="宋体" w:cs="宋体"/>
                <w:b/>
                <w:sz w:val="22"/>
                <w:szCs w:val="22"/>
                <w:highlight w:val="none"/>
              </w:rPr>
              <w:t>时0</w:t>
            </w:r>
            <w:r>
              <w:rPr>
                <w:rFonts w:ascii="宋体" w:hAnsi="宋体" w:cs="宋体"/>
                <w:b/>
                <w:sz w:val="22"/>
                <w:szCs w:val="22"/>
                <w:highlight w:val="none"/>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rPr>
            </w:pPr>
            <w:r>
              <w:rPr>
                <w:rFonts w:hint="eastAsia" w:ascii="宋体" w:hAnsi="宋体" w:cs="仿宋_GB2312"/>
                <w:bCs/>
                <w:sz w:val="22"/>
                <w:szCs w:val="22"/>
              </w:rPr>
              <w:t>常州市新北区西夏墅镇浦西村委一楼会议室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ascii="宋体"/>
                <w:sz w:val="22"/>
                <w:szCs w:val="22"/>
              </w:rPr>
            </w:pPr>
            <w:r>
              <w:rPr>
                <w:rFonts w:hint="eastAsia" w:ascii="宋体" w:hAnsi="宋体"/>
                <w:sz w:val="22"/>
                <w:szCs w:val="22"/>
              </w:rPr>
              <w:t>招标单位：言先生</w:t>
            </w:r>
            <w:r>
              <w:rPr>
                <w:rFonts w:ascii="宋体" w:hAnsi="宋体" w:cs="宋体"/>
                <w:sz w:val="22"/>
                <w:szCs w:val="22"/>
              </w:rPr>
              <w:t xml:space="preserve">  0519-</w:t>
            </w:r>
            <w:r>
              <w:rPr>
                <w:rFonts w:hint="eastAsia" w:ascii="宋体" w:hAnsi="宋体" w:cs="宋体"/>
                <w:sz w:val="22"/>
                <w:szCs w:val="22"/>
              </w:rPr>
              <w:t>83461039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2"/>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2"/>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2"/>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5D031D2A">
      <w:pPr>
        <w:pStyle w:val="12"/>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如有授权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如有授权</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被</w:t>
      </w:r>
      <w:r>
        <w:rPr>
          <w:rFonts w:hint="eastAsia" w:cs="宋体" w:asciiTheme="minorEastAsia" w:hAnsiTheme="minorEastAsia" w:eastAsiaTheme="minorEastAsia"/>
          <w:kern w:val="0"/>
          <w:szCs w:val="21"/>
        </w:rPr>
        <w:t>授权委托人</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如有</w:t>
      </w:r>
      <w:bookmarkStart w:id="5" w:name="_GoBack"/>
      <w:bookmarkEnd w:id="5"/>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rPr>
        <w:t>2025年0</w:t>
      </w:r>
      <w:r>
        <w:rPr>
          <w:rFonts w:hint="eastAsia" w:cs="宋体" w:asciiTheme="minorEastAsia" w:hAnsiTheme="minorEastAsia" w:eastAsiaTheme="minorEastAsia"/>
          <w:b/>
          <w:bCs/>
          <w:kern w:val="0"/>
          <w:szCs w:val="21"/>
          <w:lang w:val="en-US" w:eastAsia="zh-CN"/>
        </w:rPr>
        <w:t>4</w:t>
      </w:r>
      <w:r>
        <w:rPr>
          <w:rFonts w:hint="eastAsia" w:cs="宋体" w:asciiTheme="minorEastAsia" w:hAnsiTheme="minorEastAsia" w:eastAsiaTheme="minorEastAsia"/>
          <w:b/>
          <w:bCs/>
          <w:kern w:val="0"/>
          <w:szCs w:val="21"/>
        </w:rPr>
        <w:t>月至2025年0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43AD6F99">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11、投标人信用承诺书。（附件7）</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w:t>
      </w:r>
      <w:r>
        <w:rPr>
          <w:rFonts w:hint="eastAsia" w:asciiTheme="minorEastAsia" w:hAnsiTheme="minorEastAsia" w:eastAsiaTheme="minorEastAsia"/>
          <w:b/>
          <w:bCs/>
          <w:szCs w:val="21"/>
          <w:lang w:val="en-US" w:eastAsia="zh-CN"/>
        </w:rPr>
        <w:t>被</w:t>
      </w:r>
      <w:r>
        <w:rPr>
          <w:rFonts w:hint="eastAsia" w:asciiTheme="minorEastAsia" w:hAnsiTheme="minorEastAsia" w:eastAsiaTheme="minorEastAsia"/>
          <w:b/>
          <w:bCs/>
          <w:szCs w:val="21"/>
        </w:rPr>
        <w:t>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ascii="宋体" w:hAnsi="宋体" w:cs="宋体"/>
          <w:sz w:val="24"/>
        </w:rPr>
      </w:pPr>
      <w:r>
        <w:rPr>
          <w:rFonts w:hint="eastAsia" w:ascii="宋体" w:hAnsi="宋体" w:cs="宋体"/>
          <w:sz w:val="24"/>
        </w:rPr>
        <w:t>开户行：江苏江南农村商业银行股份有限公司常州市钟楼支行</w:t>
      </w:r>
    </w:p>
    <w:p w14:paraId="0E003AD2">
      <w:pPr>
        <w:adjustRightInd w:val="0"/>
        <w:snapToGrid w:val="0"/>
        <w:spacing w:line="500" w:lineRule="exact"/>
        <w:ind w:firstLine="3120" w:firstLineChars="1300"/>
        <w:rPr>
          <w:rFonts w:hint="eastAsia" w:ascii="宋体" w:cs="宋体"/>
          <w:sz w:val="24"/>
        </w:rPr>
      </w:pPr>
      <w:r>
        <w:rPr>
          <w:rFonts w:hint="eastAsia" w:ascii="宋体" w:cs="宋体"/>
          <w:sz w:val="24"/>
        </w:rPr>
        <w:t>开户行行号：314304001088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FF0000"/>
          <w:sz w:val="24"/>
          <w:szCs w:val="20"/>
        </w:rPr>
        <w:t>“</w:t>
      </w:r>
      <w:r>
        <w:rPr>
          <w:rFonts w:hint="eastAsia" w:ascii="宋体" w:hAnsi="宋体"/>
          <w:b/>
          <w:bCs/>
          <w:color w:val="FF0000"/>
          <w:sz w:val="24"/>
          <w:szCs w:val="20"/>
          <w:lang w:eastAsia="zh-CN"/>
        </w:rPr>
        <w:t>PX202506128</w:t>
      </w:r>
      <w:r>
        <w:rPr>
          <w:rFonts w:hint="eastAsia" w:ascii="宋体" w:hAnsi="宋体" w:cs="宋体"/>
          <w:b/>
          <w:bCs/>
          <w:color w:val="FF0000"/>
          <w:sz w:val="24"/>
        </w:rPr>
        <w:t>投标保证金”</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43A12DB7">
      <w:pPr>
        <w:spacing w:line="360" w:lineRule="auto"/>
        <w:ind w:firstLine="488" w:firstLineChars="200"/>
        <w:rPr>
          <w:rFonts w:hint="eastAsia" w:ascii="宋体" w:hAnsi="宋体" w:cs="宋体"/>
          <w:color w:val="000000"/>
          <w:spacing w:val="2"/>
          <w:kern w:val="0"/>
          <w:sz w:val="24"/>
          <w:szCs w:val="28"/>
        </w:rPr>
      </w:pPr>
    </w:p>
    <w:p w14:paraId="19639655">
      <w:pPr>
        <w:adjustRightInd w:val="0"/>
        <w:snapToGrid w:val="0"/>
        <w:spacing w:line="400" w:lineRule="exact"/>
        <w:ind w:firstLine="480" w:firstLineChars="200"/>
        <w:rPr>
          <w:rFonts w:ascii="宋体" w:cs="宋体"/>
          <w:sz w:val="24"/>
        </w:rPr>
      </w:pPr>
      <w:bookmarkStart w:id="1" w:name="_Hlk192949119"/>
      <w:bookmarkStart w:id="2" w:name="OLE_LINK2"/>
      <w:r>
        <w:rPr>
          <w:rFonts w:hint="eastAsia" w:ascii="宋体" w:hAnsi="宋体" w:cs="宋体"/>
          <w:sz w:val="24"/>
        </w:rPr>
        <w:t>本工程只对经过评审确定为有效标书的投标文件进行评审，采用</w:t>
      </w:r>
      <w:r>
        <w:rPr>
          <w:rFonts w:hint="eastAsia" w:ascii="宋体" w:hAnsi="宋体"/>
          <w:b/>
          <w:sz w:val="24"/>
          <w:u w:val="single"/>
        </w:rPr>
        <w:t>经评审的最低或次低投标价法</w:t>
      </w:r>
      <w:r>
        <w:rPr>
          <w:rFonts w:hint="eastAsia" w:ascii="宋体" w:hAnsi="宋体" w:cs="宋体"/>
          <w:sz w:val="24"/>
        </w:rPr>
        <w:t>，总分</w:t>
      </w:r>
      <w:r>
        <w:rPr>
          <w:rFonts w:ascii="宋体" w:hAnsi="宋体" w:cs="宋体"/>
          <w:sz w:val="24"/>
        </w:rPr>
        <w:t>100</w:t>
      </w:r>
      <w:r>
        <w:rPr>
          <w:rFonts w:hint="eastAsia" w:ascii="宋体" w:hAnsi="宋体" w:cs="宋体"/>
          <w:sz w:val="24"/>
        </w:rPr>
        <w:t>分，以得分最高者为中标单位，具体办法如下：</w:t>
      </w:r>
    </w:p>
    <w:p w14:paraId="1C8AEDFC">
      <w:pPr>
        <w:adjustRightInd w:val="0"/>
        <w:snapToGrid w:val="0"/>
        <w:spacing w:line="400" w:lineRule="exact"/>
        <w:ind w:firstLine="480" w:firstLineChars="200"/>
        <w:rPr>
          <w:rFonts w:ascii="宋体" w:cs="宋体"/>
          <w:b/>
          <w:sz w:val="24"/>
        </w:rPr>
      </w:pPr>
    </w:p>
    <w:p w14:paraId="18D88B61">
      <w:pPr>
        <w:adjustRightInd w:val="0"/>
        <w:snapToGrid w:val="0"/>
        <w:spacing w:line="400" w:lineRule="exact"/>
        <w:ind w:firstLine="480" w:firstLineChars="200"/>
        <w:rPr>
          <w:rFonts w:ascii="宋体" w:cs="宋体"/>
          <w:b/>
          <w:sz w:val="24"/>
        </w:rPr>
      </w:pPr>
      <w:r>
        <w:rPr>
          <w:rFonts w:hint="eastAsia" w:ascii="宋体" w:hAnsi="宋体" w:cs="宋体"/>
          <w:b/>
          <w:sz w:val="24"/>
        </w:rPr>
        <w:t>一、确定有效投标报价</w:t>
      </w:r>
    </w:p>
    <w:p w14:paraId="4667CFDF">
      <w:pPr>
        <w:adjustRightInd w:val="0"/>
        <w:snapToGrid w:val="0"/>
        <w:spacing w:line="400" w:lineRule="exact"/>
        <w:ind w:firstLine="480" w:firstLineChars="200"/>
        <w:rPr>
          <w:rFonts w:ascii="宋体" w:cs="宋体"/>
          <w:sz w:val="24"/>
        </w:rPr>
      </w:pPr>
      <w:r>
        <w:rPr>
          <w:rFonts w:hint="eastAsia" w:ascii="宋体" w:hAnsi="宋体" w:cs="宋体"/>
          <w:sz w:val="24"/>
        </w:rPr>
        <w:t>凡符合招标文件、招标答疑纪要等有关招标实质性要求，且在招标控制价（最高投标限价）以下的投标报价均为有效投标报价，未能实质性响应上述有关招标要求的投标文件为无效标。</w:t>
      </w:r>
    </w:p>
    <w:p w14:paraId="179E6A5E">
      <w:pPr>
        <w:adjustRightInd w:val="0"/>
        <w:snapToGrid w:val="0"/>
        <w:spacing w:line="400" w:lineRule="exact"/>
        <w:ind w:firstLine="480" w:firstLineChars="200"/>
        <w:rPr>
          <w:rFonts w:ascii="宋体" w:cs="宋体"/>
          <w:b/>
          <w:sz w:val="24"/>
        </w:rPr>
      </w:pPr>
      <w:r>
        <w:rPr>
          <w:rFonts w:hint="eastAsia" w:ascii="宋体" w:hAnsi="宋体" w:cs="宋体"/>
          <w:b/>
          <w:sz w:val="24"/>
        </w:rPr>
        <w:t>二、确定评标基准价</w:t>
      </w:r>
    </w:p>
    <w:p w14:paraId="33634F26">
      <w:pPr>
        <w:adjustRightInd w:val="0"/>
        <w:snapToGrid w:val="0"/>
        <w:spacing w:line="400" w:lineRule="exact"/>
        <w:ind w:firstLine="480" w:firstLineChars="200"/>
        <w:rPr>
          <w:rFonts w:ascii="宋体" w:cs="宋体"/>
          <w:sz w:val="24"/>
        </w:rPr>
      </w:pPr>
      <w:r>
        <w:rPr>
          <w:rFonts w:hint="eastAsia" w:ascii="宋体" w:hAnsi="宋体"/>
          <w:sz w:val="24"/>
        </w:rPr>
        <w:t>以有效投标文件的最低或次低投标报价作为评标基准价，最低或次低价法由招标人代表随机抽取确定。</w:t>
      </w:r>
    </w:p>
    <w:p w14:paraId="03E024B9">
      <w:pPr>
        <w:adjustRightInd w:val="0"/>
        <w:snapToGrid w:val="0"/>
        <w:spacing w:line="400" w:lineRule="exact"/>
        <w:ind w:firstLine="480" w:firstLineChars="200"/>
        <w:rPr>
          <w:rFonts w:ascii="宋体" w:cs="宋体"/>
          <w:b/>
          <w:sz w:val="24"/>
        </w:rPr>
      </w:pPr>
      <w:r>
        <w:rPr>
          <w:rFonts w:hint="eastAsia" w:ascii="宋体" w:hAnsi="宋体" w:cs="宋体"/>
          <w:b/>
          <w:sz w:val="24"/>
        </w:rPr>
        <w:t>三、打分</w:t>
      </w:r>
    </w:p>
    <w:p w14:paraId="48ED7E5C">
      <w:pPr>
        <w:adjustRightInd w:val="0"/>
        <w:snapToGrid w:val="0"/>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、投标报价等于评标基准价的，得满分</w:t>
      </w:r>
      <w:r>
        <w:rPr>
          <w:rFonts w:ascii="宋体" w:hAnsi="宋体" w:cs="宋体"/>
          <w:sz w:val="24"/>
        </w:rPr>
        <w:t>100</w:t>
      </w:r>
      <w:r>
        <w:rPr>
          <w:rFonts w:hint="eastAsia" w:ascii="宋体" w:hAnsi="宋体" w:cs="宋体"/>
          <w:sz w:val="24"/>
        </w:rPr>
        <w:t>分；每高</w:t>
      </w:r>
      <w:r>
        <w:rPr>
          <w:rFonts w:ascii="宋体" w:hAnsi="宋体" w:cs="宋体"/>
          <w:sz w:val="24"/>
        </w:rPr>
        <w:t>1%</w:t>
      </w:r>
      <w:r>
        <w:rPr>
          <w:rFonts w:hint="eastAsia" w:ascii="宋体" w:hAnsi="宋体" w:cs="宋体"/>
          <w:sz w:val="24"/>
        </w:rPr>
        <w:t>，扣减1分，每低</w:t>
      </w:r>
      <w:r>
        <w:rPr>
          <w:rFonts w:ascii="宋体" w:hAnsi="宋体" w:cs="宋体"/>
          <w:sz w:val="24"/>
        </w:rPr>
        <w:t>1%</w:t>
      </w:r>
      <w:r>
        <w:rPr>
          <w:rFonts w:hint="eastAsia" w:ascii="宋体" w:hAnsi="宋体" w:cs="宋体"/>
          <w:sz w:val="24"/>
        </w:rPr>
        <w:t>，扣减</w:t>
      </w:r>
      <w:r>
        <w:rPr>
          <w:rFonts w:ascii="宋体" w:hAnsi="宋体" w:cs="宋体"/>
          <w:sz w:val="24"/>
        </w:rPr>
        <w:t>0.5</w:t>
      </w:r>
      <w:r>
        <w:rPr>
          <w:rFonts w:hint="eastAsia" w:ascii="宋体" w:hAnsi="宋体" w:cs="宋体"/>
          <w:sz w:val="24"/>
        </w:rPr>
        <w:t>分，不足</w:t>
      </w:r>
      <w:r>
        <w:rPr>
          <w:rFonts w:ascii="宋体" w:hAnsi="宋体" w:cs="宋体"/>
          <w:sz w:val="24"/>
        </w:rPr>
        <w:t>1%</w:t>
      </w:r>
      <w:r>
        <w:rPr>
          <w:rFonts w:hint="eastAsia" w:ascii="宋体" w:hAnsi="宋体" w:cs="宋体"/>
          <w:sz w:val="24"/>
        </w:rPr>
        <w:t>的，按照插入法计算得分</w:t>
      </w:r>
      <w:r>
        <w:rPr>
          <w:rFonts w:hint="eastAsia" w:ascii="宋体" w:hAnsi="宋体"/>
          <w:sz w:val="24"/>
        </w:rPr>
        <w:t>（结果保留两位小数）</w:t>
      </w:r>
      <w:r>
        <w:rPr>
          <w:rFonts w:hint="eastAsia" w:ascii="宋体" w:hAnsi="宋体" w:cs="宋体"/>
          <w:sz w:val="24"/>
        </w:rPr>
        <w:t>。</w:t>
      </w:r>
    </w:p>
    <w:p w14:paraId="5A156F41">
      <w:pPr>
        <w:adjustRightInd w:val="0"/>
        <w:snapToGrid w:val="0"/>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、投标报价得分</w:t>
      </w:r>
      <w:r>
        <w:rPr>
          <w:rFonts w:ascii="宋体" w:hAnsi="宋体" w:cs="宋体"/>
          <w:sz w:val="24"/>
        </w:rPr>
        <w:t>=100</w:t>
      </w:r>
      <w:r>
        <w:rPr>
          <w:rFonts w:hint="eastAsia" w:ascii="宋体" w:hAnsi="宋体" w:cs="宋体"/>
          <w:sz w:val="24"/>
        </w:rPr>
        <w:t>分</w:t>
      </w:r>
      <w:r>
        <w:rPr>
          <w:rFonts w:ascii="宋体" w:cs="宋体"/>
          <w:sz w:val="24"/>
        </w:rPr>
        <w:t>-</w:t>
      </w:r>
      <w:r>
        <w:rPr>
          <w:rFonts w:hint="eastAsia" w:ascii="宋体" w:hAnsi="宋体" w:cs="宋体"/>
          <w:sz w:val="24"/>
        </w:rPr>
        <w:t>投标报价扣分值。</w:t>
      </w:r>
    </w:p>
    <w:p w14:paraId="5532232B">
      <w:pPr>
        <w:adjustRightInd w:val="0"/>
        <w:snapToGrid w:val="0"/>
        <w:spacing w:line="400" w:lineRule="exact"/>
        <w:ind w:firstLine="480" w:firstLineChars="200"/>
        <w:rPr>
          <w:rFonts w:ascii="宋体" w:cs="宋体"/>
          <w:b/>
          <w:sz w:val="24"/>
        </w:rPr>
      </w:pPr>
      <w:r>
        <w:rPr>
          <w:rFonts w:hint="eastAsia" w:ascii="宋体" w:hAnsi="宋体" w:cs="宋体"/>
          <w:b/>
          <w:sz w:val="24"/>
        </w:rPr>
        <w:t>四、定标</w:t>
      </w:r>
    </w:p>
    <w:p w14:paraId="3BD10DA2">
      <w:pPr>
        <w:spacing w:line="360" w:lineRule="auto"/>
        <w:ind w:firstLine="480" w:firstLineChars="200"/>
        <w:rPr>
          <w:sz w:val="24"/>
        </w:rPr>
      </w:pPr>
      <w:r>
        <w:rPr>
          <w:rFonts w:hint="eastAsia"/>
          <w:sz w:val="24"/>
        </w:rPr>
        <w:t>以上得分汇总最高者为第一中标候选人。若得分相同，则选择其中投标报价低者为中标候选人；若得分相同，投标报价也相同，当场按签到顺序抽签确定中标候选人。</w:t>
      </w:r>
      <w:bookmarkEnd w:id="1"/>
    </w:p>
    <w:p w14:paraId="3854E78C">
      <w:pPr>
        <w:pStyle w:val="4"/>
        <w:tabs>
          <w:tab w:val="left" w:pos="871"/>
        </w:tabs>
        <w:adjustRightInd w:val="0"/>
        <w:snapToGrid w:val="0"/>
        <w:spacing w:line="360" w:lineRule="auto"/>
        <w:ind w:left="0" w:firstLine="480" w:firstLineChars="200"/>
        <w:rPr>
          <w:sz w:val="24"/>
          <w:lang w:val="en-US"/>
        </w:rPr>
      </w:pPr>
      <w:r>
        <w:rPr>
          <w:rFonts w:hint="eastAsia"/>
          <w:sz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0122AAEC">
      <w:pPr>
        <w:pStyle w:val="2"/>
        <w:keepNext w:val="0"/>
        <w:keepLines w:val="0"/>
        <w:autoSpaceDE w:val="0"/>
        <w:autoSpaceDN w:val="0"/>
        <w:adjustRightInd w:val="0"/>
        <w:snapToGrid w:val="0"/>
        <w:spacing w:before="0" w:after="0" w:line="360" w:lineRule="auto"/>
        <w:ind w:firstLine="480" w:firstLineChars="200"/>
        <w:jc w:val="left"/>
        <w:rPr>
          <w:sz w:val="24"/>
          <w:szCs w:val="24"/>
        </w:rPr>
      </w:pPr>
      <w:r>
        <w:rPr>
          <w:rFonts w:hint="eastAsia"/>
          <w:sz w:val="24"/>
          <w:szCs w:val="24"/>
        </w:rPr>
        <w:t>五、</w:t>
      </w:r>
      <w:r>
        <w:rPr>
          <w:sz w:val="24"/>
          <w:szCs w:val="24"/>
        </w:rPr>
        <w:t>评标细则使用说明：</w:t>
      </w:r>
    </w:p>
    <w:p w14:paraId="2A03C1A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6D29EE8D">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CB1815B">
      <w:pPr>
        <w:pStyle w:val="4"/>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40BC7878">
      <w:pPr>
        <w:pStyle w:val="4"/>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3"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2"/>
      <w:bookmarkEnd w:id="3"/>
    </w:p>
    <w:p w14:paraId="1B78B774">
      <w:pPr>
        <w:pStyle w:val="4"/>
        <w:tabs>
          <w:tab w:val="left" w:pos="871"/>
        </w:tabs>
        <w:adjustRightInd w:val="0"/>
        <w:snapToGrid w:val="0"/>
        <w:spacing w:line="360" w:lineRule="auto"/>
        <w:ind w:left="0" w:firstLine="480" w:firstLineChars="200"/>
        <w:rPr>
          <w:rFonts w:hint="eastAsia"/>
          <w:sz w:val="24"/>
        </w:rPr>
      </w:pPr>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ascii="宋体" w:hAnsi="宋体"/>
          <w:b/>
          <w:sz w:val="32"/>
          <w:szCs w:val="32"/>
        </w:rPr>
      </w:pPr>
    </w:p>
    <w:p w14:paraId="773F973E">
      <w:pPr>
        <w:spacing w:line="600" w:lineRule="exact"/>
        <w:rPr>
          <w:rFonts w:ascii="宋体" w:hAnsi="宋体"/>
          <w:b/>
          <w:sz w:val="32"/>
          <w:szCs w:val="32"/>
        </w:rPr>
      </w:pPr>
    </w:p>
    <w:p w14:paraId="7EC59562">
      <w:pPr>
        <w:spacing w:line="600" w:lineRule="exact"/>
        <w:rPr>
          <w:rFonts w:ascii="宋体" w:hAnsi="宋体"/>
          <w:b/>
          <w:sz w:val="32"/>
          <w:szCs w:val="32"/>
        </w:rPr>
      </w:pPr>
    </w:p>
    <w:p w14:paraId="200D068D">
      <w:pPr>
        <w:spacing w:line="600" w:lineRule="exact"/>
        <w:rPr>
          <w:rFonts w:ascii="宋体" w:hAnsi="宋体"/>
          <w:b/>
          <w:sz w:val="32"/>
          <w:szCs w:val="32"/>
        </w:rPr>
      </w:pPr>
    </w:p>
    <w:p w14:paraId="425427DD">
      <w:pPr>
        <w:spacing w:line="600" w:lineRule="exact"/>
        <w:rPr>
          <w:rFonts w:ascii="宋体" w:hAnsi="宋体"/>
          <w:b/>
          <w:sz w:val="32"/>
          <w:szCs w:val="32"/>
        </w:rPr>
      </w:pPr>
    </w:p>
    <w:p w14:paraId="1DFBF712">
      <w:pPr>
        <w:spacing w:line="600" w:lineRule="exact"/>
        <w:rPr>
          <w:rFonts w:ascii="宋体" w:hAnsi="宋体"/>
          <w:b/>
          <w:sz w:val="32"/>
          <w:szCs w:val="32"/>
        </w:rPr>
      </w:pPr>
    </w:p>
    <w:p w14:paraId="160FB90E">
      <w:pPr>
        <w:spacing w:line="600" w:lineRule="exact"/>
        <w:rPr>
          <w:rFonts w:ascii="宋体" w:hAnsi="宋体"/>
          <w:b/>
          <w:sz w:val="32"/>
          <w:szCs w:val="32"/>
        </w:rPr>
      </w:pPr>
    </w:p>
    <w:p w14:paraId="16110A7D">
      <w:pPr>
        <w:spacing w:line="600" w:lineRule="exact"/>
        <w:rPr>
          <w:rFonts w:ascii="宋体" w:hAnsi="宋体"/>
          <w:b/>
          <w:sz w:val="32"/>
          <w:szCs w:val="32"/>
        </w:rPr>
      </w:pPr>
    </w:p>
    <w:p w14:paraId="7EF297A6">
      <w:pPr>
        <w:spacing w:line="600" w:lineRule="exact"/>
        <w:rPr>
          <w:rFonts w:ascii="宋体" w:hAnsi="宋体"/>
          <w:b/>
          <w:sz w:val="32"/>
          <w:szCs w:val="32"/>
        </w:rPr>
      </w:pPr>
    </w:p>
    <w:p w14:paraId="05D6FED3">
      <w:pPr>
        <w:spacing w:line="600" w:lineRule="exact"/>
        <w:rPr>
          <w:rFonts w:ascii="宋体" w:hAnsi="宋体"/>
          <w:b/>
          <w:sz w:val="32"/>
          <w:szCs w:val="32"/>
        </w:rPr>
      </w:pPr>
    </w:p>
    <w:p w14:paraId="5CFBFA91">
      <w:pPr>
        <w:spacing w:line="600" w:lineRule="exact"/>
        <w:rPr>
          <w:rFonts w:ascii="宋体" w:hAnsi="宋体"/>
          <w:b/>
          <w:sz w:val="32"/>
          <w:szCs w:val="32"/>
        </w:rPr>
      </w:pPr>
    </w:p>
    <w:p w14:paraId="2BE01BC9">
      <w:pPr>
        <w:spacing w:line="600" w:lineRule="exact"/>
        <w:rPr>
          <w:rFonts w:ascii="宋体" w:hAnsi="宋体"/>
          <w:b/>
          <w:sz w:val="32"/>
          <w:szCs w:val="32"/>
        </w:rPr>
      </w:pPr>
    </w:p>
    <w:p w14:paraId="640890EA">
      <w:pPr>
        <w:spacing w:line="600" w:lineRule="exact"/>
        <w:rPr>
          <w:rFonts w:ascii="宋体" w:hAnsi="宋体"/>
          <w:b/>
          <w:sz w:val="32"/>
          <w:szCs w:val="32"/>
        </w:rPr>
      </w:pPr>
    </w:p>
    <w:p w14:paraId="684E667D">
      <w:pPr>
        <w:spacing w:line="600" w:lineRule="exact"/>
        <w:rPr>
          <w:rFonts w:ascii="宋体" w:hAnsi="宋体"/>
          <w:b/>
          <w:sz w:val="32"/>
          <w:szCs w:val="32"/>
        </w:rPr>
      </w:pPr>
    </w:p>
    <w:p w14:paraId="0AC54F2B">
      <w:pPr>
        <w:spacing w:line="600" w:lineRule="exact"/>
        <w:rPr>
          <w:rFonts w:ascii="宋体" w:hAnsi="宋体"/>
          <w:b/>
          <w:sz w:val="32"/>
          <w:szCs w:val="32"/>
        </w:rPr>
      </w:pPr>
    </w:p>
    <w:p w14:paraId="5C92884B">
      <w:pPr>
        <w:spacing w:line="600" w:lineRule="exact"/>
        <w:rPr>
          <w:rFonts w:ascii="宋体" w:hAnsi="宋体"/>
          <w:b/>
          <w:sz w:val="32"/>
          <w:szCs w:val="32"/>
        </w:rPr>
      </w:pPr>
    </w:p>
    <w:p w14:paraId="5BD49EFB">
      <w:pPr>
        <w:spacing w:line="600" w:lineRule="exact"/>
        <w:rPr>
          <w:rFonts w:ascii="宋体" w:hAnsi="宋体"/>
          <w:b/>
          <w:sz w:val="32"/>
          <w:szCs w:val="32"/>
        </w:rPr>
      </w:pPr>
    </w:p>
    <w:p w14:paraId="720CD989">
      <w:pPr>
        <w:spacing w:line="600" w:lineRule="exact"/>
        <w:rPr>
          <w:rFonts w:ascii="宋体" w:hAnsi="宋体"/>
          <w:b/>
          <w:sz w:val="32"/>
          <w:szCs w:val="32"/>
        </w:rPr>
      </w:pPr>
    </w:p>
    <w:p w14:paraId="5BDE7A6F">
      <w:pPr>
        <w:spacing w:line="600" w:lineRule="exact"/>
        <w:rPr>
          <w:rFonts w:ascii="宋体" w:hAnsi="宋体"/>
          <w:b/>
          <w:sz w:val="32"/>
          <w:szCs w:val="32"/>
        </w:rPr>
      </w:pPr>
    </w:p>
    <w:p w14:paraId="3C6CB8E1">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7"/>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rPr>
              <w:t xml:space="preserve">常州市新北区西夏墅镇浦西村村民委员会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浦西村后臧墅人居环境提升工程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ascii="宋体"/>
                <w:sz w:val="22"/>
                <w:szCs w:val="22"/>
              </w:rPr>
            </w:pPr>
            <w:r>
              <w:rPr>
                <w:rFonts w:hint="eastAsia" w:ascii="宋体"/>
                <w:sz w:val="22"/>
                <w:szCs w:val="22"/>
              </w:rPr>
              <w:t>常州市新北区西夏墅镇浦西村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2"/>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ind w:firstLine="480" w:firstLineChars="200"/>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30F1ED77">
      <w:pPr>
        <w:rPr>
          <w:rFonts w:hint="eastAsia"/>
        </w:rPr>
      </w:pPr>
    </w:p>
    <w:p w14:paraId="224C5B77"/>
    <w:p w14:paraId="6F209EA7">
      <w:pPr>
        <w:spacing w:line="600" w:lineRule="exact"/>
        <w:rPr>
          <w:rFonts w:ascii="宋体"/>
          <w:b/>
          <w:sz w:val="32"/>
          <w:szCs w:val="32"/>
        </w:rPr>
      </w:pPr>
      <w:bookmarkStart w:id="4" w:name="OLE_LINK1"/>
      <w:r>
        <w:rPr>
          <w:rFonts w:hint="eastAsia" w:ascii="宋体" w:hAnsi="宋体"/>
          <w:b/>
          <w:sz w:val="32"/>
          <w:szCs w:val="32"/>
        </w:rPr>
        <w:t>附件7</w:t>
      </w:r>
    </w:p>
    <w:p w14:paraId="517367B3">
      <w:pPr>
        <w:pStyle w:val="15"/>
        <w:spacing w:line="360" w:lineRule="auto"/>
        <w:rPr>
          <w:rFonts w:hint="eastAsia" w:ascii="宋体" w:hAnsi="宋体" w:cs="宋体"/>
          <w:b/>
          <w:sz w:val="31"/>
          <w:szCs w:val="31"/>
        </w:rPr>
      </w:pPr>
    </w:p>
    <w:p w14:paraId="535E21C2">
      <w:pPr>
        <w:spacing w:line="440" w:lineRule="exact"/>
        <w:ind w:firstLine="480"/>
        <w:jc w:val="center"/>
        <w:rPr>
          <w:rFonts w:hint="eastAsia" w:ascii="宋体" w:hAnsi="宋体" w:cs="宋体"/>
          <w:b/>
          <w:sz w:val="31"/>
          <w:szCs w:val="31"/>
        </w:rPr>
      </w:pPr>
      <w:r>
        <w:rPr>
          <w:rFonts w:hint="eastAsia" w:ascii="宋体" w:hAnsi="宋体" w:cs="宋体"/>
          <w:b/>
          <w:sz w:val="31"/>
          <w:szCs w:val="31"/>
        </w:rPr>
        <w:t>投标人信用承诺书</w:t>
      </w:r>
    </w:p>
    <w:p w14:paraId="5D41E03F">
      <w:pPr>
        <w:snapToGrid w:val="0"/>
        <w:spacing w:line="550" w:lineRule="exact"/>
        <w:ind w:firstLine="480" w:firstLineChars="200"/>
        <w:rPr>
          <w:rFonts w:hint="eastAsia"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4344C9BF">
      <w:pPr>
        <w:snapToGrid w:val="0"/>
        <w:spacing w:line="550" w:lineRule="exact"/>
        <w:ind w:firstLine="480" w:firstLineChars="200"/>
        <w:rPr>
          <w:rFonts w:hint="eastAsia" w:ascii="宋体" w:hAnsi="宋体" w:cs="宋体"/>
          <w:sz w:val="24"/>
        </w:rPr>
      </w:pPr>
      <w:r>
        <w:rPr>
          <w:rFonts w:hint="eastAsia" w:ascii="宋体" w:hAnsi="宋体" w:cs="宋体"/>
          <w:sz w:val="24"/>
        </w:rPr>
        <w:t>一、遵循公开、公平、公正和诚实信用的原则，依法依规参与本项目招投标活动。</w:t>
      </w:r>
    </w:p>
    <w:p w14:paraId="40FC7DB4">
      <w:pPr>
        <w:snapToGrid w:val="0"/>
        <w:spacing w:line="550" w:lineRule="exact"/>
        <w:ind w:firstLine="480" w:firstLineChars="200"/>
        <w:rPr>
          <w:rFonts w:hint="eastAsia"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316F29A6">
      <w:pPr>
        <w:snapToGrid w:val="0"/>
        <w:spacing w:line="550" w:lineRule="exact"/>
        <w:ind w:firstLine="480" w:firstLineChars="200"/>
        <w:rPr>
          <w:rFonts w:hint="eastAsia"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109D952E">
      <w:pPr>
        <w:snapToGrid w:val="0"/>
        <w:spacing w:line="550" w:lineRule="exact"/>
        <w:ind w:firstLine="480" w:firstLineChars="200"/>
        <w:rPr>
          <w:rFonts w:hint="eastAsia" w:ascii="宋体" w:hAnsi="宋体" w:cs="宋体"/>
          <w:sz w:val="24"/>
        </w:rPr>
      </w:pPr>
      <w:r>
        <w:rPr>
          <w:rFonts w:hint="eastAsia" w:ascii="宋体" w:hAnsi="宋体" w:cs="宋体"/>
          <w:sz w:val="24"/>
        </w:rPr>
        <w:t>四、在参与本项目招投标活动中，投标项目负责人无在建工程；一旦中标，本项目中标项目经理将常驻施工现场，绝不违法分包、转包。</w:t>
      </w:r>
    </w:p>
    <w:p w14:paraId="0870D151">
      <w:pPr>
        <w:snapToGrid w:val="0"/>
        <w:spacing w:line="550" w:lineRule="exact"/>
        <w:ind w:firstLine="480" w:firstLineChars="200"/>
        <w:rPr>
          <w:rFonts w:hint="eastAsia"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6B1ACE77">
      <w:pPr>
        <w:snapToGrid w:val="0"/>
        <w:spacing w:line="550" w:lineRule="exact"/>
        <w:ind w:firstLine="480" w:firstLineChars="200"/>
        <w:rPr>
          <w:rFonts w:hint="eastAsia"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7E6F945A">
      <w:pPr>
        <w:snapToGrid w:val="0"/>
        <w:spacing w:line="550" w:lineRule="exact"/>
        <w:ind w:firstLine="480" w:firstLineChars="200"/>
        <w:rPr>
          <w:rFonts w:hint="eastAsia"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199B3AE8">
      <w:pPr>
        <w:snapToGrid w:val="0"/>
        <w:spacing w:line="550" w:lineRule="exact"/>
        <w:ind w:firstLine="480" w:firstLineChars="200"/>
        <w:rPr>
          <w:rFonts w:hint="eastAsia"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32F93A5">
      <w:pPr>
        <w:snapToGrid w:val="0"/>
        <w:spacing w:line="550" w:lineRule="exact"/>
        <w:ind w:firstLine="480" w:firstLineChars="200"/>
        <w:jc w:val="center"/>
        <w:rPr>
          <w:rFonts w:hint="eastAsia" w:ascii="宋体" w:hAnsi="宋体" w:cs="宋体"/>
          <w:sz w:val="24"/>
        </w:rPr>
      </w:pPr>
      <w:r>
        <w:rPr>
          <w:rFonts w:hint="eastAsia" w:ascii="宋体" w:hAnsi="宋体" w:cs="宋体"/>
          <w:sz w:val="24"/>
        </w:rPr>
        <w:t xml:space="preserve">  投标人（盖章）：              </w:t>
      </w:r>
    </w:p>
    <w:p w14:paraId="03401815">
      <w:pPr>
        <w:ind w:firstLine="4320" w:firstLineChars="1800"/>
        <w:jc w:val="left"/>
        <w:rPr>
          <w:rFonts w:hint="eastAsia" w:ascii="宋体" w:hAnsi="宋体"/>
          <w:sz w:val="24"/>
        </w:rPr>
      </w:pPr>
      <w:r>
        <w:rPr>
          <w:rFonts w:hint="eastAsia" w:ascii="宋体" w:hAnsi="宋体" w:cs="宋体"/>
          <w:sz w:val="24"/>
        </w:rPr>
        <w:t>法定代表人（签字或盖章）：</w:t>
      </w:r>
      <w:bookmarkEnd w:id="4"/>
    </w:p>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222020"/>
    <w:rsid w:val="002376C7"/>
    <w:rsid w:val="002551B0"/>
    <w:rsid w:val="00263620"/>
    <w:rsid w:val="002952F2"/>
    <w:rsid w:val="003510F0"/>
    <w:rsid w:val="00356CB0"/>
    <w:rsid w:val="003B2F95"/>
    <w:rsid w:val="003D4BF9"/>
    <w:rsid w:val="003E1873"/>
    <w:rsid w:val="004731A1"/>
    <w:rsid w:val="00494B8D"/>
    <w:rsid w:val="004C60BA"/>
    <w:rsid w:val="00542990"/>
    <w:rsid w:val="00587A17"/>
    <w:rsid w:val="005A488C"/>
    <w:rsid w:val="005B746A"/>
    <w:rsid w:val="005E47A1"/>
    <w:rsid w:val="006774B9"/>
    <w:rsid w:val="006E5E82"/>
    <w:rsid w:val="00771C6A"/>
    <w:rsid w:val="00785200"/>
    <w:rsid w:val="007B3F66"/>
    <w:rsid w:val="007D5C24"/>
    <w:rsid w:val="00805206"/>
    <w:rsid w:val="00805D78"/>
    <w:rsid w:val="00827B83"/>
    <w:rsid w:val="00843296"/>
    <w:rsid w:val="00847A00"/>
    <w:rsid w:val="00875BDE"/>
    <w:rsid w:val="0089062D"/>
    <w:rsid w:val="008D6BE9"/>
    <w:rsid w:val="0098195D"/>
    <w:rsid w:val="009C5FAC"/>
    <w:rsid w:val="009D00F7"/>
    <w:rsid w:val="00A85B13"/>
    <w:rsid w:val="00A87CFD"/>
    <w:rsid w:val="00B33C33"/>
    <w:rsid w:val="00B449E1"/>
    <w:rsid w:val="00B84C54"/>
    <w:rsid w:val="00B94359"/>
    <w:rsid w:val="00BB2A32"/>
    <w:rsid w:val="00BC59DE"/>
    <w:rsid w:val="00CD49C8"/>
    <w:rsid w:val="00D97D70"/>
    <w:rsid w:val="00DE62D7"/>
    <w:rsid w:val="00E2098D"/>
    <w:rsid w:val="00E213E6"/>
    <w:rsid w:val="00E24F34"/>
    <w:rsid w:val="00E31B13"/>
    <w:rsid w:val="00E8091A"/>
    <w:rsid w:val="00E80C31"/>
    <w:rsid w:val="00E81D06"/>
    <w:rsid w:val="00EA1A66"/>
    <w:rsid w:val="00EA324F"/>
    <w:rsid w:val="00EB4A02"/>
    <w:rsid w:val="00ED7FA3"/>
    <w:rsid w:val="00EE421A"/>
    <w:rsid w:val="00F345DF"/>
    <w:rsid w:val="00F61310"/>
    <w:rsid w:val="00FB0823"/>
    <w:rsid w:val="00FB4978"/>
    <w:rsid w:val="07981B98"/>
    <w:rsid w:val="0B515AB2"/>
    <w:rsid w:val="0B5444FF"/>
    <w:rsid w:val="0C0A7CC2"/>
    <w:rsid w:val="1CAC44F0"/>
    <w:rsid w:val="26D8355D"/>
    <w:rsid w:val="2F5B34AA"/>
    <w:rsid w:val="30AC41F9"/>
    <w:rsid w:val="31780738"/>
    <w:rsid w:val="4426605D"/>
    <w:rsid w:val="50830C7E"/>
    <w:rsid w:val="5F2062C5"/>
    <w:rsid w:val="60F030D7"/>
    <w:rsid w:val="68CF6AD2"/>
    <w:rsid w:val="6AA1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autoRedefine/>
    <w:qFormat/>
    <w:uiPriority w:val="99"/>
    <w:rPr>
      <w:rFonts w:ascii="Cambria" w:hAnsi="Cambria" w:eastAsia="宋体" w:cs="Times New Roman"/>
      <w:b/>
      <w:bCs/>
      <w:sz w:val="32"/>
      <w:szCs w:val="32"/>
    </w:rPr>
  </w:style>
  <w:style w:type="character" w:customStyle="1" w:styleId="10">
    <w:name w:val="正文文本 字符"/>
    <w:basedOn w:val="8"/>
    <w:link w:val="4"/>
    <w:autoRedefine/>
    <w:qFormat/>
    <w:uiPriority w:val="99"/>
    <w:rPr>
      <w:rFonts w:ascii="宋体" w:hAnsi="宋体" w:eastAsia="宋体" w:cs="宋体"/>
      <w:kern w:val="0"/>
      <w:sz w:val="20"/>
      <w:szCs w:val="21"/>
      <w:lang w:val="zh-CN"/>
    </w:rPr>
  </w:style>
  <w:style w:type="character" w:customStyle="1" w:styleId="11">
    <w:name w:val="页眉 字符"/>
    <w:basedOn w:val="8"/>
    <w:link w:val="6"/>
    <w:autoRedefine/>
    <w:qFormat/>
    <w:uiPriority w:val="99"/>
    <w:rPr>
      <w:rFonts w:ascii="Times New Roman" w:hAnsi="Times New Roman" w:eastAsia="宋体" w:cs="Times New Roman"/>
      <w:kern w:val="0"/>
      <w:sz w:val="18"/>
      <w:szCs w:val="20"/>
    </w:rPr>
  </w:style>
  <w:style w:type="paragraph" w:styleId="12">
    <w:name w:val="No Spacing"/>
    <w:basedOn w:val="1"/>
    <w:autoRedefine/>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autoRedefine/>
    <w:semiHidden/>
    <w:qFormat/>
    <w:uiPriority w:val="9"/>
    <w:rPr>
      <w:rFonts w:ascii="Times New Roman" w:hAnsi="Times New Roman" w:eastAsia="宋体" w:cs="Times New Roman"/>
      <w:b/>
      <w:bCs/>
      <w:sz w:val="32"/>
      <w:szCs w:val="32"/>
    </w:rPr>
  </w:style>
  <w:style w:type="character" w:customStyle="1" w:styleId="14">
    <w:name w:val="页脚 字符"/>
    <w:basedOn w:val="8"/>
    <w:link w:val="5"/>
    <w:autoRedefine/>
    <w:qFormat/>
    <w:uiPriority w:val="99"/>
    <w:rPr>
      <w:rFonts w:ascii="Times New Roman" w:hAnsi="Times New Roman" w:eastAsia="宋体" w:cs="Times New Roman"/>
      <w:sz w:val="18"/>
      <w:szCs w:val="18"/>
    </w:rPr>
  </w:style>
  <w:style w:type="paragraph" w:customStyle="1" w:styleId="15">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5054</Words>
  <Characters>5218</Characters>
  <Lines>144</Lines>
  <Paragraphs>148</Paragraphs>
  <TotalTime>24</TotalTime>
  <ScaleCrop>false</ScaleCrop>
  <LinksUpToDate>false</LinksUpToDate>
  <CharactersWithSpaces>5372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2025-07-02T11:04:32Z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