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ADB6A">
      <w:pPr>
        <w:keepNext w:val="0"/>
        <w:keepLines w:val="0"/>
        <w:pageBreakBefore w:val="0"/>
        <w:widowControl/>
        <w:kinsoku/>
        <w:wordWrap/>
        <w:overflowPunct/>
        <w:topLinePunct w:val="0"/>
        <w:autoSpaceDE/>
        <w:autoSpaceDN/>
        <w:bidi w:val="0"/>
        <w:spacing w:line="240" w:lineRule="auto"/>
        <w:jc w:val="center"/>
        <w:textAlignment w:val="auto"/>
        <w:rPr>
          <w:rFonts w:hint="eastAsia" w:ascii="宋体" w:hAnsi="宋体" w:eastAsia="宋体" w:cs="宋体"/>
          <w:b/>
          <w:sz w:val="32"/>
          <w:szCs w:val="32"/>
          <w:lang w:eastAsia="zh-CN"/>
        </w:rPr>
      </w:pPr>
      <w:r>
        <w:rPr>
          <w:rFonts w:hint="eastAsia" w:ascii="宋体" w:hAnsi="宋体" w:eastAsia="宋体" w:cs="宋体"/>
          <w:b/>
          <w:sz w:val="32"/>
          <w:szCs w:val="32"/>
          <w:lang w:eastAsia="zh-CN"/>
        </w:rPr>
        <w:t>魏村街道安家社区卫生服务中心病房改造工程</w:t>
      </w:r>
    </w:p>
    <w:p w14:paraId="5C45B0F0">
      <w:pPr>
        <w:keepNext w:val="0"/>
        <w:keepLines w:val="0"/>
        <w:pageBreakBefore w:val="0"/>
        <w:widowControl/>
        <w:kinsoku/>
        <w:wordWrap/>
        <w:overflowPunct/>
        <w:topLinePunct w:val="0"/>
        <w:autoSpaceDE/>
        <w:autoSpaceDN/>
        <w:bidi w:val="0"/>
        <w:spacing w:line="240" w:lineRule="auto"/>
        <w:jc w:val="center"/>
        <w:textAlignment w:val="auto"/>
        <w:rPr>
          <w:rFonts w:hint="eastAsia" w:ascii="宋体" w:hAnsi="宋体" w:eastAsia="宋体" w:cs="宋体"/>
          <w:b/>
          <w:sz w:val="32"/>
          <w:szCs w:val="32"/>
        </w:rPr>
      </w:pPr>
      <w:r>
        <w:rPr>
          <w:rFonts w:hint="eastAsia" w:ascii="宋体" w:hAnsi="宋体" w:eastAsia="宋体" w:cs="宋体"/>
          <w:b/>
          <w:sz w:val="32"/>
          <w:szCs w:val="32"/>
          <w:lang w:val="en-US" w:eastAsia="zh-CN"/>
        </w:rPr>
        <w:t>控制价</w:t>
      </w:r>
      <w:r>
        <w:rPr>
          <w:rFonts w:hint="eastAsia" w:ascii="宋体" w:hAnsi="宋体" w:eastAsia="宋体" w:cs="宋体"/>
          <w:b/>
          <w:sz w:val="32"/>
          <w:szCs w:val="32"/>
          <w:lang w:eastAsia="zh-CN"/>
        </w:rPr>
        <w:t>编制说明</w:t>
      </w:r>
    </w:p>
    <w:p w14:paraId="3F2B7752">
      <w:pPr>
        <w:keepNext w:val="0"/>
        <w:keepLines w:val="0"/>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b/>
          <w:sz w:val="21"/>
          <w:szCs w:val="21"/>
        </w:rPr>
        <w:t>一、编制依据：</w:t>
      </w:r>
    </w:p>
    <w:p w14:paraId="1E8A6AE7">
      <w:pPr>
        <w:keepNext w:val="0"/>
        <w:keepLines w:val="0"/>
        <w:pageBreakBefore w:val="0"/>
        <w:widowControl/>
        <w:numPr>
          <w:ilvl w:val="0"/>
          <w:numId w:val="1"/>
        </w:numPr>
        <w:tabs>
          <w:tab w:val="left" w:pos="840"/>
        </w:tabs>
        <w:kinsoku/>
        <w:wordWrap/>
        <w:overflowPunct/>
        <w:topLinePunct w:val="0"/>
        <w:autoSpaceDE/>
        <w:autoSpaceDN/>
        <w:bidi w:val="0"/>
        <w:spacing w:line="360" w:lineRule="auto"/>
        <w:ind w:left="840" w:hanging="367"/>
        <w:jc w:val="both"/>
        <w:textAlignment w:val="auto"/>
        <w:rPr>
          <w:rFonts w:hint="eastAsia" w:ascii="宋体" w:hAnsi="宋体" w:eastAsia="宋体" w:cs="宋体"/>
          <w:sz w:val="21"/>
          <w:szCs w:val="21"/>
        </w:rPr>
      </w:pPr>
      <w:r>
        <w:rPr>
          <w:rFonts w:hint="eastAsia" w:ascii="宋体" w:hAnsi="宋体" w:eastAsia="宋体" w:cs="宋体"/>
          <w:sz w:val="21"/>
          <w:szCs w:val="21"/>
        </w:rPr>
        <w:t>《招标文件（工程量清单）》；</w:t>
      </w:r>
    </w:p>
    <w:p w14:paraId="737B5FCE">
      <w:pPr>
        <w:keepNext w:val="0"/>
        <w:keepLines w:val="0"/>
        <w:pageBreakBefore w:val="0"/>
        <w:widowControl/>
        <w:numPr>
          <w:ilvl w:val="0"/>
          <w:numId w:val="1"/>
        </w:numPr>
        <w:tabs>
          <w:tab w:val="left" w:pos="840"/>
        </w:tabs>
        <w:kinsoku/>
        <w:wordWrap/>
        <w:overflowPunct/>
        <w:topLinePunct w:val="0"/>
        <w:autoSpaceDE/>
        <w:autoSpaceDN/>
        <w:bidi w:val="0"/>
        <w:spacing w:line="360" w:lineRule="auto"/>
        <w:ind w:left="840" w:hanging="367"/>
        <w:jc w:val="both"/>
        <w:textAlignment w:val="auto"/>
        <w:rPr>
          <w:rFonts w:hint="eastAsia" w:ascii="宋体" w:hAnsi="宋体" w:eastAsia="宋体" w:cs="宋体"/>
          <w:sz w:val="21"/>
          <w:szCs w:val="21"/>
        </w:rPr>
      </w:pPr>
      <w:r>
        <w:rPr>
          <w:rFonts w:hint="eastAsia" w:ascii="宋体" w:hAnsi="宋体" w:eastAsia="宋体" w:cs="宋体"/>
          <w:sz w:val="21"/>
          <w:szCs w:val="21"/>
        </w:rPr>
        <w:t>《建设工程工程量清单计价规范》GB50500-2013；</w:t>
      </w:r>
    </w:p>
    <w:p w14:paraId="5F42B178">
      <w:pPr>
        <w:keepNext w:val="0"/>
        <w:keepLines w:val="0"/>
        <w:pageBreakBefore w:val="0"/>
        <w:widowControl/>
        <w:numPr>
          <w:ilvl w:val="0"/>
          <w:numId w:val="1"/>
        </w:numPr>
        <w:tabs>
          <w:tab w:val="left" w:pos="840"/>
        </w:tabs>
        <w:kinsoku/>
        <w:wordWrap/>
        <w:overflowPunct/>
        <w:topLinePunct w:val="0"/>
        <w:autoSpaceDE/>
        <w:autoSpaceDN/>
        <w:bidi w:val="0"/>
        <w:spacing w:line="360" w:lineRule="auto"/>
        <w:ind w:left="840" w:hanging="367"/>
        <w:jc w:val="both"/>
        <w:textAlignment w:val="auto"/>
        <w:rPr>
          <w:rFonts w:hint="eastAsia" w:ascii="宋体" w:hAnsi="宋体" w:eastAsia="宋体" w:cs="宋体"/>
          <w:sz w:val="21"/>
          <w:szCs w:val="21"/>
        </w:rPr>
      </w:pPr>
      <w:r>
        <w:rPr>
          <w:rFonts w:hint="eastAsia" w:ascii="宋体" w:hAnsi="宋体" w:eastAsia="宋体" w:cs="宋体"/>
          <w:sz w:val="21"/>
          <w:szCs w:val="21"/>
        </w:rPr>
        <w:t>《房屋建筑与装饰工程工程量计算规范》（GB50854-2013）；</w:t>
      </w:r>
    </w:p>
    <w:p w14:paraId="0C1FC2D9">
      <w:pPr>
        <w:keepNext w:val="0"/>
        <w:keepLines w:val="0"/>
        <w:pageBreakBefore w:val="0"/>
        <w:widowControl/>
        <w:numPr>
          <w:ilvl w:val="0"/>
          <w:numId w:val="1"/>
        </w:numPr>
        <w:tabs>
          <w:tab w:val="left" w:pos="840"/>
        </w:tabs>
        <w:kinsoku/>
        <w:wordWrap/>
        <w:overflowPunct/>
        <w:topLinePunct w:val="0"/>
        <w:autoSpaceDE/>
        <w:autoSpaceDN/>
        <w:bidi w:val="0"/>
        <w:spacing w:line="360" w:lineRule="auto"/>
        <w:ind w:left="840" w:hanging="367"/>
        <w:jc w:val="both"/>
        <w:textAlignment w:val="auto"/>
        <w:rPr>
          <w:rFonts w:hint="eastAsia" w:ascii="宋体" w:hAnsi="宋体" w:eastAsia="宋体" w:cs="宋体"/>
          <w:sz w:val="21"/>
          <w:szCs w:val="21"/>
        </w:rPr>
      </w:pPr>
      <w:r>
        <w:rPr>
          <w:rFonts w:hint="eastAsia" w:ascii="宋体" w:hAnsi="宋体" w:eastAsia="宋体" w:cs="宋体"/>
          <w:sz w:val="21"/>
          <w:szCs w:val="21"/>
        </w:rPr>
        <w:t>《江苏省建筑与装饰工程计价定额》（2014版）及配套的《江苏省建设工程费用定额》（2014版）营改增后调整内容、常建[2014]279号文、常建[2016]94号文、苏建函价〔2019〕178号文、常建[2019]1号文等</w:t>
      </w:r>
      <w:r>
        <w:rPr>
          <w:rFonts w:hint="eastAsia" w:ascii="宋体" w:hAnsi="宋体" w:eastAsia="宋体" w:cs="宋体"/>
          <w:sz w:val="21"/>
          <w:szCs w:val="21"/>
          <w:lang w:eastAsia="zh-CN"/>
        </w:rPr>
        <w:t>。</w:t>
      </w:r>
    </w:p>
    <w:p w14:paraId="38052A00">
      <w:pPr>
        <w:keepNext w:val="0"/>
        <w:keepLines w:val="0"/>
        <w:pageBreakBefore w:val="0"/>
        <w:widowControl/>
        <w:numPr>
          <w:ilvl w:val="0"/>
          <w:numId w:val="1"/>
        </w:numPr>
        <w:tabs>
          <w:tab w:val="left" w:pos="840"/>
        </w:tabs>
        <w:kinsoku/>
        <w:wordWrap/>
        <w:overflowPunct/>
        <w:topLinePunct w:val="0"/>
        <w:autoSpaceDE/>
        <w:autoSpaceDN/>
        <w:bidi w:val="0"/>
        <w:spacing w:line="360" w:lineRule="auto"/>
        <w:ind w:left="840" w:hanging="367"/>
        <w:jc w:val="both"/>
        <w:textAlignment w:val="auto"/>
        <w:rPr>
          <w:rFonts w:hint="eastAsia" w:ascii="宋体" w:hAnsi="宋体" w:eastAsia="宋体" w:cs="宋体"/>
          <w:sz w:val="21"/>
          <w:szCs w:val="21"/>
        </w:rPr>
      </w:pPr>
      <w:r>
        <w:rPr>
          <w:rFonts w:hint="eastAsia" w:ascii="宋体" w:hAnsi="宋体" w:eastAsia="宋体" w:cs="宋体"/>
          <w:sz w:val="21"/>
          <w:szCs w:val="21"/>
        </w:rPr>
        <w:t>委托方提供的设计图纸（含设计变更、设计回复等）；</w:t>
      </w:r>
    </w:p>
    <w:p w14:paraId="0E507B73">
      <w:pPr>
        <w:keepNext w:val="0"/>
        <w:keepLines w:val="0"/>
        <w:pageBreakBefore w:val="0"/>
        <w:widowControl/>
        <w:numPr>
          <w:ilvl w:val="0"/>
          <w:numId w:val="1"/>
        </w:numPr>
        <w:tabs>
          <w:tab w:val="left" w:pos="840"/>
        </w:tabs>
        <w:kinsoku/>
        <w:wordWrap/>
        <w:overflowPunct/>
        <w:topLinePunct w:val="0"/>
        <w:autoSpaceDE/>
        <w:autoSpaceDN/>
        <w:bidi w:val="0"/>
        <w:spacing w:line="360" w:lineRule="auto"/>
        <w:ind w:left="840" w:hanging="367"/>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材料价格：主材按市场询价；</w:t>
      </w:r>
    </w:p>
    <w:p w14:paraId="367F413D">
      <w:pPr>
        <w:keepNext w:val="0"/>
        <w:keepLines w:val="0"/>
        <w:pageBreakBefore w:val="0"/>
        <w:widowControl/>
        <w:numPr>
          <w:ilvl w:val="0"/>
          <w:numId w:val="2"/>
        </w:numPr>
        <w:kinsoku/>
        <w:wordWrap/>
        <w:overflowPunct/>
        <w:topLinePunct w:val="0"/>
        <w:autoSpaceDE/>
        <w:autoSpaceDN/>
        <w:bidi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编制</w:t>
      </w:r>
      <w:r>
        <w:rPr>
          <w:rFonts w:hint="eastAsia" w:ascii="宋体" w:hAnsi="宋体" w:eastAsia="宋体" w:cs="宋体"/>
          <w:b/>
          <w:sz w:val="21"/>
          <w:szCs w:val="21"/>
          <w:highlight w:val="none"/>
        </w:rPr>
        <w:t>说明：</w:t>
      </w:r>
    </w:p>
    <w:p w14:paraId="77713480">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本清单所列工程数量是根据图纸或现行情况暂定的，仅作为投标的共同基础，不能作为最终结算与支付的依据。</w:t>
      </w:r>
    </w:p>
    <w:p w14:paraId="0CB2D85D">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jc w:val="both"/>
        <w:textAlignment w:val="auto"/>
        <w:rPr>
          <w:rFonts w:hint="eastAsia"/>
          <w:sz w:val="21"/>
          <w:szCs w:val="21"/>
          <w:highlight w:val="none"/>
          <w:lang w:val="en-US" w:eastAsia="zh-CN"/>
        </w:rPr>
      </w:pPr>
      <w:r>
        <w:rPr>
          <w:rFonts w:hint="eastAsia" w:ascii="宋体" w:hAnsi="宋体" w:eastAsia="宋体" w:cs="宋体"/>
          <w:sz w:val="21"/>
          <w:szCs w:val="21"/>
          <w:highlight w:val="none"/>
          <w:lang w:val="en-US" w:eastAsia="zh-CN"/>
        </w:rPr>
        <w:t>招标文件、设计图纸、有关技术文件、施工规范互为补充，均作为编制投标报价的依据。工程</w:t>
      </w:r>
      <w:r>
        <w:rPr>
          <w:rFonts w:hint="eastAsia"/>
          <w:sz w:val="21"/>
          <w:szCs w:val="21"/>
          <w:highlight w:val="none"/>
          <w:lang w:val="en-US" w:eastAsia="zh-CN"/>
        </w:rPr>
        <w:t>量清单未描述完整之处，投标人需结合设计文件及施工规范等资料，综合测算进行投标报价，如直接依据清单不结合图纸和规范，进行报价造成的漏项不核增。清单描述的内容，相关定额子目中未单列的，报价综合考虑在主材报价中，不得以此作为漏项理由，此费用不另计。</w:t>
      </w:r>
    </w:p>
    <w:p w14:paraId="7317D0C8">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jc w:val="both"/>
        <w:textAlignment w:val="auto"/>
        <w:rPr>
          <w:rFonts w:hint="default" w:ascii="宋体" w:hAnsi="宋体" w:eastAsia="宋体" w:cs="宋体"/>
          <w:sz w:val="21"/>
          <w:szCs w:val="21"/>
          <w:lang w:val="en-US" w:eastAsia="zh-CN"/>
        </w:rPr>
      </w:pPr>
      <w:r>
        <w:rPr>
          <w:rFonts w:hint="eastAsia"/>
          <w:sz w:val="21"/>
          <w:szCs w:val="21"/>
          <w:lang w:val="en-US" w:eastAsia="zh-CN"/>
        </w:rPr>
        <w:t>地面砂浆找平厚度标底内已综合考虑，施工时按现场实际标高调整厚度时综合单价不调整；</w:t>
      </w:r>
    </w:p>
    <w:p w14:paraId="4989ADA9">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所有轻钢龙骨及钢龙骨均按热镀锌考虑</w:t>
      </w:r>
      <w:r>
        <w:rPr>
          <w:rFonts w:hint="eastAsia" w:ascii="宋体" w:hAnsi="宋体" w:eastAsia="宋体" w:cs="宋体"/>
          <w:sz w:val="21"/>
          <w:szCs w:val="21"/>
          <w:lang w:eastAsia="zh-CN"/>
        </w:rPr>
        <w:t>；</w:t>
      </w:r>
    </w:p>
    <w:p w14:paraId="729EAE5F">
      <w:pPr>
        <w:keepNext w:val="0"/>
        <w:keepLines w:val="0"/>
        <w:pageBreakBefore w:val="0"/>
        <w:widowControl/>
        <w:numPr>
          <w:ilvl w:val="0"/>
          <w:numId w:val="3"/>
        </w:numPr>
        <w:kinsoku/>
        <w:wordWrap/>
        <w:overflowPunct/>
        <w:topLinePunct w:val="0"/>
        <w:autoSpaceDE/>
        <w:autoSpaceDN/>
        <w:bidi w:val="0"/>
        <w:spacing w:line="360" w:lineRule="auto"/>
        <w:ind w:left="0" w:leftChars="0" w:right="20" w:firstLine="400" w:firstLineChars="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本工程所用天然石材均应进行六面防渗、防腐处理。石材六面防护、切割、磨边、倒角、清角、抽槽、开孔、粘结、背贴钢筋、背贴加强石、背网、见光、亚光等加工费不单独计量，均应含在相应的投标综合单价内</w:t>
      </w:r>
      <w:r>
        <w:rPr>
          <w:rFonts w:hint="eastAsia" w:ascii="宋体" w:hAnsi="宋体" w:eastAsia="宋体" w:cs="宋体"/>
          <w:sz w:val="21"/>
          <w:szCs w:val="21"/>
          <w:lang w:eastAsia="zh-CN"/>
        </w:rPr>
        <w:t>；</w:t>
      </w:r>
    </w:p>
    <w:p w14:paraId="3ACDD528">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jc w:val="both"/>
        <w:textAlignment w:val="auto"/>
        <w:rPr>
          <w:rFonts w:hint="eastAsia" w:ascii="宋体" w:hAnsi="宋体" w:eastAsia="宋体" w:cs="宋体"/>
          <w:sz w:val="18"/>
          <w:szCs w:val="18"/>
          <w:lang w:eastAsia="zh-CN"/>
        </w:rPr>
      </w:pPr>
      <w:r>
        <w:rPr>
          <w:rFonts w:hint="eastAsia" w:ascii="宋体" w:hAnsi="宋体" w:eastAsia="宋体" w:cs="宋体"/>
          <w:sz w:val="21"/>
          <w:szCs w:val="21"/>
        </w:rPr>
        <w:t>墙地砖损耗（含设计排版、采购、施工等所有损耗），投标人应在综合单价中充分考虑，结算时投标综合单价不调整</w:t>
      </w:r>
      <w:r>
        <w:rPr>
          <w:rFonts w:hint="eastAsia" w:ascii="宋体" w:hAnsi="宋体" w:eastAsia="宋体" w:cs="宋体"/>
          <w:sz w:val="21"/>
          <w:szCs w:val="21"/>
          <w:lang w:eastAsia="zh-CN"/>
        </w:rPr>
        <w:t>；</w:t>
      </w:r>
    </w:p>
    <w:p w14:paraId="2116DB56">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烟感、喷淋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水龙头</w:t>
      </w:r>
      <w:r>
        <w:rPr>
          <w:rFonts w:hint="eastAsia" w:ascii="宋体" w:hAnsi="宋体" w:eastAsia="宋体" w:cs="宋体"/>
          <w:sz w:val="21"/>
          <w:szCs w:val="21"/>
        </w:rPr>
        <w:t>开孔费均应含在相应的投标综合单价内，结算时不单独计量</w:t>
      </w:r>
      <w:r>
        <w:rPr>
          <w:rFonts w:hint="eastAsia" w:ascii="宋体" w:hAnsi="宋体" w:eastAsia="宋体" w:cs="宋体"/>
          <w:sz w:val="21"/>
          <w:szCs w:val="21"/>
          <w:lang w:eastAsia="zh-CN"/>
        </w:rPr>
        <w:t>；</w:t>
      </w:r>
    </w:p>
    <w:p w14:paraId="34B3669E">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highlight w:val="none"/>
        </w:rPr>
        <w:t>最终界面以甲方现场指令为准</w:t>
      </w:r>
      <w:r>
        <w:rPr>
          <w:rFonts w:hint="eastAsia" w:ascii="宋体" w:hAnsi="宋体" w:eastAsia="宋体" w:cs="宋体"/>
          <w:color w:val="auto"/>
          <w:sz w:val="21"/>
          <w:szCs w:val="21"/>
          <w:highlight w:val="none"/>
          <w:lang w:eastAsia="zh-CN"/>
        </w:rPr>
        <w:t>；</w:t>
      </w:r>
    </w:p>
    <w:p w14:paraId="6FF5534E">
      <w:pPr>
        <w:keepNext w:val="0"/>
        <w:keepLines w:val="0"/>
        <w:pageBreakBefore w:val="0"/>
        <w:widowControl/>
        <w:numPr>
          <w:ilvl w:val="0"/>
          <w:numId w:val="3"/>
        </w:numPr>
        <w:kinsoku/>
        <w:wordWrap/>
        <w:overflowPunct/>
        <w:topLinePunct w:val="0"/>
        <w:autoSpaceDE/>
        <w:autoSpaceDN/>
        <w:bidi w:val="0"/>
        <w:spacing w:line="360" w:lineRule="auto"/>
        <w:ind w:left="0" w:leftChars="0" w:right="14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所有开孔、开洞或开槽，施工前均需现场确认，不得野蛮施工，不得破坏原有主体结构，涉及建筑结构影响的，需设计单位确认</w:t>
      </w:r>
      <w:r>
        <w:rPr>
          <w:rFonts w:hint="eastAsia" w:ascii="宋体" w:hAnsi="宋体" w:eastAsia="宋体" w:cs="宋体"/>
          <w:sz w:val="21"/>
          <w:szCs w:val="21"/>
          <w:lang w:eastAsia="zh-CN"/>
        </w:rPr>
        <w:t>；</w:t>
      </w:r>
    </w:p>
    <w:p w14:paraId="1161F4C0">
      <w:pPr>
        <w:keepNext w:val="0"/>
        <w:keepLines w:val="0"/>
        <w:pageBreakBefore w:val="0"/>
        <w:widowControl/>
        <w:numPr>
          <w:ilvl w:val="0"/>
          <w:numId w:val="3"/>
        </w:numPr>
        <w:kinsoku/>
        <w:wordWrap/>
        <w:overflowPunct/>
        <w:topLinePunct w:val="0"/>
        <w:autoSpaceDE/>
        <w:autoSpaceDN/>
        <w:bidi w:val="0"/>
        <w:spacing w:line="360" w:lineRule="auto"/>
        <w:ind w:left="0" w:leftChars="0" w:right="14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铝板，铝格栅，铝方通，表面颜色和纹理在施工中由业主确认，投标报价时应充分考虑颜色更换导致的价格风险</w:t>
      </w:r>
      <w:r>
        <w:rPr>
          <w:rFonts w:hint="eastAsia" w:ascii="宋体" w:hAnsi="宋体" w:eastAsia="宋体" w:cs="宋体"/>
          <w:sz w:val="21"/>
          <w:szCs w:val="21"/>
          <w:lang w:eastAsia="zh-CN"/>
        </w:rPr>
        <w:t>，</w:t>
      </w:r>
      <w:r>
        <w:rPr>
          <w:rFonts w:hint="eastAsia" w:ascii="宋体" w:hAnsi="宋体" w:eastAsia="宋体" w:cs="宋体"/>
          <w:sz w:val="21"/>
          <w:szCs w:val="21"/>
        </w:rPr>
        <w:t>结算时材料表面颜色和纹理更改，投标价格不调整</w:t>
      </w:r>
      <w:r>
        <w:rPr>
          <w:rFonts w:hint="eastAsia" w:ascii="宋体" w:hAnsi="宋体" w:eastAsia="宋体" w:cs="宋体"/>
          <w:sz w:val="21"/>
          <w:szCs w:val="21"/>
          <w:lang w:eastAsia="zh-CN"/>
        </w:rPr>
        <w:t>；</w:t>
      </w:r>
    </w:p>
    <w:p w14:paraId="06FECC0E">
      <w:pPr>
        <w:keepNext w:val="0"/>
        <w:keepLines w:val="0"/>
        <w:pageBreakBefore w:val="0"/>
        <w:widowControl/>
        <w:numPr>
          <w:ilvl w:val="0"/>
          <w:numId w:val="3"/>
        </w:numPr>
        <w:kinsoku/>
        <w:wordWrap/>
        <w:overflowPunct/>
        <w:topLinePunct w:val="0"/>
        <w:autoSpaceDE/>
        <w:autoSpaceDN/>
        <w:bidi w:val="0"/>
        <w:spacing w:line="360" w:lineRule="auto"/>
        <w:ind w:left="0" w:leftChars="0" w:right="14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饰面颜色在施工中由业主确认，投标报价时应充分考虑颜色更换导致的价格风险。结算时饰面板颜色更改，投标价格不调整</w:t>
      </w:r>
      <w:r>
        <w:rPr>
          <w:rFonts w:hint="eastAsia" w:ascii="宋体" w:hAnsi="宋体" w:eastAsia="宋体" w:cs="宋体"/>
          <w:sz w:val="21"/>
          <w:szCs w:val="21"/>
          <w:lang w:eastAsia="zh-CN"/>
        </w:rPr>
        <w:t>；</w:t>
      </w:r>
    </w:p>
    <w:p w14:paraId="2B5C39B7">
      <w:pPr>
        <w:keepNext w:val="0"/>
        <w:keepLines w:val="0"/>
        <w:pageBreakBefore w:val="0"/>
        <w:widowControl/>
        <w:numPr>
          <w:ilvl w:val="0"/>
          <w:numId w:val="3"/>
        </w:numPr>
        <w:kinsoku/>
        <w:wordWrap/>
        <w:overflowPunct/>
        <w:topLinePunct w:val="0"/>
        <w:autoSpaceDE/>
        <w:autoSpaceDN/>
        <w:bidi w:val="0"/>
        <w:spacing w:line="360" w:lineRule="auto"/>
        <w:ind w:left="0" w:leftChars="0" w:right="14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涂料颜色在施工中由业主确认，投标报价时应充分考虑颜色更换导致的价格风险。结算时涂料颜色更改，投标价格不调整</w:t>
      </w:r>
      <w:r>
        <w:rPr>
          <w:rFonts w:hint="eastAsia" w:ascii="宋体" w:hAnsi="宋体" w:eastAsia="宋体" w:cs="宋体"/>
          <w:sz w:val="21"/>
          <w:szCs w:val="21"/>
          <w:lang w:eastAsia="zh-CN"/>
        </w:rPr>
        <w:t>；</w:t>
      </w:r>
    </w:p>
    <w:p w14:paraId="2719746D">
      <w:pPr>
        <w:keepNext w:val="0"/>
        <w:keepLines w:val="0"/>
        <w:pageBreakBefore w:val="0"/>
        <w:widowControl/>
        <w:numPr>
          <w:ilvl w:val="0"/>
          <w:numId w:val="3"/>
        </w:numPr>
        <w:kinsoku/>
        <w:wordWrap/>
        <w:overflowPunct/>
        <w:topLinePunct w:val="0"/>
        <w:autoSpaceDE/>
        <w:autoSpaceDN/>
        <w:bidi w:val="0"/>
        <w:spacing w:line="360" w:lineRule="auto"/>
        <w:ind w:left="0" w:leftChars="0" w:right="14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成品木饰面、木门、木线条等木制品油漆均应在厂内完成，费用应含在相应投标综合单价内</w:t>
      </w:r>
      <w:r>
        <w:rPr>
          <w:rFonts w:hint="eastAsia" w:ascii="宋体" w:hAnsi="宋体" w:eastAsia="宋体" w:cs="宋体"/>
          <w:sz w:val="21"/>
          <w:szCs w:val="21"/>
          <w:lang w:eastAsia="zh-CN"/>
        </w:rPr>
        <w:t>；</w:t>
      </w:r>
    </w:p>
    <w:p w14:paraId="6633EF21">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墙地砖颜色在施工中由业主确认，投标报价时应充分考虑颜色更换导致的价格风险。结算时墙地砖颜色更改，投标价格不调整</w:t>
      </w:r>
      <w:r>
        <w:rPr>
          <w:rFonts w:hint="eastAsia" w:ascii="宋体" w:hAnsi="宋体" w:eastAsia="宋体" w:cs="宋体"/>
          <w:sz w:val="21"/>
          <w:szCs w:val="21"/>
          <w:lang w:eastAsia="zh-CN"/>
        </w:rPr>
        <w:t>；</w:t>
      </w:r>
    </w:p>
    <w:p w14:paraId="44B6429C">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地砖走边均由地面相应规格的地砖经水刀切割加工而成，水刀切割、开孔等加工费，投标人应计入</w:t>
      </w:r>
      <w:r>
        <w:rPr>
          <w:rFonts w:hint="eastAsia" w:ascii="宋体" w:hAnsi="宋体" w:eastAsia="宋体" w:cs="宋体"/>
          <w:sz w:val="21"/>
          <w:szCs w:val="21"/>
          <w:lang w:val="en-US" w:eastAsia="zh-CN"/>
        </w:rPr>
        <w:t>综合单价中</w:t>
      </w:r>
      <w:r>
        <w:rPr>
          <w:rFonts w:hint="eastAsia" w:ascii="宋体" w:hAnsi="宋体" w:eastAsia="宋体" w:cs="宋体"/>
          <w:sz w:val="21"/>
          <w:szCs w:val="21"/>
          <w:lang w:eastAsia="zh-CN"/>
        </w:rPr>
        <w:t>，</w:t>
      </w:r>
      <w:r>
        <w:rPr>
          <w:rFonts w:hint="eastAsia" w:ascii="宋体" w:hAnsi="宋体" w:eastAsia="宋体" w:cs="宋体"/>
          <w:sz w:val="21"/>
          <w:szCs w:val="21"/>
        </w:rPr>
        <w:t>结算时该费用不作调整</w:t>
      </w:r>
      <w:r>
        <w:rPr>
          <w:rFonts w:hint="eastAsia" w:ascii="宋体" w:hAnsi="宋体" w:eastAsia="宋体" w:cs="宋体"/>
          <w:sz w:val="21"/>
          <w:szCs w:val="21"/>
          <w:lang w:eastAsia="zh-CN"/>
        </w:rPr>
        <w:t>；</w:t>
      </w:r>
    </w:p>
    <w:p w14:paraId="11973EF1">
      <w:pPr>
        <w:keepNext w:val="0"/>
        <w:keepLines w:val="0"/>
        <w:pageBreakBefore w:val="0"/>
        <w:widowControl/>
        <w:numPr>
          <w:ilvl w:val="0"/>
          <w:numId w:val="3"/>
        </w:numPr>
        <w:kinsoku/>
        <w:wordWrap/>
        <w:overflowPunct/>
        <w:topLinePunct w:val="0"/>
        <w:autoSpaceDE/>
        <w:autoSpaceDN/>
        <w:bidi w:val="0"/>
        <w:spacing w:line="360" w:lineRule="auto"/>
        <w:ind w:left="0" w:leftChars="0" w:right="140" w:firstLine="40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现场所有木饰面，不锈钢饰面，玻璃，墙地砖等所有边角施工完成后为满足观感质量而打的美容胶以及细部收刹做法，投标单位自行考虑费用，结算不再另计</w:t>
      </w:r>
      <w:r>
        <w:rPr>
          <w:rFonts w:hint="eastAsia" w:ascii="宋体" w:hAnsi="宋体" w:eastAsia="宋体" w:cs="宋体"/>
          <w:sz w:val="21"/>
          <w:szCs w:val="21"/>
          <w:lang w:eastAsia="zh-CN"/>
        </w:rPr>
        <w:t>；</w:t>
      </w:r>
    </w:p>
    <w:p w14:paraId="7B7E5F2C">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本工程除素水泥浆、干硬性水泥砂浆以外所用砂浆均为预拌商品砂浆（无论清单项目特征是否注明砂浆拌和方式），投标人应按此要求报价，并含在相应的投标综合单价内，</w:t>
      </w:r>
      <w:r>
        <w:rPr>
          <w:rFonts w:hint="eastAsia" w:ascii="宋体" w:hAnsi="宋体" w:eastAsia="宋体" w:cs="宋体"/>
          <w:color w:val="auto"/>
          <w:sz w:val="21"/>
          <w:szCs w:val="21"/>
          <w:lang w:val="en-US" w:eastAsia="zh-CN"/>
        </w:rPr>
        <w:t>结算时不再进行调整；</w:t>
      </w:r>
    </w:p>
    <w:p w14:paraId="1068708D">
      <w:pPr>
        <w:keepNext w:val="0"/>
        <w:keepLines w:val="0"/>
        <w:pageBreakBefore w:val="0"/>
        <w:widowControl/>
        <w:numPr>
          <w:ilvl w:val="0"/>
          <w:numId w:val="3"/>
        </w:numPr>
        <w:kinsoku/>
        <w:wordWrap/>
        <w:overflowPunct/>
        <w:topLinePunct w:val="0"/>
        <w:autoSpaceDE/>
        <w:autoSpaceDN/>
        <w:bidi w:val="0"/>
        <w:spacing w:line="360" w:lineRule="auto"/>
        <w:ind w:left="0" w:leftChars="0" w:firstLine="40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拆除工程按项包干，投标单位自行探勘现场后报价，投标报价中需包含保护性拆除</w:t>
      </w:r>
      <w:r>
        <w:rPr>
          <w:rFonts w:hint="eastAsia" w:ascii="宋体" w:hAnsi="宋体" w:eastAsia="宋体" w:cs="宋体"/>
          <w:sz w:val="21"/>
          <w:szCs w:val="21"/>
          <w:lang w:val="en-US" w:eastAsia="zh-CN"/>
        </w:rPr>
        <w:t>并堆放至甲方指定地点的费用，具体拆除内容由甲方现场确认为准。</w:t>
      </w:r>
    </w:p>
    <w:p w14:paraId="18AB2584">
      <w:pPr>
        <w:numPr>
          <w:ilvl w:val="0"/>
          <w:numId w:val="3"/>
        </w:numPr>
        <w:spacing w:line="360" w:lineRule="auto"/>
        <w:ind w:left="0" w:leftChars="0" w:firstLine="400" w:firstLineChars="0"/>
        <w:rPr>
          <w:rFonts w:hint="eastAsia" w:ascii="宋体" w:hAnsi="宋体" w:eastAsia="宋体" w:cs="宋体"/>
          <w:sz w:val="21"/>
          <w:szCs w:val="21"/>
        </w:rPr>
      </w:pPr>
      <w:r>
        <w:rPr>
          <w:rFonts w:hint="eastAsia" w:ascii="宋体" w:hAnsi="宋体" w:eastAsia="宋体" w:cs="宋体"/>
          <w:sz w:val="21"/>
          <w:szCs w:val="21"/>
        </w:rPr>
        <w:t>所有涉及二次搬运费用已综合考虑在综合单价中，投标单位需充分考虑风险后报价，结算不另增加费用。</w:t>
      </w:r>
    </w:p>
    <w:p w14:paraId="47030F69">
      <w:pPr>
        <w:numPr>
          <w:ilvl w:val="0"/>
          <w:numId w:val="3"/>
        </w:numPr>
        <w:spacing w:line="360" w:lineRule="auto"/>
        <w:ind w:left="0" w:leftChars="0" w:firstLine="400" w:firstLineChars="0"/>
        <w:rPr>
          <w:rFonts w:hint="eastAsia" w:ascii="宋体" w:hAnsi="宋体" w:eastAsia="宋体" w:cs="宋体"/>
          <w:sz w:val="21"/>
          <w:szCs w:val="21"/>
        </w:rPr>
      </w:pPr>
      <w:r>
        <w:rPr>
          <w:rFonts w:hint="eastAsia" w:ascii="宋体" w:hAnsi="宋体" w:eastAsia="宋体" w:cs="宋体"/>
          <w:sz w:val="21"/>
          <w:szCs w:val="21"/>
        </w:rPr>
        <w:t>所有以“项”为单位的分项工程均按总价承包，结算时不调整。</w:t>
      </w:r>
    </w:p>
    <w:p w14:paraId="48BB84C8">
      <w:pPr>
        <w:pStyle w:val="2"/>
        <w:rPr>
          <w:rFonts w:hint="eastAsia"/>
          <w:lang w:val="en-US" w:eastAsia="zh-CN"/>
        </w:rPr>
      </w:pPr>
    </w:p>
    <w:p w14:paraId="19BF3E3A">
      <w:pPr>
        <w:pStyle w:val="3"/>
        <w:rPr>
          <w:rFonts w:hint="eastAsia"/>
          <w:lang w:val="en-US" w:eastAsia="zh-CN"/>
        </w:rPr>
      </w:pPr>
    </w:p>
    <w:p w14:paraId="2639D3AC">
      <w:pPr>
        <w:pStyle w:val="3"/>
        <w:rPr>
          <w:rFonts w:hint="eastAsia"/>
          <w:lang w:val="en-US" w:eastAsia="zh-CN"/>
        </w:rPr>
      </w:pPr>
    </w:p>
    <w:p w14:paraId="635B2421">
      <w:pPr>
        <w:pStyle w:val="3"/>
        <w:rPr>
          <w:rFonts w:hint="eastAsia"/>
          <w:lang w:val="en-US" w:eastAsia="zh-CN"/>
        </w:rPr>
      </w:pPr>
    </w:p>
    <w:p w14:paraId="20CA9545">
      <w:pPr>
        <w:rPr>
          <w:rFonts w:hint="default" w:ascii="宋体" w:hAnsi="Times New Roman" w:eastAsia="宋体" w:cs="Times New Roman"/>
          <w:b/>
          <w:bCs w:val="0"/>
          <w:color w:val="000000"/>
          <w:kern w:val="0"/>
          <w:sz w:val="24"/>
          <w:szCs w:val="24"/>
          <w:shd w:val="clear" w:color="auto" w:fill="FFFFFF"/>
          <w:lang w:val="en-US" w:eastAsia="zh-CN" w:bidi="ar-SA"/>
        </w:rPr>
      </w:pPr>
      <w:r>
        <w:rPr>
          <w:rFonts w:hint="eastAsia" w:ascii="宋体" w:hAnsi="宋体" w:eastAsia="宋体" w:cs="宋体"/>
          <w:b/>
          <w:sz w:val="21"/>
          <w:szCs w:val="21"/>
          <w:lang w:val="en-US" w:eastAsia="zh-CN"/>
        </w:rPr>
        <w:t>五</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材料品牌推荐表</w:t>
      </w:r>
    </w:p>
    <w:p w14:paraId="5A96CB46">
      <w:pPr>
        <w:numPr>
          <w:ilvl w:val="0"/>
          <w:numId w:val="0"/>
        </w:numPr>
        <w:spacing w:line="360" w:lineRule="auto"/>
        <w:ind w:left="0" w:leftChars="0" w:firstLine="399" w:firstLineChars="190"/>
        <w:rPr>
          <w:rFonts w:hint="eastAsia" w:ascii="宋体" w:hAnsi="宋体" w:eastAsia="宋体" w:cs="宋体"/>
          <w:sz w:val="21"/>
          <w:szCs w:val="21"/>
        </w:rPr>
      </w:pPr>
      <w:r>
        <w:rPr>
          <w:rFonts w:hint="eastAsia" w:ascii="宋体" w:hAnsi="宋体" w:eastAsia="宋体" w:cs="宋体"/>
          <w:bCs/>
          <w:sz w:val="21"/>
          <w:szCs w:val="21"/>
          <w:lang w:val="en-US" w:eastAsia="zh-CN"/>
        </w:rPr>
        <w:t>1、本工程推荐使用品牌见“类似材料、设备品牌一览表”，投标单位可使用“类似材料、设备品牌一览表”中的优等品或同等档次、质量为优等品的其他品牌，如投标人拟在推荐所有材料品牌外自行选择品牌，须在投标人要求澄清招标文件的截止时</w:t>
      </w:r>
      <w:r>
        <w:rPr>
          <w:rFonts w:hint="eastAsia" w:ascii="宋体" w:hAnsi="宋体" w:eastAsia="宋体" w:cs="宋体"/>
          <w:sz w:val="21"/>
          <w:szCs w:val="21"/>
        </w:rPr>
        <w:t>间前提出，招标人将对该品牌的性能、技术指标、技术参数、质量、使用寿命等方面进行审查，如该品牌均不低于可选品牌相应性能、技术指标、技术参数、质量、使用寿命等方面的要求，招标人将补充该品牌至招标文件推荐品牌中，并以招标文件补充文件形式公开发布至所有投标人。投标人在投标时应明确所选的材料品牌，如果投标人在投标文件中未明确材料品牌，中标后由中标人与招标人协商，在招标人提供的“类似材料、设备品牌一览表”中选择材料品牌，且投标报价不作调整</w:t>
      </w:r>
      <w:r>
        <w:rPr>
          <w:rFonts w:hint="eastAsia" w:ascii="宋体" w:hAnsi="宋体" w:eastAsia="宋体" w:cs="宋体"/>
          <w:sz w:val="21"/>
          <w:szCs w:val="21"/>
          <w:lang w:eastAsia="zh-CN"/>
        </w:rPr>
        <w:t>。</w:t>
      </w:r>
    </w:p>
    <w:p w14:paraId="23CEE9E1">
      <w:pPr>
        <w:rPr>
          <w:highlight w:val="none"/>
        </w:rPr>
      </w:pPr>
    </w:p>
    <w:p w14:paraId="1746F90D">
      <w:pPr>
        <w:rPr>
          <w:highlight w:val="none"/>
        </w:rPr>
      </w:pPr>
    </w:p>
    <w:p w14:paraId="0CBFFD3A">
      <w:pPr>
        <w:rPr>
          <w:highlight w:val="none"/>
        </w:rPr>
      </w:pPr>
    </w:p>
    <w:p w14:paraId="69A97E24">
      <w:pPr>
        <w:rPr>
          <w:highlight w:val="none"/>
        </w:rPr>
      </w:pPr>
    </w:p>
    <w:p w14:paraId="28D28181">
      <w:pPr>
        <w:rPr>
          <w:highlight w:val="none"/>
        </w:rPr>
      </w:pPr>
    </w:p>
    <w:p w14:paraId="2711DE09">
      <w:pPr>
        <w:rPr>
          <w:highlight w:val="none"/>
        </w:rPr>
      </w:pPr>
    </w:p>
    <w:p w14:paraId="20F00A7C">
      <w:pPr>
        <w:rPr>
          <w:highlight w:val="none"/>
        </w:rPr>
      </w:pPr>
    </w:p>
    <w:p w14:paraId="29528322">
      <w:pPr>
        <w:rPr>
          <w:highlight w:val="none"/>
        </w:rPr>
      </w:pPr>
    </w:p>
    <w:p w14:paraId="20EFD651">
      <w:pPr>
        <w:rPr>
          <w:highlight w:val="none"/>
        </w:rPr>
      </w:pPr>
    </w:p>
    <w:p w14:paraId="3AA78F24">
      <w:pPr>
        <w:rPr>
          <w:highlight w:val="none"/>
        </w:rPr>
      </w:pPr>
    </w:p>
    <w:p w14:paraId="1A63064A">
      <w:pPr>
        <w:rPr>
          <w:highlight w:val="none"/>
        </w:rPr>
      </w:pPr>
    </w:p>
    <w:p w14:paraId="6E62AC5F">
      <w:pPr>
        <w:rPr>
          <w:highlight w:val="none"/>
        </w:rPr>
      </w:pPr>
    </w:p>
    <w:tbl>
      <w:tblPr>
        <w:tblStyle w:val="7"/>
        <w:tblpPr w:leftFromText="180" w:rightFromText="180" w:vertAnchor="page" w:horzAnchor="page" w:tblpX="1767" w:tblpY="3937"/>
        <w:tblW w:w="90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2977"/>
        <w:gridCol w:w="5000"/>
      </w:tblGrid>
      <w:tr w14:paraId="48E9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Align w:val="center"/>
          </w:tcPr>
          <w:p w14:paraId="52173A0E">
            <w:pPr>
              <w:pStyle w:val="4"/>
              <w:adjustRightInd w:val="0"/>
              <w:snapToGrid w:val="0"/>
              <w:spacing w:line="360" w:lineRule="auto"/>
              <w:ind w:firstLine="0"/>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2977" w:type="dxa"/>
            <w:vAlign w:val="center"/>
          </w:tcPr>
          <w:p w14:paraId="6A7C93E4">
            <w:pPr>
              <w:pStyle w:val="4"/>
              <w:adjustRightInd w:val="0"/>
              <w:snapToGrid w:val="0"/>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材料名称</w:t>
            </w:r>
          </w:p>
        </w:tc>
        <w:tc>
          <w:tcPr>
            <w:tcW w:w="5000" w:type="dxa"/>
            <w:vAlign w:val="center"/>
          </w:tcPr>
          <w:p w14:paraId="0E8A87F9">
            <w:pPr>
              <w:pStyle w:val="4"/>
              <w:adjustRightInd w:val="0"/>
              <w:snapToGrid w:val="0"/>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推荐品牌</w:t>
            </w:r>
          </w:p>
        </w:tc>
      </w:tr>
      <w:tr w14:paraId="7A27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089" w:type="dxa"/>
            <w:vAlign w:val="center"/>
          </w:tcPr>
          <w:p w14:paraId="64C84CE9">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977" w:type="dxa"/>
            <w:vAlign w:val="center"/>
          </w:tcPr>
          <w:p w14:paraId="7CF759E2">
            <w:pPr>
              <w:pStyle w:val="4"/>
              <w:adjustRightInd w:val="0"/>
              <w:snapToGrid w:val="0"/>
              <w:spacing w:line="360" w:lineRule="auto"/>
              <w:ind w:firstLine="0"/>
              <w:jc w:val="both"/>
              <w:rPr>
                <w:rFonts w:hint="eastAsia" w:ascii="宋体" w:hAnsi="宋体" w:eastAsia="宋体" w:cs="宋体"/>
                <w:kern w:val="0"/>
                <w:sz w:val="21"/>
                <w:szCs w:val="21"/>
              </w:rPr>
            </w:pPr>
            <w:r>
              <w:rPr>
                <w:rFonts w:hint="eastAsia" w:ascii="宋体" w:hAnsi="宋体" w:eastAsia="宋体" w:cs="宋体"/>
                <w:kern w:val="0"/>
                <w:sz w:val="21"/>
                <w:szCs w:val="21"/>
              </w:rPr>
              <w:t>钢筋</w:t>
            </w:r>
          </w:p>
        </w:tc>
        <w:tc>
          <w:tcPr>
            <w:tcW w:w="5000" w:type="dxa"/>
            <w:vAlign w:val="center"/>
          </w:tcPr>
          <w:p w14:paraId="7D560A87">
            <w:pPr>
              <w:spacing w:line="360" w:lineRule="exact"/>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中天钢铁</w:t>
            </w:r>
            <w:r>
              <w:rPr>
                <w:rFonts w:hint="eastAsia" w:ascii="宋体" w:hAnsi="宋体" w:eastAsia="宋体" w:cs="宋体"/>
                <w:kern w:val="0"/>
                <w:sz w:val="21"/>
                <w:szCs w:val="21"/>
                <w:lang w:eastAsia="zh-CN"/>
              </w:rPr>
              <w:t>、沙钢、宝钢、南钢、永钢</w:t>
            </w:r>
          </w:p>
        </w:tc>
      </w:tr>
      <w:tr w14:paraId="493F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89" w:type="dxa"/>
            <w:vAlign w:val="center"/>
          </w:tcPr>
          <w:p w14:paraId="37F6DC81">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977" w:type="dxa"/>
            <w:vAlign w:val="center"/>
          </w:tcPr>
          <w:p w14:paraId="4E50DE83">
            <w:pPr>
              <w:pStyle w:val="4"/>
              <w:adjustRightInd w:val="0"/>
              <w:snapToGrid w:val="0"/>
              <w:spacing w:line="360" w:lineRule="auto"/>
              <w:ind w:firstLine="0"/>
              <w:jc w:val="both"/>
              <w:rPr>
                <w:rFonts w:hint="eastAsia" w:ascii="宋体" w:hAnsi="宋体" w:eastAsia="宋体" w:cs="宋体"/>
                <w:kern w:val="0"/>
                <w:sz w:val="21"/>
                <w:szCs w:val="21"/>
              </w:rPr>
            </w:pPr>
            <w:r>
              <w:rPr>
                <w:rFonts w:hint="eastAsia" w:ascii="宋体" w:hAnsi="宋体" w:eastAsia="宋体" w:cs="宋体"/>
                <w:kern w:val="0"/>
                <w:sz w:val="21"/>
                <w:szCs w:val="21"/>
              </w:rPr>
              <w:t>防水卷材、涂料</w:t>
            </w:r>
          </w:p>
        </w:tc>
        <w:tc>
          <w:tcPr>
            <w:tcW w:w="5000" w:type="dxa"/>
            <w:vAlign w:val="center"/>
          </w:tcPr>
          <w:p w14:paraId="576B2C8A">
            <w:pPr>
              <w:spacing w:line="360" w:lineRule="exact"/>
              <w:jc w:val="both"/>
              <w:rPr>
                <w:rFonts w:hint="eastAsia" w:ascii="宋体" w:hAnsi="宋体" w:eastAsia="宋体" w:cs="宋体"/>
                <w:kern w:val="0"/>
                <w:sz w:val="21"/>
                <w:szCs w:val="21"/>
                <w:lang w:eastAsia="zh-CN"/>
              </w:rPr>
            </w:pPr>
            <w:r>
              <w:rPr>
                <w:rFonts w:hint="eastAsia" w:ascii="宋体" w:hAnsi="宋体" w:eastAsia="宋体" w:cs="宋体"/>
                <w:kern w:val="0"/>
                <w:sz w:val="21"/>
                <w:szCs w:val="21"/>
              </w:rPr>
              <w:t>东方雨虹</w:t>
            </w:r>
            <w:r>
              <w:rPr>
                <w:rFonts w:hint="eastAsia" w:ascii="宋体" w:hAnsi="宋体" w:eastAsia="宋体" w:cs="宋体"/>
                <w:kern w:val="0"/>
                <w:sz w:val="21"/>
                <w:szCs w:val="21"/>
                <w:lang w:eastAsia="zh-CN"/>
              </w:rPr>
              <w:t>、科顺、民申、三棵树</w:t>
            </w:r>
          </w:p>
        </w:tc>
      </w:tr>
      <w:tr w14:paraId="3BFF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89" w:type="dxa"/>
            <w:vAlign w:val="center"/>
          </w:tcPr>
          <w:p w14:paraId="34EBFB11">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977" w:type="dxa"/>
            <w:vAlign w:val="center"/>
          </w:tcPr>
          <w:p w14:paraId="70897E50">
            <w:pPr>
              <w:pStyle w:val="4"/>
              <w:adjustRightInd w:val="0"/>
              <w:snapToGrid w:val="0"/>
              <w:spacing w:line="360" w:lineRule="auto"/>
              <w:ind w:firstLine="0"/>
              <w:jc w:val="both"/>
              <w:rPr>
                <w:rFonts w:hint="eastAsia" w:ascii="宋体" w:hAnsi="宋体" w:eastAsia="宋体" w:cs="宋体"/>
                <w:kern w:val="0"/>
                <w:sz w:val="21"/>
                <w:szCs w:val="21"/>
              </w:rPr>
            </w:pPr>
            <w:r>
              <w:rPr>
                <w:rFonts w:hint="eastAsia" w:ascii="宋体" w:hAnsi="宋体" w:eastAsia="宋体" w:cs="宋体"/>
                <w:kern w:val="0"/>
                <w:sz w:val="21"/>
                <w:szCs w:val="21"/>
              </w:rPr>
              <w:t>墙、地砖</w:t>
            </w:r>
          </w:p>
        </w:tc>
        <w:tc>
          <w:tcPr>
            <w:tcW w:w="5000" w:type="dxa"/>
            <w:vAlign w:val="center"/>
          </w:tcPr>
          <w:p w14:paraId="0058BD14">
            <w:pPr>
              <w:spacing w:line="360" w:lineRule="exact"/>
              <w:jc w:val="both"/>
              <w:rPr>
                <w:rFonts w:hint="eastAsia" w:ascii="宋体" w:hAnsi="宋体" w:eastAsia="宋体" w:cs="宋体"/>
                <w:kern w:val="0"/>
                <w:sz w:val="21"/>
                <w:szCs w:val="21"/>
                <w:lang w:eastAsia="zh-CN"/>
              </w:rPr>
            </w:pPr>
            <w:r>
              <w:rPr>
                <w:rFonts w:hint="eastAsia" w:ascii="宋体" w:hAnsi="宋体" w:eastAsia="宋体" w:cs="宋体"/>
                <w:kern w:val="0"/>
                <w:sz w:val="21"/>
                <w:szCs w:val="21"/>
              </w:rPr>
              <w:t>冠珠</w:t>
            </w:r>
            <w:r>
              <w:rPr>
                <w:rFonts w:hint="eastAsia" w:ascii="宋体" w:hAnsi="宋体" w:eastAsia="宋体" w:cs="宋体"/>
                <w:kern w:val="0"/>
                <w:sz w:val="21"/>
                <w:szCs w:val="21"/>
                <w:lang w:eastAsia="zh-CN"/>
              </w:rPr>
              <w:t>、东鹏、新中源</w:t>
            </w:r>
          </w:p>
        </w:tc>
      </w:tr>
      <w:tr w14:paraId="0F84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89" w:type="dxa"/>
            <w:vAlign w:val="center"/>
          </w:tcPr>
          <w:p w14:paraId="74CA82DC">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977" w:type="dxa"/>
            <w:vAlign w:val="center"/>
          </w:tcPr>
          <w:p w14:paraId="016219F3">
            <w:pPr>
              <w:pStyle w:val="4"/>
              <w:adjustRightInd w:val="0"/>
              <w:snapToGrid w:val="0"/>
              <w:spacing w:line="360" w:lineRule="auto"/>
              <w:ind w:firstLine="0"/>
              <w:jc w:val="both"/>
              <w:rPr>
                <w:rFonts w:hint="eastAsia" w:ascii="宋体" w:hAnsi="宋体" w:eastAsia="宋体" w:cs="宋体"/>
                <w:kern w:val="0"/>
                <w:sz w:val="21"/>
                <w:szCs w:val="21"/>
              </w:rPr>
            </w:pPr>
            <w:r>
              <w:rPr>
                <w:rFonts w:hint="eastAsia" w:ascii="宋体" w:hAnsi="宋体" w:eastAsia="宋体" w:cs="宋体"/>
                <w:kern w:val="0"/>
                <w:sz w:val="21"/>
                <w:szCs w:val="21"/>
              </w:rPr>
              <w:t>外墙涂料/乳胶漆/防霉涂料/富锌漆等</w:t>
            </w:r>
          </w:p>
        </w:tc>
        <w:tc>
          <w:tcPr>
            <w:tcW w:w="5000" w:type="dxa"/>
            <w:vAlign w:val="center"/>
          </w:tcPr>
          <w:p w14:paraId="4DE30B96">
            <w:pPr>
              <w:spacing w:line="360" w:lineRule="exact"/>
              <w:jc w:val="both"/>
              <w:rPr>
                <w:rFonts w:hint="eastAsia" w:ascii="宋体" w:hAnsi="宋体" w:eastAsia="宋体" w:cs="宋体"/>
                <w:kern w:val="0"/>
                <w:sz w:val="21"/>
                <w:szCs w:val="21"/>
                <w:lang w:eastAsia="zh-CN"/>
              </w:rPr>
            </w:pPr>
            <w:r>
              <w:rPr>
                <w:rFonts w:hint="eastAsia" w:ascii="宋体" w:hAnsi="宋体" w:eastAsia="宋体" w:cs="宋体"/>
                <w:kern w:val="0"/>
                <w:sz w:val="21"/>
                <w:szCs w:val="21"/>
              </w:rPr>
              <w:t>光辉</w:t>
            </w:r>
            <w:r>
              <w:rPr>
                <w:rFonts w:hint="eastAsia" w:ascii="宋体" w:hAnsi="宋体" w:eastAsia="宋体" w:cs="宋体"/>
                <w:kern w:val="0"/>
                <w:sz w:val="21"/>
                <w:szCs w:val="21"/>
                <w:lang w:eastAsia="zh-CN"/>
              </w:rPr>
              <w:t>、晨光、乐意</w:t>
            </w:r>
          </w:p>
        </w:tc>
      </w:tr>
      <w:tr w14:paraId="5727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89" w:type="dxa"/>
            <w:vAlign w:val="center"/>
          </w:tcPr>
          <w:p w14:paraId="6FD6302A">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7" w:type="dxa"/>
            <w:vAlign w:val="center"/>
          </w:tcPr>
          <w:p w14:paraId="529953EB">
            <w:pPr>
              <w:widowControl/>
              <w:jc w:val="both"/>
              <w:rPr>
                <w:rFonts w:hint="eastAsia" w:ascii="宋体" w:hAnsi="宋体" w:eastAsia="宋体" w:cs="宋体"/>
                <w:kern w:val="0"/>
                <w:sz w:val="21"/>
                <w:szCs w:val="21"/>
              </w:rPr>
            </w:pPr>
            <w:r>
              <w:rPr>
                <w:rFonts w:hint="eastAsia" w:ascii="宋体" w:hAnsi="宋体" w:eastAsia="宋体" w:cs="宋体"/>
                <w:kern w:val="0"/>
                <w:sz w:val="21"/>
                <w:szCs w:val="21"/>
              </w:rPr>
              <w:t>轻钢龙骨、石膏板、阻燃板</w:t>
            </w:r>
          </w:p>
        </w:tc>
        <w:tc>
          <w:tcPr>
            <w:tcW w:w="5000" w:type="dxa"/>
            <w:vAlign w:val="center"/>
          </w:tcPr>
          <w:p w14:paraId="23B4C3B2">
            <w:pPr>
              <w:spacing w:line="360" w:lineRule="exact"/>
              <w:jc w:val="both"/>
              <w:rPr>
                <w:rFonts w:hint="eastAsia" w:ascii="宋体" w:hAnsi="宋体" w:eastAsia="宋体" w:cs="宋体"/>
                <w:kern w:val="0"/>
                <w:sz w:val="21"/>
                <w:szCs w:val="21"/>
                <w:lang w:eastAsia="zh-CN"/>
              </w:rPr>
            </w:pPr>
            <w:r>
              <w:rPr>
                <w:rFonts w:hint="eastAsia" w:ascii="宋体" w:hAnsi="宋体" w:eastAsia="宋体" w:cs="宋体"/>
                <w:kern w:val="0"/>
                <w:sz w:val="21"/>
                <w:szCs w:val="21"/>
              </w:rPr>
              <w:t>龙牌</w:t>
            </w:r>
            <w:r>
              <w:rPr>
                <w:rFonts w:hint="eastAsia" w:ascii="宋体" w:hAnsi="宋体" w:eastAsia="宋体" w:cs="宋体"/>
                <w:kern w:val="0"/>
                <w:sz w:val="21"/>
                <w:szCs w:val="21"/>
                <w:lang w:eastAsia="zh-CN"/>
              </w:rPr>
              <w:t>、圣戈班-杰科、可耐福、莫干山</w:t>
            </w:r>
          </w:p>
        </w:tc>
      </w:tr>
      <w:tr w14:paraId="0763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89" w:type="dxa"/>
            <w:vAlign w:val="center"/>
          </w:tcPr>
          <w:p w14:paraId="6C986622">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977" w:type="dxa"/>
            <w:vAlign w:val="center"/>
          </w:tcPr>
          <w:p w14:paraId="288D75D3">
            <w:pPr>
              <w:pStyle w:val="4"/>
              <w:adjustRightInd w:val="0"/>
              <w:snapToGrid w:val="0"/>
              <w:spacing w:line="360" w:lineRule="auto"/>
              <w:ind w:firstLine="0"/>
              <w:jc w:val="both"/>
              <w:rPr>
                <w:rFonts w:hint="eastAsia" w:ascii="宋体" w:hAnsi="宋体" w:eastAsia="宋体" w:cs="宋体"/>
                <w:kern w:val="0"/>
                <w:sz w:val="21"/>
                <w:szCs w:val="21"/>
              </w:rPr>
            </w:pPr>
            <w:r>
              <w:rPr>
                <w:rFonts w:hint="eastAsia" w:ascii="宋体" w:hAnsi="宋体" w:eastAsia="宋体" w:cs="宋体"/>
                <w:kern w:val="0"/>
                <w:sz w:val="21"/>
                <w:szCs w:val="21"/>
              </w:rPr>
              <w:t>木工板/柜体板材</w:t>
            </w:r>
          </w:p>
        </w:tc>
        <w:tc>
          <w:tcPr>
            <w:tcW w:w="5000" w:type="dxa"/>
            <w:vAlign w:val="center"/>
          </w:tcPr>
          <w:p w14:paraId="1619AF75">
            <w:pPr>
              <w:spacing w:line="360" w:lineRule="exact"/>
              <w:jc w:val="both"/>
              <w:rPr>
                <w:rFonts w:hint="eastAsia" w:ascii="宋体" w:hAnsi="宋体" w:eastAsia="宋体" w:cs="宋体"/>
                <w:kern w:val="0"/>
                <w:sz w:val="21"/>
                <w:szCs w:val="21"/>
                <w:lang w:eastAsia="zh-CN"/>
              </w:rPr>
            </w:pPr>
            <w:r>
              <w:rPr>
                <w:rFonts w:hint="eastAsia" w:ascii="宋体" w:hAnsi="宋体" w:eastAsia="宋体" w:cs="宋体"/>
                <w:kern w:val="0"/>
                <w:sz w:val="21"/>
                <w:szCs w:val="21"/>
              </w:rPr>
              <w:t>莫干山</w:t>
            </w:r>
            <w:r>
              <w:rPr>
                <w:rFonts w:hint="eastAsia" w:ascii="宋体" w:hAnsi="宋体" w:eastAsia="宋体" w:cs="宋体"/>
                <w:kern w:val="0"/>
                <w:sz w:val="21"/>
                <w:szCs w:val="21"/>
                <w:lang w:eastAsia="zh-CN"/>
              </w:rPr>
              <w:t>、千年舟、兔宝宝</w:t>
            </w:r>
          </w:p>
        </w:tc>
      </w:tr>
      <w:tr w14:paraId="54DD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89" w:type="dxa"/>
            <w:vAlign w:val="center"/>
          </w:tcPr>
          <w:p w14:paraId="48A0AD44">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977" w:type="dxa"/>
            <w:vAlign w:val="center"/>
          </w:tcPr>
          <w:p w14:paraId="4ABF0F0D">
            <w:pPr>
              <w:pStyle w:val="4"/>
              <w:adjustRightInd w:val="0"/>
              <w:snapToGrid w:val="0"/>
              <w:spacing w:line="360" w:lineRule="auto"/>
              <w:ind w:firstLine="0"/>
              <w:jc w:val="both"/>
              <w:rPr>
                <w:rFonts w:hint="eastAsia" w:ascii="宋体" w:hAnsi="宋体" w:eastAsia="宋体" w:cs="宋体"/>
                <w:kern w:val="0"/>
                <w:sz w:val="21"/>
                <w:szCs w:val="21"/>
              </w:rPr>
            </w:pPr>
            <w:r>
              <w:rPr>
                <w:rFonts w:hint="eastAsia" w:ascii="宋体" w:hAnsi="宋体" w:eastAsia="宋体" w:cs="宋体"/>
                <w:kern w:val="0"/>
                <w:sz w:val="21"/>
                <w:szCs w:val="21"/>
              </w:rPr>
              <w:t>矿棉板</w:t>
            </w:r>
          </w:p>
        </w:tc>
        <w:tc>
          <w:tcPr>
            <w:tcW w:w="5000" w:type="dxa"/>
            <w:vAlign w:val="center"/>
          </w:tcPr>
          <w:p w14:paraId="13AECC89">
            <w:pPr>
              <w:spacing w:line="360" w:lineRule="exact"/>
              <w:jc w:val="both"/>
              <w:rPr>
                <w:rFonts w:hint="eastAsia" w:ascii="宋体" w:hAnsi="宋体" w:eastAsia="宋体" w:cs="宋体"/>
                <w:kern w:val="0"/>
                <w:sz w:val="21"/>
                <w:szCs w:val="21"/>
                <w:lang w:eastAsia="zh-CN"/>
              </w:rPr>
            </w:pPr>
            <w:r>
              <w:rPr>
                <w:rFonts w:hint="eastAsia" w:ascii="宋体" w:hAnsi="宋体" w:eastAsia="宋体" w:cs="宋体"/>
                <w:kern w:val="0"/>
                <w:sz w:val="21"/>
                <w:szCs w:val="21"/>
              </w:rPr>
              <w:t>阿姆斯壮</w:t>
            </w:r>
            <w:r>
              <w:rPr>
                <w:rFonts w:hint="eastAsia" w:ascii="宋体" w:hAnsi="宋体" w:eastAsia="宋体" w:cs="宋体"/>
                <w:kern w:val="0"/>
                <w:sz w:val="21"/>
                <w:szCs w:val="21"/>
                <w:lang w:eastAsia="zh-CN"/>
              </w:rPr>
              <w:t>、龙牌、可耐福</w:t>
            </w:r>
          </w:p>
        </w:tc>
      </w:tr>
      <w:tr w14:paraId="05260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89" w:type="dxa"/>
            <w:vAlign w:val="center"/>
          </w:tcPr>
          <w:p w14:paraId="56CB7001">
            <w:pPr>
              <w:pStyle w:val="4"/>
              <w:adjustRightInd w:val="0"/>
              <w:snapToGrid w:val="0"/>
              <w:spacing w:line="360" w:lineRule="auto"/>
              <w:ind w:firstLine="0"/>
              <w:jc w:val="center"/>
              <w:rPr>
                <w:rFonts w:hint="default" w:ascii="宋体" w:hAnsi="宋体" w:eastAsia="宋体" w:cs="宋体"/>
                <w:kern w:val="0"/>
                <w:sz w:val="21"/>
                <w:szCs w:val="21"/>
                <w:lang w:val="en-US" w:eastAsia="zh-CN"/>
              </w:rPr>
            </w:pPr>
            <w:r>
              <w:rPr>
                <w:rFonts w:hint="eastAsia" w:hAnsi="宋体" w:eastAsia="宋体" w:cs="宋体"/>
                <w:kern w:val="0"/>
                <w:sz w:val="21"/>
                <w:szCs w:val="21"/>
                <w:lang w:val="en-US" w:eastAsia="zh-CN"/>
              </w:rPr>
              <w:t>8</w:t>
            </w:r>
          </w:p>
        </w:tc>
        <w:tc>
          <w:tcPr>
            <w:tcW w:w="2977" w:type="dxa"/>
            <w:vAlign w:val="center"/>
          </w:tcPr>
          <w:p w14:paraId="4638F29E">
            <w:pPr>
              <w:spacing w:line="360" w:lineRule="exact"/>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防火门</w:t>
            </w:r>
          </w:p>
        </w:tc>
        <w:tc>
          <w:tcPr>
            <w:tcW w:w="5000" w:type="dxa"/>
            <w:vAlign w:val="center"/>
          </w:tcPr>
          <w:p w14:paraId="5F868A43">
            <w:pPr>
              <w:spacing w:line="360" w:lineRule="exact"/>
              <w:jc w:val="both"/>
              <w:rPr>
                <w:rFonts w:hint="eastAsia" w:ascii="宋体" w:hAnsi="宋体" w:eastAsia="宋体" w:cs="宋体"/>
                <w:kern w:val="0"/>
                <w:sz w:val="21"/>
                <w:szCs w:val="21"/>
                <w:lang w:eastAsia="zh-CN"/>
              </w:rPr>
            </w:pPr>
            <w:r>
              <w:rPr>
                <w:rFonts w:hint="eastAsia" w:ascii="宋体" w:hAnsi="宋体" w:eastAsia="宋体" w:cs="宋体"/>
                <w:kern w:val="0"/>
                <w:sz w:val="21"/>
                <w:szCs w:val="21"/>
              </w:rPr>
              <w:t>常州宝盾</w:t>
            </w:r>
            <w:r>
              <w:rPr>
                <w:rFonts w:hint="eastAsia" w:ascii="宋体" w:hAnsi="宋体" w:eastAsia="宋体" w:cs="宋体"/>
                <w:kern w:val="0"/>
                <w:sz w:val="21"/>
                <w:szCs w:val="21"/>
                <w:lang w:eastAsia="zh-CN"/>
              </w:rPr>
              <w:t>、宜兴天马、溧阳濑江</w:t>
            </w:r>
          </w:p>
        </w:tc>
      </w:tr>
    </w:tbl>
    <w:p w14:paraId="40C3C766">
      <w:pPr>
        <w:pStyle w:val="3"/>
        <w:ind w:left="0" w:leftChars="0" w:firstLine="0" w:firstLineChars="0"/>
        <w:jc w:val="both"/>
        <w:rPr>
          <w:rFonts w:hint="eastAsia" w:ascii="宋体" w:hAnsi="宋体" w:eastAsia="宋体" w:cs="宋体"/>
          <w:b/>
          <w:bCs/>
          <w:sz w:val="28"/>
          <w:szCs w:val="28"/>
          <w:lang w:val="en-US" w:eastAsia="zh-CN"/>
        </w:rPr>
      </w:pPr>
    </w:p>
    <w:p w14:paraId="57669299">
      <w:pPr>
        <w:pStyle w:val="3"/>
        <w:ind w:left="0" w:leftChars="0" w:firstLine="0" w:firstLineChars="0"/>
        <w:jc w:val="both"/>
        <w:rPr>
          <w:rFonts w:ascii="宋体" w:hAnsi="宋体"/>
          <w:szCs w:val="21"/>
        </w:rPr>
      </w:pPr>
      <w:r>
        <w:rPr>
          <w:rFonts w:hint="eastAsia" w:ascii="宋体" w:hAnsi="宋体" w:eastAsia="宋体" w:cs="宋体"/>
          <w:b/>
          <w:bCs/>
          <w:sz w:val="28"/>
          <w:szCs w:val="28"/>
          <w:lang w:val="en-US" w:eastAsia="zh-CN"/>
        </w:rPr>
        <w:t>安装工程</w:t>
      </w:r>
    </w:p>
    <w:p w14:paraId="1512CFA0">
      <w:pPr>
        <w:numPr>
          <w:ilvl w:val="0"/>
          <w:numId w:val="4"/>
        </w:numPr>
        <w:spacing w:line="360" w:lineRule="auto"/>
        <w:ind w:left="-20" w:leftChars="0" w:firstLine="420" w:firstLineChars="0"/>
        <w:rPr>
          <w:rFonts w:ascii="宋体" w:hAnsi="宋体"/>
          <w:szCs w:val="21"/>
        </w:rPr>
      </w:pPr>
      <w:r>
        <w:rPr>
          <w:rFonts w:hint="eastAsia" w:ascii="宋体" w:hAnsi="宋体"/>
          <w:szCs w:val="21"/>
        </w:rPr>
        <w:t>电气系统：</w:t>
      </w:r>
      <w:r>
        <w:rPr>
          <w:rFonts w:hint="eastAsia" w:ascii="宋体" w:hAnsi="宋体" w:eastAsia="宋体"/>
          <w:szCs w:val="21"/>
          <w:lang w:val="en-US" w:eastAsia="zh-CN"/>
        </w:rPr>
        <w:t>室内部分按图纸编制，室外部分包含电加热设备进线电缆及管道、室内配电箱进线电缆及管道，其余不在本次编标范围内；</w:t>
      </w:r>
    </w:p>
    <w:p w14:paraId="4B31C94B">
      <w:pPr>
        <w:numPr>
          <w:ilvl w:val="0"/>
          <w:numId w:val="4"/>
        </w:numPr>
        <w:spacing w:line="360" w:lineRule="auto"/>
        <w:ind w:left="-20" w:leftChars="0" w:firstLine="420" w:firstLineChars="0"/>
        <w:rPr>
          <w:rFonts w:ascii="宋体" w:hAnsi="宋体"/>
          <w:szCs w:val="21"/>
        </w:rPr>
      </w:pPr>
      <w:r>
        <w:rPr>
          <w:rFonts w:hint="eastAsia" w:ascii="宋体" w:hAnsi="宋体" w:eastAsia="宋体"/>
          <w:szCs w:val="21"/>
          <w:lang w:val="en-US" w:eastAsia="zh-CN"/>
        </w:rPr>
        <w:t>给</w:t>
      </w:r>
      <w:r>
        <w:rPr>
          <w:rFonts w:hint="eastAsia" w:ascii="宋体" w:hAnsi="宋体"/>
          <w:szCs w:val="21"/>
        </w:rPr>
        <w:t>排水系统:图纸编制范围内的排水管道等已全部计入；雨水管按抗紫外线UPVC管编制</w:t>
      </w:r>
      <w:r>
        <w:rPr>
          <w:rFonts w:hint="eastAsia" w:ascii="宋体" w:hAnsi="宋体" w:eastAsia="宋体"/>
          <w:szCs w:val="21"/>
          <w:lang w:eastAsia="zh-CN"/>
        </w:rPr>
        <w:t>；</w:t>
      </w:r>
    </w:p>
    <w:p w14:paraId="35562525">
      <w:pPr>
        <w:numPr>
          <w:ilvl w:val="0"/>
          <w:numId w:val="4"/>
        </w:numPr>
        <w:spacing w:line="360" w:lineRule="auto"/>
        <w:ind w:left="-20" w:leftChars="0" w:firstLine="420" w:firstLineChars="0"/>
        <w:rPr>
          <w:rFonts w:ascii="宋体" w:hAnsi="宋体"/>
          <w:szCs w:val="21"/>
        </w:rPr>
      </w:pPr>
      <w:r>
        <w:rPr>
          <w:rFonts w:hint="eastAsia" w:ascii="宋体" w:hAnsi="宋体"/>
          <w:szCs w:val="21"/>
        </w:rPr>
        <w:t>消火栓系统：</w:t>
      </w:r>
      <w:r>
        <w:rPr>
          <w:rFonts w:hint="eastAsia" w:ascii="宋体" w:hAnsi="宋体" w:eastAsia="宋体"/>
          <w:szCs w:val="21"/>
          <w:lang w:val="en-US" w:eastAsia="zh-CN"/>
        </w:rPr>
        <w:t>一号楼消火栓利用原有系统；二、三号楼消火栓系统保护性拆除，按施工图重新安装到位，拆除材料全部利旧安装；具体以现场实际情况为准，按实结算；</w:t>
      </w:r>
    </w:p>
    <w:p w14:paraId="4C29064A">
      <w:pPr>
        <w:numPr>
          <w:ilvl w:val="0"/>
          <w:numId w:val="4"/>
        </w:numPr>
        <w:spacing w:line="360" w:lineRule="auto"/>
        <w:ind w:left="-20" w:leftChars="0" w:firstLine="420" w:firstLineChars="0"/>
        <w:rPr>
          <w:rFonts w:hint="eastAsia" w:ascii="宋体" w:hAnsi="宋体"/>
          <w:szCs w:val="21"/>
        </w:rPr>
      </w:pPr>
      <w:r>
        <w:rPr>
          <w:rFonts w:hint="eastAsia" w:ascii="宋体" w:hAnsi="宋体"/>
          <w:szCs w:val="21"/>
        </w:rPr>
        <w:t>喷淋系统：</w:t>
      </w:r>
      <w:r>
        <w:rPr>
          <w:rFonts w:hint="eastAsia" w:ascii="宋体" w:hAnsi="宋体"/>
          <w:szCs w:val="21"/>
          <w:lang w:val="en-US" w:eastAsia="zh-CN"/>
        </w:rPr>
        <w:t>原现场喷淋系统保护性拆除，按施工图纸重新安装到位，拆除材料全部利旧安装；施工范围以现场实际情况为准，按实结算；</w:t>
      </w:r>
    </w:p>
    <w:p w14:paraId="5B4B9579">
      <w:pPr>
        <w:numPr>
          <w:ilvl w:val="0"/>
          <w:numId w:val="4"/>
        </w:numPr>
        <w:spacing w:line="360" w:lineRule="auto"/>
        <w:ind w:left="-20" w:leftChars="0" w:firstLine="420" w:firstLineChars="0"/>
        <w:rPr>
          <w:rFonts w:hint="eastAsia" w:ascii="宋体" w:hAnsi="宋体"/>
          <w:szCs w:val="21"/>
        </w:rPr>
      </w:pPr>
      <w:r>
        <w:rPr>
          <w:rFonts w:hint="eastAsia" w:ascii="宋体" w:hAnsi="宋体"/>
          <w:szCs w:val="21"/>
          <w:lang w:val="en-US" w:eastAsia="zh-CN"/>
        </w:rPr>
        <w:t>灯具开关拆除、水电管道拆除、墙面及走廊线缆整理已包含在控制价中。</w:t>
      </w:r>
    </w:p>
    <w:p w14:paraId="296A0E33">
      <w:pPr>
        <w:numPr>
          <w:ilvl w:val="0"/>
          <w:numId w:val="4"/>
        </w:numPr>
        <w:spacing w:line="360" w:lineRule="auto"/>
        <w:ind w:left="-20" w:leftChars="0" w:firstLine="420" w:firstLineChars="0"/>
        <w:rPr>
          <w:rFonts w:hint="eastAsia" w:ascii="宋体" w:hAnsi="宋体"/>
          <w:szCs w:val="21"/>
        </w:rPr>
      </w:pPr>
      <w:r>
        <w:rPr>
          <w:rFonts w:hint="eastAsia" w:ascii="宋体" w:hAnsi="宋体"/>
          <w:szCs w:val="21"/>
        </w:rPr>
        <w:t>单价及总价措施项目清单未列的，如投标单位认为实际现场需要的其他措施，则投标单位需将其费用自行考虑在投标总价内，结算时不新增措施项目清单。</w:t>
      </w:r>
    </w:p>
    <w:p w14:paraId="3504AE9A">
      <w:pPr>
        <w:numPr>
          <w:ilvl w:val="0"/>
          <w:numId w:val="4"/>
        </w:numPr>
        <w:spacing w:line="360" w:lineRule="auto"/>
        <w:ind w:left="-20" w:leftChars="0" w:firstLine="420" w:firstLineChars="0"/>
        <w:rPr>
          <w:rFonts w:hint="eastAsia" w:ascii="宋体" w:hAnsi="宋体"/>
          <w:szCs w:val="21"/>
        </w:rPr>
      </w:pPr>
      <w:r>
        <w:rPr>
          <w:rFonts w:hint="eastAsia" w:ascii="Times New Roman" w:hAnsi="Times New Roman" w:eastAsia="宋体" w:cs="Times New Roman"/>
          <w:kern w:val="2"/>
          <w:sz w:val="21"/>
          <w:szCs w:val="21"/>
          <w:lang w:val="en-US" w:eastAsia="zh-CN" w:bidi="ar-SA"/>
        </w:rPr>
        <w:t>除清单列明外，其他所有机电安装工程所涉及的洞口的预留、修补、防火封堵、防水封堵等费用（含暗装消火栓箱、暗装接线箱、风管、桥架等洞口），均由投标单位在投标总价内考虑。</w:t>
      </w:r>
    </w:p>
    <w:p w14:paraId="64AF8B00">
      <w:pPr>
        <w:numPr>
          <w:ilvl w:val="0"/>
          <w:numId w:val="4"/>
        </w:numPr>
        <w:spacing w:line="360" w:lineRule="auto"/>
        <w:ind w:left="-20" w:leftChars="0" w:firstLine="420" w:firstLineChars="0"/>
        <w:rPr>
          <w:rFonts w:hint="eastAsia" w:ascii="宋体" w:hAnsi="宋体"/>
          <w:szCs w:val="21"/>
        </w:rPr>
      </w:pPr>
      <w:r>
        <w:rPr>
          <w:rFonts w:hint="eastAsia" w:ascii="宋体" w:hAnsi="宋体"/>
          <w:szCs w:val="21"/>
        </w:rPr>
        <w:t>清单描述镀锌，均为热浸镀锌，热镀锌要求需满足国标要求及验收规范要求。</w:t>
      </w:r>
    </w:p>
    <w:p w14:paraId="3D745BFD">
      <w:pPr>
        <w:numPr>
          <w:ilvl w:val="0"/>
          <w:numId w:val="4"/>
        </w:numPr>
        <w:spacing w:line="360" w:lineRule="auto"/>
        <w:ind w:left="-20" w:leftChars="0" w:firstLine="420" w:firstLineChars="0"/>
        <w:rPr>
          <w:rFonts w:hint="eastAsia" w:ascii="宋体" w:hAnsi="宋体"/>
          <w:szCs w:val="21"/>
        </w:rPr>
      </w:pPr>
      <w:r>
        <w:rPr>
          <w:rFonts w:hint="eastAsia" w:ascii="宋体" w:hAnsi="宋体"/>
          <w:szCs w:val="21"/>
        </w:rPr>
        <w:t>超高费（如有）、管井施工增加费（如有），均由投标人依据现场实际情况及图纸自行考虑，其费用由投标人自行考虑并计入总价中，结算时不调整。</w:t>
      </w:r>
    </w:p>
    <w:p w14:paraId="7703B3DD">
      <w:pPr>
        <w:numPr>
          <w:ilvl w:val="0"/>
          <w:numId w:val="4"/>
        </w:numPr>
        <w:spacing w:line="360" w:lineRule="auto"/>
        <w:ind w:left="-20" w:leftChars="0" w:firstLine="420" w:firstLineChars="0"/>
        <w:rPr>
          <w:rFonts w:hint="eastAsia" w:ascii="宋体" w:hAnsi="宋体"/>
          <w:szCs w:val="21"/>
        </w:rPr>
      </w:pPr>
      <w:r>
        <w:rPr>
          <w:rFonts w:hint="eastAsia" w:ascii="宋体" w:hAnsi="宋体"/>
          <w:szCs w:val="21"/>
          <w:lang w:val="en-US" w:eastAsia="zh-CN"/>
        </w:rPr>
        <w:t>金属桥架、线槽需满足相应部位防火、防水等要求。金属桥架、线槽综合单价均已包含桥架盖板、三通、弯头、异径、伸缩补偿装置、连接件、连接螺栓</w:t>
      </w:r>
    </w:p>
    <w:p w14:paraId="0EBB6818">
      <w:pPr>
        <w:numPr>
          <w:ilvl w:val="0"/>
          <w:numId w:val="4"/>
        </w:numPr>
        <w:spacing w:line="360" w:lineRule="auto"/>
        <w:ind w:left="-20" w:leftChars="0" w:firstLine="420" w:firstLineChars="0"/>
        <w:rPr>
          <w:rFonts w:hint="eastAsia" w:ascii="宋体" w:hAnsi="宋体"/>
          <w:szCs w:val="21"/>
        </w:rPr>
      </w:pPr>
      <w:r>
        <w:rPr>
          <w:rFonts w:hint="eastAsia" w:ascii="宋体" w:hAnsi="宋体"/>
          <w:szCs w:val="21"/>
        </w:rPr>
        <w:t>设备清单应包括设备采购、工地保管、场内运输、安装、设备接地，设备的接线调试、标识标牌等。各系统设备自带的随机备品备件，竣工时需移交使系统用单位。</w:t>
      </w:r>
    </w:p>
    <w:p w14:paraId="46951851">
      <w:pPr>
        <w:numPr>
          <w:ilvl w:val="0"/>
          <w:numId w:val="4"/>
        </w:numPr>
        <w:spacing w:line="360" w:lineRule="auto"/>
        <w:ind w:left="-20" w:leftChars="0" w:firstLine="420" w:firstLineChars="0"/>
        <w:rPr>
          <w:rFonts w:hint="eastAsia" w:ascii="宋体" w:hAnsi="宋体"/>
          <w:szCs w:val="21"/>
        </w:rPr>
      </w:pPr>
      <w:r>
        <w:rPr>
          <w:rFonts w:hint="eastAsia" w:ascii="宋体" w:hAnsi="宋体"/>
          <w:szCs w:val="21"/>
        </w:rPr>
        <w:t>所有注明“暗敷”的配管，所适用的部位包含一次结构预埋暗敷、二次结构开槽暗敷（需补槽）、吊顶内敷设，投标人应根据企业自身情况、工艺水平和项目条件，在综合单价内计入一定量的刨沟槽和补槽费用。结算时和后期变更签证中如出现暗敷配管，均按投标报价执行，不因刨沟槽的含量调整而调整。</w:t>
      </w:r>
    </w:p>
    <w:p w14:paraId="60D2ACB9">
      <w:pPr>
        <w:numPr>
          <w:ilvl w:val="0"/>
          <w:numId w:val="4"/>
        </w:numPr>
        <w:spacing w:line="360" w:lineRule="auto"/>
        <w:ind w:left="-20" w:leftChars="0" w:firstLine="420" w:firstLineChars="0"/>
        <w:rPr>
          <w:rFonts w:hint="eastAsia" w:ascii="宋体" w:hAnsi="宋体"/>
          <w:szCs w:val="21"/>
        </w:rPr>
      </w:pPr>
      <w:r>
        <w:rPr>
          <w:rFonts w:hint="eastAsia" w:ascii="宋体" w:hAnsi="宋体"/>
          <w:szCs w:val="21"/>
        </w:rPr>
        <w:t>线缆为乙供，主材价计入综合单价，所有线缆敷设价格（含强电、弱电电缆、矿物质电缆），敷设方式不管在管内、水平桥架、竖直桥架内敷设，结算时价格均不调整。</w:t>
      </w:r>
    </w:p>
    <w:p w14:paraId="0D39121F">
      <w:pPr>
        <w:numPr>
          <w:ilvl w:val="0"/>
          <w:numId w:val="4"/>
        </w:numPr>
        <w:spacing w:line="360" w:lineRule="auto"/>
        <w:ind w:left="-20" w:leftChars="0" w:firstLine="420" w:firstLineChars="0"/>
        <w:rPr>
          <w:rFonts w:hint="eastAsia" w:ascii="宋体" w:hAnsi="宋体"/>
          <w:szCs w:val="21"/>
        </w:rPr>
      </w:pPr>
      <w:r>
        <w:rPr>
          <w:rFonts w:hint="eastAsia" w:ascii="宋体" w:hAnsi="宋体"/>
          <w:szCs w:val="21"/>
        </w:rPr>
        <w:t xml:space="preserve">各系统调试、检测、试运行、无负荷调试，带负荷调试内容及费用均含在投标总价内，由投标人自行考虑。 </w:t>
      </w:r>
    </w:p>
    <w:p w14:paraId="4811998D">
      <w:pPr>
        <w:numPr>
          <w:ilvl w:val="0"/>
          <w:numId w:val="4"/>
        </w:numPr>
        <w:spacing w:line="360" w:lineRule="auto"/>
        <w:ind w:left="-20" w:leftChars="0" w:firstLine="420" w:firstLineChars="0"/>
        <w:rPr>
          <w:rFonts w:hint="eastAsia" w:ascii="宋体" w:hAnsi="宋体"/>
          <w:szCs w:val="21"/>
          <w:lang w:val="en-US" w:eastAsia="zh-CN"/>
        </w:rPr>
      </w:pPr>
      <w:r>
        <w:rPr>
          <w:rFonts w:hint="eastAsia" w:ascii="宋体" w:hAnsi="宋体"/>
          <w:szCs w:val="21"/>
          <w:lang w:val="en-US" w:eastAsia="zh-CN"/>
        </w:rPr>
        <w:t>保温材料厚度需不小于设计厚度要求。阀门的法兰保温清单未单列，其费用含在总价内。</w:t>
      </w:r>
    </w:p>
    <w:p w14:paraId="2FC5306B">
      <w:pPr>
        <w:numPr>
          <w:ilvl w:val="0"/>
          <w:numId w:val="4"/>
        </w:numPr>
        <w:spacing w:line="360" w:lineRule="auto"/>
        <w:ind w:left="-20" w:leftChars="0" w:firstLine="420" w:firstLineChars="0"/>
        <w:rPr>
          <w:rFonts w:hint="eastAsia" w:ascii="宋体" w:hAnsi="宋体"/>
          <w:szCs w:val="21"/>
          <w:lang w:val="en-US" w:eastAsia="zh-CN"/>
        </w:rPr>
      </w:pPr>
      <w:r>
        <w:rPr>
          <w:rFonts w:hint="eastAsia" w:ascii="宋体" w:hAnsi="宋体"/>
          <w:szCs w:val="21"/>
          <w:lang w:val="en-US" w:eastAsia="zh-CN"/>
        </w:rPr>
        <w:t>安装拆除除消防水管、消防阀门、消火栓箱体、喷淋头拆除费用另计，其余全部在土建清单中按项包干，安装不计此部分费用。</w:t>
      </w:r>
    </w:p>
    <w:p w14:paraId="31886A19">
      <w:pPr>
        <w:numPr>
          <w:ilvl w:val="0"/>
          <w:numId w:val="4"/>
        </w:numPr>
        <w:spacing w:line="360" w:lineRule="auto"/>
        <w:ind w:left="-20" w:leftChars="0" w:firstLine="420" w:firstLineChars="0"/>
        <w:rPr>
          <w:rFonts w:hint="eastAsia" w:ascii="宋体" w:hAnsi="宋体"/>
          <w:szCs w:val="21"/>
        </w:rPr>
      </w:pPr>
      <w:r>
        <w:rPr>
          <w:rFonts w:hint="eastAsia" w:ascii="宋体" w:hAnsi="宋体"/>
          <w:szCs w:val="21"/>
          <w:lang w:val="en-US" w:eastAsia="zh-CN"/>
        </w:rPr>
        <w:t>所有管道安装清单中已含完成该项目所需的所有管件、配件，投标单位应充分考虑后期施工时不利因素造成的管件、配件数量增加后综合考虑报价（包含各种翻弯、登高、装饰 调整、变更、签证、人工降效等），结算时不调整。</w:t>
      </w:r>
    </w:p>
    <w:p w14:paraId="6178EBBA">
      <w:pPr>
        <w:numPr>
          <w:ilvl w:val="0"/>
          <w:numId w:val="4"/>
        </w:numPr>
        <w:spacing w:line="360" w:lineRule="auto"/>
        <w:ind w:left="-20" w:leftChars="0" w:firstLine="420" w:firstLineChars="0"/>
        <w:rPr>
          <w:rFonts w:ascii="宋体" w:hAnsi="宋体"/>
          <w:szCs w:val="21"/>
        </w:rPr>
      </w:pPr>
      <w:r>
        <w:rPr>
          <w:rFonts w:hint="eastAsia" w:ascii="宋体" w:hAnsi="宋体"/>
          <w:szCs w:val="21"/>
        </w:rPr>
        <w:t>抗震支架需二次深化设计后满足相关规范及甲方要求，结算工程量按实调整。</w:t>
      </w:r>
    </w:p>
    <w:p w14:paraId="1033AE35">
      <w:pPr>
        <w:numPr>
          <w:ilvl w:val="0"/>
          <w:numId w:val="4"/>
        </w:numPr>
        <w:spacing w:line="360" w:lineRule="auto"/>
        <w:ind w:left="-20" w:leftChars="0" w:firstLine="420" w:firstLineChars="0"/>
        <w:rPr>
          <w:rFonts w:hint="eastAsia" w:ascii="宋体" w:hAnsi="宋体"/>
          <w:szCs w:val="21"/>
          <w:lang w:val="en-US" w:eastAsia="zh-CN"/>
        </w:rPr>
      </w:pPr>
      <w:r>
        <w:rPr>
          <w:rFonts w:hint="eastAsia" w:ascii="宋体" w:hAnsi="宋体"/>
          <w:szCs w:val="21"/>
        </w:rPr>
        <w:t>投标单位</w:t>
      </w:r>
      <w:r>
        <w:rPr>
          <w:rFonts w:hint="eastAsia" w:ascii="宋体" w:hAnsi="宋体"/>
          <w:szCs w:val="21"/>
          <w:lang w:val="en-US" w:eastAsia="zh-CN"/>
        </w:rPr>
        <w:t>投标报价时，</w:t>
      </w:r>
      <w:r>
        <w:rPr>
          <w:rFonts w:hint="eastAsia" w:ascii="宋体" w:hAnsi="宋体"/>
          <w:szCs w:val="21"/>
        </w:rPr>
        <w:t>选择以</w:t>
      </w:r>
      <w:r>
        <w:rPr>
          <w:rFonts w:hint="eastAsia" w:ascii="宋体" w:hAnsi="宋体"/>
          <w:szCs w:val="21"/>
          <w:lang w:val="en-US" w:eastAsia="zh-CN"/>
        </w:rPr>
        <w:t>下</w:t>
      </w:r>
      <w:r>
        <w:rPr>
          <w:rFonts w:hint="eastAsia" w:ascii="宋体" w:hAnsi="宋体"/>
          <w:szCs w:val="21"/>
        </w:rPr>
        <w:t>推荐品牌</w:t>
      </w:r>
      <w:r>
        <w:rPr>
          <w:rFonts w:hint="eastAsia" w:ascii="宋体" w:hAnsi="宋体"/>
          <w:szCs w:val="21"/>
          <w:lang w:eastAsia="zh-CN"/>
        </w:rPr>
        <w:t>。</w:t>
      </w:r>
      <w:r>
        <w:rPr>
          <w:rFonts w:hint="eastAsia" w:ascii="宋体" w:hAnsi="宋体"/>
          <w:szCs w:val="21"/>
          <w:lang w:val="en-US" w:eastAsia="zh-CN"/>
        </w:rPr>
        <w:t>如需</w:t>
      </w:r>
      <w:r>
        <w:rPr>
          <w:rFonts w:hint="eastAsia" w:ascii="宋体" w:hAnsi="宋体"/>
          <w:szCs w:val="21"/>
        </w:rPr>
        <w:t>选择性能不低于推荐品牌性能的其他品牌，应在使用前向建设单位提交拟用品牌的型号、信誉度、质量、性能、技术指标等相关证明材料，并经建设单位认可后方可使用。但投标价格不变，投标人报价时应充分考虑此因素。</w:t>
      </w:r>
    </w:p>
    <w:tbl>
      <w:tblPr>
        <w:tblStyle w:val="7"/>
        <w:tblW w:w="800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6"/>
        <w:gridCol w:w="4340"/>
        <w:gridCol w:w="3249"/>
      </w:tblGrid>
      <w:tr w14:paraId="205AB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FC3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序号</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C2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kern w:val="0"/>
                <w:sz w:val="21"/>
                <w:szCs w:val="21"/>
              </w:rPr>
              <w:t>材料名称</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E8D8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推荐品牌</w:t>
            </w:r>
          </w:p>
        </w:tc>
      </w:tr>
      <w:tr w14:paraId="1BB21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02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F2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配电箱、柜元器件</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87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德力西、正泰、北元电器</w:t>
            </w:r>
          </w:p>
        </w:tc>
      </w:tr>
      <w:tr w14:paraId="668CB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1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C3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电线电缆</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0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上上、鑫牛、双登</w:t>
            </w:r>
          </w:p>
        </w:tc>
      </w:tr>
      <w:tr w14:paraId="2E941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3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24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焊接钢管、镀锌钢管</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00A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友发钢管、国强、江苏湖光</w:t>
            </w:r>
          </w:p>
        </w:tc>
      </w:tr>
      <w:tr w14:paraId="410D1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BA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51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开关、插座面板</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32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公牛、正泰、德力西</w:t>
            </w:r>
          </w:p>
        </w:tc>
      </w:tr>
      <w:tr w14:paraId="6C05B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6A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6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灯具（普通照明）</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76A6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欧普、三雄极光、亮智、雷士</w:t>
            </w:r>
          </w:p>
        </w:tc>
      </w:tr>
      <w:tr w14:paraId="69266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8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3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水阀门</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91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上海良工、上海标一、埃美柯</w:t>
            </w:r>
          </w:p>
        </w:tc>
      </w:tr>
      <w:tr w14:paraId="229A4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F5D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C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水泵</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06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熊猫、凯泉、东方</w:t>
            </w:r>
          </w:p>
        </w:tc>
      </w:tr>
      <w:tr w14:paraId="62500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9B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C9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PPR/PE/PVC/PE-RT/PB/HDPE水管</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6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河马、日丰、伟星</w:t>
            </w:r>
          </w:p>
        </w:tc>
      </w:tr>
      <w:tr w14:paraId="76F3D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4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0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镀锌钢管、钢塑复合管</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9A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友发钢管、国强、江苏湖光</w:t>
            </w:r>
          </w:p>
        </w:tc>
      </w:tr>
      <w:tr w14:paraId="4C458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BB4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D48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不锈钢地漏、角阀、给水金属波纹管、下水塑料软管</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673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箭牌、九牧、摩恩、科勒</w:t>
            </w:r>
          </w:p>
        </w:tc>
      </w:tr>
      <w:tr w14:paraId="0A5D3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D6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B9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洁具、水龙头、花洒</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B36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九牧、恒洁、箭牌、科勒</w:t>
            </w:r>
          </w:p>
        </w:tc>
      </w:tr>
      <w:tr w14:paraId="06FAE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0D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A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普通空调挂机、柜机、中央空调、新风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〔VRV多联机）</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9BB9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格力、美的、海尔</w:t>
            </w:r>
          </w:p>
        </w:tc>
      </w:tr>
      <w:tr w14:paraId="42E8B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120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142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热水设备</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A4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史密斯、海尔、美的</w:t>
            </w:r>
          </w:p>
        </w:tc>
      </w:tr>
      <w:tr w14:paraId="556C5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63B3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14</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01A3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门磁、人脸识别等门禁系统</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24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海康威视、捷顺、安居宝</w:t>
            </w:r>
          </w:p>
        </w:tc>
      </w:tr>
      <w:tr w14:paraId="7C860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167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B2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摄像机、硬盘录像机</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07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海康威视、宇视、大华</w:t>
            </w:r>
          </w:p>
        </w:tc>
      </w:tr>
      <w:tr w14:paraId="07881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6485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2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交换机、无线AP</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08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华为、新华三、锐捷</w:t>
            </w:r>
          </w:p>
        </w:tc>
      </w:tr>
      <w:tr w14:paraId="749D5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2C4E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08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硬盘</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C0B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希捷、东芝、金士顿</w:t>
            </w:r>
          </w:p>
        </w:tc>
      </w:tr>
      <w:tr w14:paraId="21035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9DF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2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UPS</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65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山特、艾默生、伊顿</w:t>
            </w:r>
          </w:p>
        </w:tc>
      </w:tr>
      <w:tr w14:paraId="1B9DF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FD95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19</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5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网线</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31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罗格朗、西蒙、威图</w:t>
            </w:r>
          </w:p>
        </w:tc>
      </w:tr>
      <w:tr w14:paraId="50F23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3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4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19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光缆</w:t>
            </w:r>
          </w:p>
        </w:tc>
        <w:tc>
          <w:tcPr>
            <w:tcW w:w="32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9D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亨通、富通、中天</w:t>
            </w:r>
          </w:p>
        </w:tc>
      </w:tr>
    </w:tbl>
    <w:p w14:paraId="1667663F">
      <w:pPr>
        <w:pStyle w:val="3"/>
        <w:rPr>
          <w:rFonts w:hint="eastAsia" w:ascii="宋体" w:hAnsi="宋体"/>
          <w:szCs w:val="21"/>
          <w:lang w:val="en-US" w:eastAsia="zh-CN"/>
        </w:rPr>
      </w:pPr>
      <w:bookmarkStart w:id="0" w:name="_GoBack"/>
      <w:bookmarkEnd w:id="0"/>
    </w:p>
    <w:sectPr>
      <w:pgSz w:w="11906" w:h="16838"/>
      <w:pgMar w:top="1240" w:right="1800" w:bottom="1892"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EF1D0"/>
    <w:multiLevelType w:val="singleLevel"/>
    <w:tmpl w:val="868EF1D0"/>
    <w:lvl w:ilvl="0" w:tentative="0">
      <w:start w:val="2"/>
      <w:numFmt w:val="chineseCounting"/>
      <w:suff w:val="nothing"/>
      <w:lvlText w:val="%1、"/>
      <w:lvlJc w:val="left"/>
      <w:rPr>
        <w:rFonts w:hint="eastAsia"/>
      </w:rPr>
    </w:lvl>
  </w:abstractNum>
  <w:abstractNum w:abstractNumId="1">
    <w:nsid w:val="D23BD91D"/>
    <w:multiLevelType w:val="singleLevel"/>
    <w:tmpl w:val="D23BD91D"/>
    <w:lvl w:ilvl="0" w:tentative="0">
      <w:start w:val="1"/>
      <w:numFmt w:val="decimal"/>
      <w:suff w:val="nothing"/>
      <w:lvlText w:val="%1．"/>
      <w:lvlJc w:val="left"/>
      <w:pPr>
        <w:ind w:left="0" w:firstLine="400"/>
      </w:pPr>
      <w:rPr>
        <w:rFonts w:hint="default"/>
      </w:rPr>
    </w:lvl>
  </w:abstractNum>
  <w:abstractNum w:abstractNumId="2">
    <w:nsid w:val="EBDD0F3D"/>
    <w:multiLevelType w:val="singleLevel"/>
    <w:tmpl w:val="EBDD0F3D"/>
    <w:lvl w:ilvl="0" w:tentative="0">
      <w:start w:val="1"/>
      <w:numFmt w:val="decimal"/>
      <w:suff w:val="nothing"/>
      <w:lvlText w:val="%1、"/>
      <w:lvlJc w:val="left"/>
      <w:pPr>
        <w:ind w:left="-20"/>
      </w:pPr>
    </w:lvl>
  </w:abstractNum>
  <w:abstractNum w:abstractNumId="3">
    <w:nsid w:val="00000001"/>
    <w:multiLevelType w:val="multilevel"/>
    <w:tmpl w:val="00000001"/>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xN2RkODk0NTcyZGFmODk5MzE4MmE4MWJkZmQzYzgifQ=="/>
  </w:docVars>
  <w:rsids>
    <w:rsidRoot w:val="00000000"/>
    <w:rsid w:val="018362EB"/>
    <w:rsid w:val="02427F54"/>
    <w:rsid w:val="0396727E"/>
    <w:rsid w:val="03FD2384"/>
    <w:rsid w:val="06274A32"/>
    <w:rsid w:val="06E12639"/>
    <w:rsid w:val="07AA45D1"/>
    <w:rsid w:val="07B8393B"/>
    <w:rsid w:val="089201E0"/>
    <w:rsid w:val="08963CAE"/>
    <w:rsid w:val="0BB4101F"/>
    <w:rsid w:val="0FCE1079"/>
    <w:rsid w:val="10522076"/>
    <w:rsid w:val="107A7A6C"/>
    <w:rsid w:val="10882F9E"/>
    <w:rsid w:val="10E24AF3"/>
    <w:rsid w:val="124F2853"/>
    <w:rsid w:val="12F9045E"/>
    <w:rsid w:val="13A83853"/>
    <w:rsid w:val="14F90713"/>
    <w:rsid w:val="158E43B5"/>
    <w:rsid w:val="17732C32"/>
    <w:rsid w:val="17E42473"/>
    <w:rsid w:val="17F92A0B"/>
    <w:rsid w:val="19153C2D"/>
    <w:rsid w:val="1DA04055"/>
    <w:rsid w:val="1EC75611"/>
    <w:rsid w:val="276854B7"/>
    <w:rsid w:val="2A9F4483"/>
    <w:rsid w:val="2C7D37B3"/>
    <w:rsid w:val="2E497DF1"/>
    <w:rsid w:val="2FE37DD1"/>
    <w:rsid w:val="30E425BE"/>
    <w:rsid w:val="30F027A5"/>
    <w:rsid w:val="31745184"/>
    <w:rsid w:val="33DA14EB"/>
    <w:rsid w:val="345E3ECA"/>
    <w:rsid w:val="34E64C2D"/>
    <w:rsid w:val="35BE2E72"/>
    <w:rsid w:val="37D56B99"/>
    <w:rsid w:val="38EF77E6"/>
    <w:rsid w:val="39562756"/>
    <w:rsid w:val="3A2A75F2"/>
    <w:rsid w:val="3A647D60"/>
    <w:rsid w:val="3B0C6C39"/>
    <w:rsid w:val="3C906457"/>
    <w:rsid w:val="3E2A57A7"/>
    <w:rsid w:val="3E91623B"/>
    <w:rsid w:val="407A652F"/>
    <w:rsid w:val="410E02F3"/>
    <w:rsid w:val="422F1662"/>
    <w:rsid w:val="42C90064"/>
    <w:rsid w:val="446B0669"/>
    <w:rsid w:val="47574ED5"/>
    <w:rsid w:val="4A345316"/>
    <w:rsid w:val="4AE6609D"/>
    <w:rsid w:val="4B3651C4"/>
    <w:rsid w:val="4C7622A1"/>
    <w:rsid w:val="4C79769B"/>
    <w:rsid w:val="4CBC72F3"/>
    <w:rsid w:val="4D7964B6"/>
    <w:rsid w:val="4ED432AF"/>
    <w:rsid w:val="4F9F174D"/>
    <w:rsid w:val="4FB949E6"/>
    <w:rsid w:val="501665B8"/>
    <w:rsid w:val="50BB64D4"/>
    <w:rsid w:val="50D650BC"/>
    <w:rsid w:val="51C4760A"/>
    <w:rsid w:val="54FF06EB"/>
    <w:rsid w:val="55D3606E"/>
    <w:rsid w:val="58DF542F"/>
    <w:rsid w:val="5AD538EB"/>
    <w:rsid w:val="5C0E115F"/>
    <w:rsid w:val="5E892218"/>
    <w:rsid w:val="5FDB2853"/>
    <w:rsid w:val="60FD48E7"/>
    <w:rsid w:val="64B11C70"/>
    <w:rsid w:val="672E54B3"/>
    <w:rsid w:val="68BE4FAE"/>
    <w:rsid w:val="68F0088D"/>
    <w:rsid w:val="6A4E1D0F"/>
    <w:rsid w:val="6C101972"/>
    <w:rsid w:val="6E315BD0"/>
    <w:rsid w:val="6F5360A1"/>
    <w:rsid w:val="728E539F"/>
    <w:rsid w:val="77307ABD"/>
    <w:rsid w:val="783F5105"/>
    <w:rsid w:val="788259A6"/>
    <w:rsid w:val="7E014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Arial"/>
    </w:rPr>
  </w:style>
  <w:style w:type="paragraph" w:styleId="2">
    <w:name w:val="heading 2"/>
    <w:basedOn w:val="1"/>
    <w:next w:val="3"/>
    <w:unhideWhenUsed/>
    <w:qFormat/>
    <w:uiPriority w:val="9"/>
    <w:pPr>
      <w:keepNext/>
      <w:keepLines/>
      <w:spacing w:before="260" w:after="260" w:line="416" w:lineRule="auto"/>
      <w:outlineLvl w:val="1"/>
    </w:pPr>
    <w:rPr>
      <w:rFonts w:ascii="Arial" w:hAnsi="Arial" w:eastAsia="黑体"/>
      <w:b/>
      <w:bC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Indent"/>
    <w:basedOn w:val="1"/>
    <w:qFormat/>
    <w:uiPriority w:val="0"/>
    <w:pPr>
      <w:widowControl/>
      <w:tabs>
        <w:tab w:val="left" w:pos="0"/>
        <w:tab w:val="left" w:pos="993"/>
        <w:tab w:val="left" w:pos="1134"/>
      </w:tabs>
      <w:spacing w:line="500" w:lineRule="exact"/>
      <w:ind w:firstLine="567"/>
    </w:pPr>
    <w:rPr>
      <w:rFonts w:ascii="宋体"/>
      <w:kern w:val="0"/>
      <w:sz w:val="28"/>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21"/>
    <w:basedOn w:val="9"/>
    <w:qFormat/>
    <w:uiPriority w:val="0"/>
    <w:rPr>
      <w:rFonts w:hint="eastAsia" w:ascii="宋体" w:hAnsi="宋体" w:eastAsia="宋体" w:cs="宋体"/>
      <w:color w:val="000000"/>
      <w:sz w:val="21"/>
      <w:szCs w:val="21"/>
      <w:u w:val="none"/>
    </w:rPr>
  </w:style>
  <w:style w:type="character" w:customStyle="1" w:styleId="11">
    <w:name w:val="font31"/>
    <w:basedOn w:val="9"/>
    <w:qFormat/>
    <w:uiPriority w:val="0"/>
    <w:rPr>
      <w:rFonts w:hint="eastAsia" w:ascii="宋体" w:hAnsi="宋体" w:eastAsia="宋体" w:cs="宋体"/>
      <w:b/>
      <w:color w:val="000000"/>
      <w:sz w:val="21"/>
      <w:szCs w:val="21"/>
      <w:u w:val="none"/>
    </w:rPr>
  </w:style>
  <w:style w:type="character" w:customStyle="1" w:styleId="12">
    <w:name w:val="font11"/>
    <w:basedOn w:val="9"/>
    <w:qFormat/>
    <w:uiPriority w:val="0"/>
    <w:rPr>
      <w:rFonts w:ascii="Calibri" w:hAnsi="Calibri" w:cs="Calibri"/>
      <w:color w:val="000000"/>
      <w:sz w:val="21"/>
      <w:szCs w:val="21"/>
      <w:u w:val="none"/>
    </w:rPr>
  </w:style>
  <w:style w:type="character" w:customStyle="1" w:styleId="13">
    <w:name w:val="font01"/>
    <w:basedOn w:val="9"/>
    <w:qFormat/>
    <w:uiPriority w:val="0"/>
    <w:rPr>
      <w:rFonts w:hint="eastAsia" w:ascii="宋体" w:hAnsi="宋体" w:eastAsia="宋体" w:cs="宋体"/>
      <w:b/>
      <w:color w:val="000000"/>
      <w:sz w:val="21"/>
      <w:szCs w:val="21"/>
      <w:u w:val="none"/>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2984</Words>
  <Characters>3041</Characters>
  <Lines>0</Lines>
  <Paragraphs>0</Paragraphs>
  <TotalTime>8</TotalTime>
  <ScaleCrop>false</ScaleCrop>
  <LinksUpToDate>false</LinksUpToDate>
  <CharactersWithSpaces>3043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2020-08-03T04:32:00Z</dcterms:created>
  <dc:creator>Administrator</dc:creator>
  <cp:lastModifiedBy>猫猫</cp:lastModifiedBy>
  <cp:lastPrinted>2025-07-07T01:55:00Z</cp:lastPrinted>
  <dcterms:modified xsi:type="dcterms:W3CDTF">2025-07-07T06:21:01Z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911F2DC6BE2743B4AF6210510135B1C4_13</vt:lpwstr>
  </property>
  <property fmtid="{D5CDD505-2E9C-101B-9397-08002B2CF9AE}" pid="4" name="KSOTemplateDocerSaveRecord">
    <vt:lpwstr>eyJoZGlkIjoiNGIyZWRhYjYxNGMyZmJlMjdmNWNmNzk0NWMwZGJkZWEiLCJ1c2VySWQiOiI3MTY2NjIyNTYifQ==</vt:lpwstr>
  </property>
</Properties>
</file>