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190A0">
      <w:pPr>
        <w:jc w:val="center"/>
        <w:rPr>
          <w:rFonts w:hint="eastAsia" w:ascii="黑体" w:hAnsi="黑体" w:eastAsia="黑体" w:cs="黑体"/>
          <w:b/>
          <w:bCs/>
          <w:sz w:val="32"/>
          <w:szCs w:val="32"/>
        </w:rPr>
      </w:pPr>
      <w:r>
        <w:rPr>
          <w:rFonts w:hint="eastAsia" w:ascii="黑体" w:hAnsi="黑体" w:eastAsia="黑体" w:cs="黑体"/>
          <w:b/>
          <w:bCs/>
          <w:sz w:val="32"/>
          <w:szCs w:val="32"/>
        </w:rPr>
        <w:t>河海实验学校教室护眼灯照明改造工程</w:t>
      </w:r>
    </w:p>
    <w:p w14:paraId="7086A0A9">
      <w:pPr>
        <w:jc w:val="center"/>
        <w:rPr>
          <w:rFonts w:ascii="黑体" w:hAnsi="黑体" w:eastAsia="黑体" w:cs="黑体"/>
          <w:b/>
          <w:bCs/>
          <w:sz w:val="32"/>
          <w:szCs w:val="32"/>
        </w:rPr>
      </w:pPr>
      <w:bookmarkStart w:id="0" w:name="_GoBack"/>
      <w:bookmarkEnd w:id="0"/>
      <w:r>
        <w:rPr>
          <w:rFonts w:hint="eastAsia" w:ascii="黑体" w:hAnsi="黑体" w:eastAsia="黑体" w:cs="黑体"/>
          <w:b/>
          <w:bCs/>
          <w:sz w:val="32"/>
          <w:szCs w:val="32"/>
        </w:rPr>
        <w:t>工程量清单、招标控制价编制说明</w:t>
      </w:r>
    </w:p>
    <w:p w14:paraId="119AD221">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rPr>
        <w:t>一、编制依据及编制范围</w:t>
      </w:r>
    </w:p>
    <w:p w14:paraId="4F465E7D">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1、《建设工程工程量清单计价规范》GB50500-2013；</w:t>
      </w:r>
    </w:p>
    <w:p w14:paraId="2CA667D9">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2、《江苏省建筑与装饰工程计价定额》2014版；</w:t>
      </w:r>
    </w:p>
    <w:p w14:paraId="10971BA0">
      <w:pPr>
        <w:spacing w:line="360" w:lineRule="auto"/>
        <w:ind w:firstLine="480" w:firstLineChars="200"/>
        <w:rPr>
          <w:rFonts w:hint="eastAsia"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3、《江苏省安装工程计价定额》2014版；</w:t>
      </w:r>
    </w:p>
    <w:p w14:paraId="23379728">
      <w:pPr>
        <w:spacing w:line="360" w:lineRule="auto"/>
        <w:ind w:firstLine="480" w:firstLineChars="200"/>
        <w:rPr>
          <w:rFonts w:hint="eastAsia" w:cs="宋体" w:asciiTheme="minorEastAsia" w:hAnsiTheme="minorEastAsia" w:eastAsiaTheme="minorEastAsia"/>
          <w:color w:val="000000" w:themeColor="text1"/>
          <w:sz w:val="24"/>
          <w:lang w:val="en-US" w:eastAsia="zh-CN"/>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4、</w:t>
      </w:r>
      <w:r>
        <w:rPr>
          <w:rFonts w:hint="eastAsia" w:cs="宋体" w:asciiTheme="minorEastAsia" w:hAnsiTheme="minorEastAsia"/>
          <w:color w:val="000000" w:themeColor="text1"/>
          <w:sz w:val="24"/>
          <w14:textFill>
            <w14:solidFill>
              <w14:schemeClr w14:val="tx1"/>
            </w14:solidFill>
          </w14:textFill>
        </w:rPr>
        <w:t>《江苏省</w:t>
      </w:r>
      <w:r>
        <w:rPr>
          <w:rFonts w:hint="eastAsia" w:cs="宋体" w:asciiTheme="minorEastAsia" w:hAnsiTheme="minorEastAsia"/>
          <w:color w:val="000000" w:themeColor="text1"/>
          <w:sz w:val="24"/>
          <w:lang w:val="en-US" w:eastAsia="zh-CN"/>
          <w14:textFill>
            <w14:solidFill>
              <w14:schemeClr w14:val="tx1"/>
            </w14:solidFill>
          </w14:textFill>
        </w:rPr>
        <w:t>市政</w:t>
      </w:r>
      <w:r>
        <w:rPr>
          <w:rFonts w:hint="eastAsia" w:cs="宋体" w:asciiTheme="minorEastAsia" w:hAnsiTheme="minorEastAsia"/>
          <w:color w:val="000000" w:themeColor="text1"/>
          <w:sz w:val="24"/>
          <w14:textFill>
            <w14:solidFill>
              <w14:schemeClr w14:val="tx1"/>
            </w14:solidFill>
          </w14:textFill>
        </w:rPr>
        <w:t>工程计价定额》2014版</w:t>
      </w:r>
    </w:p>
    <w:p w14:paraId="6C50E212">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5</w:t>
      </w:r>
      <w:r>
        <w:rPr>
          <w:rFonts w:hint="eastAsia" w:cs="宋体" w:asciiTheme="minorEastAsia" w:hAnsiTheme="minorEastAsia"/>
          <w:color w:val="000000" w:themeColor="text1"/>
          <w:sz w:val="24"/>
          <w14:textFill>
            <w14:solidFill>
              <w14:schemeClr w14:val="tx1"/>
            </w14:solidFill>
          </w14:textFill>
        </w:rPr>
        <w:t>、《江苏省2014机械台班定额》；</w:t>
      </w:r>
    </w:p>
    <w:p w14:paraId="473483E2">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6</w:t>
      </w:r>
      <w:r>
        <w:rPr>
          <w:rFonts w:hint="eastAsia" w:cs="宋体" w:asciiTheme="minorEastAsia" w:hAnsiTheme="minorEastAsia"/>
          <w:color w:val="000000" w:themeColor="text1"/>
          <w:sz w:val="24"/>
          <w14:textFill>
            <w14:solidFill>
              <w14:schemeClr w14:val="tx1"/>
            </w14:solidFill>
          </w14:textFill>
        </w:rPr>
        <w:t>、《房屋建筑与装饰工程工程量计算规范》GB50854-2013；</w:t>
      </w:r>
    </w:p>
    <w:p w14:paraId="4B85DB7F">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7</w:t>
      </w:r>
      <w:r>
        <w:rPr>
          <w:rFonts w:hint="eastAsia" w:cs="宋体" w:asciiTheme="minorEastAsia" w:hAnsiTheme="minorEastAsia"/>
          <w:color w:val="000000" w:themeColor="text1"/>
          <w:sz w:val="24"/>
          <w14:textFill>
            <w14:solidFill>
              <w14:schemeClr w14:val="tx1"/>
            </w14:solidFill>
          </w14:textFill>
        </w:rPr>
        <w:t>、《通用安装工程工程量计算规范》GB50856-2013；</w:t>
      </w:r>
    </w:p>
    <w:p w14:paraId="4BEF19D0">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8</w:t>
      </w:r>
      <w:r>
        <w:rPr>
          <w:rFonts w:hint="eastAsia" w:cs="宋体" w:asciiTheme="minorEastAsia" w:hAnsiTheme="minorEastAsia"/>
          <w:color w:val="000000" w:themeColor="text1"/>
          <w:sz w:val="24"/>
          <w14:textFill>
            <w14:solidFill>
              <w14:schemeClr w14:val="tx1"/>
            </w14:solidFill>
          </w14:textFill>
        </w:rPr>
        <w:t>、《江苏省建设工程费用定额》（</w:t>
      </w:r>
      <w:r>
        <w:rPr>
          <w:rFonts w:cs="宋体" w:asciiTheme="minorEastAsia" w:hAnsiTheme="minorEastAsia"/>
          <w:color w:val="000000" w:themeColor="text1"/>
          <w:sz w:val="24"/>
          <w14:textFill>
            <w14:solidFill>
              <w14:schemeClr w14:val="tx1"/>
            </w14:solidFill>
          </w14:textFill>
        </w:rPr>
        <w:t>20</w:t>
      </w:r>
      <w:r>
        <w:rPr>
          <w:rFonts w:hint="eastAsia" w:cs="宋体" w:asciiTheme="minorEastAsia" w:hAnsiTheme="minorEastAsia"/>
          <w:color w:val="000000" w:themeColor="text1"/>
          <w:sz w:val="24"/>
          <w14:textFill>
            <w14:solidFill>
              <w14:schemeClr w14:val="tx1"/>
            </w14:solidFill>
          </w14:textFill>
        </w:rPr>
        <w:t>14版)；</w:t>
      </w:r>
    </w:p>
    <w:p w14:paraId="34E1751E">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9</w:t>
      </w:r>
      <w:r>
        <w:rPr>
          <w:rFonts w:hint="eastAsia" w:cs="宋体" w:asciiTheme="minorEastAsia" w:hAnsiTheme="minorEastAsia"/>
          <w:color w:val="000000" w:themeColor="text1"/>
          <w:sz w:val="24"/>
          <w14:textFill>
            <w14:solidFill>
              <w14:schemeClr w14:val="tx1"/>
            </w14:solidFill>
          </w14:textFill>
        </w:rPr>
        <w:t>、苏建价[2014]448号、苏建价〔2016〕154号、常建〔2016〕94号、常建(2014)279号、常建2017（103）、常建[2018]26号、苏建函价[2019]178号文、常建[2019]1号文、</w:t>
      </w:r>
      <w:r>
        <w:rPr>
          <w:rFonts w:hint="eastAsia" w:ascii="宋体" w:hAnsi="宋体"/>
          <w:sz w:val="24"/>
        </w:rPr>
        <w:t>省住建厅〔2019〕第</w:t>
      </w:r>
      <w:r>
        <w:rPr>
          <w:rFonts w:hint="eastAsia" w:ascii="宋体" w:hAnsi="宋体" w:eastAsia="宋体" w:cs="Times New Roman"/>
          <w:sz w:val="24"/>
        </w:rPr>
        <w:t>19号文、省住建厅〔2021〕第16号、常住建〔2021〕174号等现行计价文件及规定</w:t>
      </w:r>
      <w:r>
        <w:rPr>
          <w:rFonts w:hint="eastAsia" w:cs="宋体" w:asciiTheme="minorEastAsia" w:hAnsiTheme="minorEastAsia"/>
          <w:color w:val="000000" w:themeColor="text1"/>
          <w:sz w:val="24"/>
          <w14:textFill>
            <w14:solidFill>
              <w14:schemeClr w14:val="tx1"/>
            </w14:solidFill>
          </w14:textFill>
        </w:rPr>
        <w:t>；</w:t>
      </w:r>
    </w:p>
    <w:p w14:paraId="3F85EC9E">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10</w:t>
      </w:r>
      <w:r>
        <w:rPr>
          <w:rFonts w:hint="eastAsia" w:cs="宋体" w:asciiTheme="minorEastAsia" w:hAnsiTheme="minorEastAsia"/>
          <w:color w:val="000000" w:themeColor="text1"/>
          <w:sz w:val="24"/>
          <w14:textFill>
            <w14:solidFill>
              <w14:schemeClr w14:val="tx1"/>
            </w14:solidFill>
          </w14:textFill>
        </w:rPr>
        <w:t>、委托方提供的</w:t>
      </w:r>
      <w:r>
        <w:rPr>
          <w:rFonts w:hint="eastAsia" w:cs="宋体" w:asciiTheme="minorEastAsia" w:hAnsiTheme="minorEastAsia"/>
          <w:color w:val="000000" w:themeColor="text1"/>
          <w:sz w:val="24"/>
          <w:lang w:val="en-US" w:eastAsia="zh-CN"/>
          <w14:textFill>
            <w14:solidFill>
              <w14:schemeClr w14:val="tx1"/>
            </w14:solidFill>
          </w14:textFill>
        </w:rPr>
        <w:t>改造清单</w:t>
      </w:r>
      <w:r>
        <w:rPr>
          <w:rFonts w:hint="eastAsia" w:cs="宋体" w:asciiTheme="minorEastAsia" w:hAnsiTheme="minorEastAsia"/>
          <w:color w:val="000000" w:themeColor="text1"/>
          <w:sz w:val="24"/>
          <w14:textFill>
            <w14:solidFill>
              <w14:schemeClr w14:val="tx1"/>
            </w14:solidFill>
          </w14:textFill>
        </w:rPr>
        <w:t>；</w:t>
      </w:r>
    </w:p>
    <w:p w14:paraId="5E99C88D">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rPr>
        <w:t>二、编制说明</w:t>
      </w:r>
    </w:p>
    <w:p w14:paraId="18031C22">
      <w:pPr>
        <w:tabs>
          <w:tab w:val="left" w:pos="0"/>
          <w:tab w:val="left" w:pos="540"/>
        </w:tabs>
        <w:spacing w:line="360" w:lineRule="auto"/>
        <w:rPr>
          <w:rFonts w:cs="宋体" w:asciiTheme="minorEastAsia" w:hAnsiTheme="minorEastAsia"/>
          <w:b/>
          <w:sz w:val="24"/>
        </w:rPr>
      </w:pPr>
      <w:r>
        <w:rPr>
          <w:rFonts w:hint="eastAsia" w:asciiTheme="minorEastAsia" w:hAnsiTheme="minorEastAsia"/>
          <w:b/>
          <w:bCs/>
          <w:sz w:val="24"/>
        </w:rPr>
        <w:t>（一）、通用编制说明</w:t>
      </w:r>
    </w:p>
    <w:p w14:paraId="54C1F372">
      <w:pPr>
        <w:spacing w:line="360" w:lineRule="auto"/>
        <w:ind w:firstLine="480" w:firstLineChars="200"/>
        <w:rPr>
          <w:rFonts w:cs="宋体" w:asciiTheme="minorEastAsia" w:hAnsiTheme="minorEastAsia"/>
          <w:sz w:val="24"/>
        </w:rPr>
      </w:pPr>
      <w:r>
        <w:rPr>
          <w:rFonts w:hint="eastAsia" w:cs="宋体" w:asciiTheme="minorEastAsia" w:hAnsiTheme="minorEastAsia"/>
          <w:color w:val="000000" w:themeColor="text1"/>
          <w:sz w:val="24"/>
          <w14:textFill>
            <w14:solidFill>
              <w14:schemeClr w14:val="tx1"/>
            </w14:solidFill>
          </w14:textFill>
        </w:rPr>
        <w:t>1.工程类别：</w:t>
      </w:r>
      <w:r>
        <w:rPr>
          <w:rFonts w:hint="eastAsia" w:cs="宋体" w:asciiTheme="minorEastAsia" w:hAnsiTheme="minorEastAsia"/>
          <w:color w:val="000000" w:themeColor="text1"/>
          <w:sz w:val="24"/>
          <w:lang w:val="en-US" w:eastAsia="zh-CN"/>
          <w14:textFill>
            <w14:solidFill>
              <w14:schemeClr w14:val="tx1"/>
            </w14:solidFill>
          </w14:textFill>
        </w:rPr>
        <w:t>三类工程</w:t>
      </w:r>
      <w:r>
        <w:rPr>
          <w:rFonts w:hint="eastAsia" w:cs="宋体" w:asciiTheme="minorEastAsia" w:hAnsiTheme="minorEastAsia"/>
          <w:sz w:val="24"/>
        </w:rPr>
        <w:t>。</w:t>
      </w:r>
    </w:p>
    <w:p w14:paraId="463D81E1">
      <w:pPr>
        <w:numPr>
          <w:ilvl w:val="0"/>
          <w:numId w:val="1"/>
        </w:numPr>
        <w:spacing w:line="360" w:lineRule="auto"/>
        <w:ind w:firstLine="472" w:firstLineChars="200"/>
        <w:rPr>
          <w:rFonts w:ascii="宋体" w:hAnsi="宋体" w:eastAsia="宋体" w:cs="宋体"/>
          <w:spacing w:val="-2"/>
          <w:sz w:val="24"/>
        </w:rPr>
      </w:pPr>
      <w:r>
        <w:rPr>
          <w:rFonts w:ascii="宋体" w:hAnsi="宋体" w:eastAsia="宋体" w:cs="宋体"/>
          <w:spacing w:val="-2"/>
          <w:sz w:val="24"/>
        </w:rPr>
        <w:t>人工费按</w:t>
      </w:r>
      <w:r>
        <w:rPr>
          <w:rFonts w:hint="eastAsia" w:ascii="宋体" w:hAnsi="宋体" w:eastAsia="宋体" w:cs="宋体"/>
          <w:spacing w:val="-2"/>
          <w:sz w:val="24"/>
        </w:rPr>
        <w:t>苏建函价〔2025〕66号</w:t>
      </w:r>
      <w:r>
        <w:rPr>
          <w:rFonts w:ascii="宋体" w:hAnsi="宋体" w:eastAsia="宋体" w:cs="宋体"/>
          <w:spacing w:val="-2"/>
          <w:sz w:val="24"/>
        </w:rPr>
        <w:t>执行。</w:t>
      </w:r>
    </w:p>
    <w:p w14:paraId="3917D4FD">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3.材料价格：执行202</w:t>
      </w:r>
      <w:r>
        <w:rPr>
          <w:rFonts w:hint="eastAsia" w:cs="宋体" w:asciiTheme="minorEastAsia" w:hAnsiTheme="minorEastAsia"/>
          <w:color w:val="000000" w:themeColor="text1"/>
          <w:sz w:val="24"/>
          <w:lang w:val="en-US" w:eastAsia="zh-CN"/>
          <w14:textFill>
            <w14:solidFill>
              <w14:schemeClr w14:val="tx1"/>
            </w14:solidFill>
          </w14:textFill>
        </w:rPr>
        <w:t>5</w:t>
      </w:r>
      <w:r>
        <w:rPr>
          <w:rFonts w:hint="eastAsia" w:cs="宋体" w:asciiTheme="minorEastAsia" w:hAnsiTheme="minorEastAsia"/>
          <w:color w:val="000000" w:themeColor="text1"/>
          <w:sz w:val="24"/>
          <w14:textFill>
            <w14:solidFill>
              <w14:schemeClr w14:val="tx1"/>
            </w14:solidFill>
          </w14:textFill>
        </w:rPr>
        <w:t>年</w:t>
      </w:r>
      <w:r>
        <w:rPr>
          <w:rFonts w:hint="eastAsia" w:cs="宋体" w:asciiTheme="minorEastAsia" w:hAnsiTheme="minorEastAsia"/>
          <w:color w:val="000000" w:themeColor="text1"/>
          <w:sz w:val="24"/>
          <w:lang w:val="en-US" w:eastAsia="zh-CN"/>
          <w14:textFill>
            <w14:solidFill>
              <w14:schemeClr w14:val="tx1"/>
            </w14:solidFill>
          </w14:textFill>
        </w:rPr>
        <w:t>6</w:t>
      </w:r>
      <w:r>
        <w:rPr>
          <w:rFonts w:hint="eastAsia" w:cs="宋体" w:asciiTheme="minorEastAsia" w:hAnsiTheme="minorEastAsia"/>
          <w:color w:val="000000" w:themeColor="text1"/>
          <w:sz w:val="24"/>
          <w14:textFill>
            <w14:solidFill>
              <w14:schemeClr w14:val="tx1"/>
            </w14:solidFill>
          </w14:textFill>
        </w:rPr>
        <w:t>月《常州工程造价信息》中的建筑(或安装)材料除税价，本月未提供的逐月前推，信息价无提供价格的按市场价询价计入。</w:t>
      </w:r>
    </w:p>
    <w:p w14:paraId="29084890">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4.凡本清单内容中明确的，按清单的要求编制投标报价；本清单未作说明的，按上述规范、文件和要求编制投标报价。</w:t>
      </w:r>
    </w:p>
    <w:p w14:paraId="028F09CD">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5.</w:t>
      </w:r>
      <w:r>
        <w:rPr>
          <w:rFonts w:cs="宋体" w:asciiTheme="minorEastAsia" w:hAnsiTheme="minorEastAsia"/>
          <w:color w:val="000000" w:themeColor="text1"/>
          <w:sz w:val="24"/>
          <w14:textFill>
            <w14:solidFill>
              <w14:schemeClr w14:val="tx1"/>
            </w14:solidFill>
          </w14:textFill>
        </w:rPr>
        <w:t>金额（价格）均应以人民币表示</w:t>
      </w:r>
      <w:r>
        <w:rPr>
          <w:rFonts w:hint="eastAsia" w:cs="宋体" w:asciiTheme="minorEastAsia" w:hAnsiTheme="minorEastAsia"/>
          <w:color w:val="000000" w:themeColor="text1"/>
          <w:sz w:val="24"/>
          <w14:textFill>
            <w14:solidFill>
              <w14:schemeClr w14:val="tx1"/>
            </w14:solidFill>
          </w14:textFill>
        </w:rPr>
        <w:t>。</w:t>
      </w:r>
    </w:p>
    <w:p w14:paraId="395AC627">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6.</w:t>
      </w:r>
      <w:r>
        <w:rPr>
          <w:rFonts w:cs="宋体" w:asciiTheme="minorEastAsia" w:hAnsiTheme="minorEastAsia"/>
          <w:color w:val="000000" w:themeColor="text1"/>
          <w:sz w:val="24"/>
          <w14:textFill>
            <w14:solidFill>
              <w14:schemeClr w14:val="tx1"/>
            </w14:solidFill>
          </w14:textFill>
        </w:rPr>
        <w:t>工程量清单及其计价格式中的任何内容不得随意删除或涂改</w:t>
      </w:r>
      <w:r>
        <w:rPr>
          <w:rFonts w:hint="eastAsia" w:cs="宋体" w:asciiTheme="minorEastAsia" w:hAnsiTheme="minorEastAsia"/>
          <w:color w:val="000000" w:themeColor="text1"/>
          <w:sz w:val="24"/>
          <w14:textFill>
            <w14:solidFill>
              <w14:schemeClr w14:val="tx1"/>
            </w14:solidFill>
          </w14:textFill>
        </w:rPr>
        <w:t>。</w:t>
      </w:r>
    </w:p>
    <w:p w14:paraId="23D19914">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7.</w:t>
      </w:r>
      <w:r>
        <w:rPr>
          <w:rFonts w:cs="宋体" w:asciiTheme="minorEastAsia" w:hAnsiTheme="minorEastAsia"/>
          <w:color w:val="000000" w:themeColor="text1"/>
          <w:sz w:val="24"/>
          <w14:textFill>
            <w14:solidFill>
              <w14:schemeClr w14:val="tx1"/>
            </w14:solidFill>
          </w14:textFill>
        </w:rPr>
        <w:t>工程量清单计价格式中列明的所有需要填报的单价和合价，投标人均应填报，未填报的单价和合价，视为此项费用已包含在工程量清单的其他单价和合价中</w:t>
      </w:r>
      <w:r>
        <w:rPr>
          <w:rFonts w:hint="eastAsia" w:cs="宋体" w:asciiTheme="minorEastAsia" w:hAnsiTheme="minorEastAsia"/>
          <w:color w:val="000000" w:themeColor="text1"/>
          <w:sz w:val="24"/>
          <w14:textFill>
            <w14:solidFill>
              <w14:schemeClr w14:val="tx1"/>
            </w14:solidFill>
          </w14:textFill>
        </w:rPr>
        <w:t>。</w:t>
      </w:r>
    </w:p>
    <w:p w14:paraId="20DE162C">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8.措施项目清单中的现场安全文明施工费为不可竞争费，含基本费和扬尘污染防治增加费。</w:t>
      </w:r>
    </w:p>
    <w:p w14:paraId="0A03C7BD">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9.根据项目特点，本工程在单位工程的其他项目清单中设置了暂列金额项目，为不可竞争费，投标报价时不得调整。</w:t>
      </w:r>
    </w:p>
    <w:p w14:paraId="329BBC87">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10.规费、税金项目清单中所列费用的费率均为不可竞争费率，投标报价时不得调整。</w:t>
      </w:r>
    </w:p>
    <w:p w14:paraId="5CCBE681">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11.本工程施工所需水、电等由承包人负责，相关费用在投标报价中考虑。</w:t>
      </w:r>
    </w:p>
    <w:p w14:paraId="3B767073">
      <w:pPr>
        <w:spacing w:line="360" w:lineRule="auto"/>
        <w:ind w:firstLine="472" w:firstLineChars="200"/>
        <w:rPr>
          <w:rFonts w:ascii="宋体" w:hAnsi="宋体" w:eastAsia="宋体" w:cs="宋体"/>
          <w:spacing w:val="-2"/>
          <w:sz w:val="24"/>
        </w:rPr>
      </w:pPr>
      <w:r>
        <w:rPr>
          <w:rFonts w:hint="eastAsia" w:ascii="宋体" w:hAnsi="宋体" w:eastAsia="宋体" w:cs="宋体"/>
          <w:spacing w:val="-2"/>
          <w:sz w:val="24"/>
        </w:rPr>
        <w:t>12.</w:t>
      </w:r>
      <w:r>
        <w:rPr>
          <w:rFonts w:ascii="宋体" w:hAnsi="宋体" w:eastAsia="宋体" w:cs="宋体"/>
          <w:spacing w:val="-2"/>
          <w:sz w:val="24"/>
        </w:rPr>
        <w:t>社会保障费、住房公积金、税金费率详见工程量清单。</w:t>
      </w:r>
    </w:p>
    <w:p w14:paraId="6FB82B24">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w:t>
      </w:r>
      <w:r>
        <w:rPr>
          <w:rFonts w:hint="eastAsia" w:cs="宋体" w:asciiTheme="minorEastAsia" w:hAnsiTheme="minorEastAsia"/>
          <w:color w:val="000000" w:themeColor="text1"/>
          <w:sz w:val="24"/>
          <w:lang w:val="en-US" w:eastAsia="zh-CN"/>
          <w14:textFill>
            <w14:solidFill>
              <w14:schemeClr w14:val="tx1"/>
            </w14:solidFill>
          </w14:textFill>
        </w:rPr>
        <w:t>3</w:t>
      </w:r>
      <w:r>
        <w:rPr>
          <w:rFonts w:hint="eastAsia" w:cs="宋体" w:asciiTheme="minorEastAsia" w:hAnsiTheme="minorEastAsia"/>
          <w:color w:val="000000" w:themeColor="text1"/>
          <w:sz w:val="24"/>
          <w14:textFill>
            <w14:solidFill>
              <w14:schemeClr w14:val="tx1"/>
            </w14:solidFill>
          </w14:textFill>
        </w:rPr>
        <w:t>.</w:t>
      </w:r>
      <w:r>
        <w:rPr>
          <w:rFonts w:hint="eastAsia" w:ascii="宋体" w:hAnsi="宋体" w:cs="宋体"/>
          <w:sz w:val="24"/>
        </w:rPr>
        <w:t>投标人应自行认真勘察现场，对清单中单价措施项目或总价措施项目需要补充的，必须在招标释疑中提出，否则结算时按原有清单措施项目进行结算，不再补充相应措施项目。结算时，除工程变更引起的施工方案改变外，不得以措施项目清单漏项为由要求新增措施项目。</w:t>
      </w:r>
    </w:p>
    <w:p w14:paraId="58A9859D">
      <w:pPr>
        <w:spacing w:line="500" w:lineRule="exact"/>
        <w:ind w:firstLine="480" w:firstLineChars="200"/>
        <w:rPr>
          <w:rFonts w:ascii="宋体" w:hAnsi="宋体" w:cs="宋体"/>
          <w:sz w:val="24"/>
        </w:rPr>
      </w:pP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4</w:t>
      </w:r>
      <w:r>
        <w:rPr>
          <w:rFonts w:hint="eastAsia" w:ascii="Times New Roman" w:hAnsi="Times New Roman" w:eastAsia="宋体" w:cs="Times New Roman"/>
          <w:sz w:val="24"/>
        </w:rPr>
        <w:t>.对已完工程及设备保护采取覆盖、包裹、封闭、隔离、不同材质、方式、方法等必要保护措施所发生的任何费用均由投标人综合考虑报价，结算时不调整。</w:t>
      </w:r>
    </w:p>
    <w:p w14:paraId="687A8CF4">
      <w:pPr>
        <w:adjustRightInd w:val="0"/>
        <w:snapToGrid w:val="0"/>
        <w:spacing w:line="500" w:lineRule="exact"/>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5</w:t>
      </w:r>
      <w:r>
        <w:rPr>
          <w:rFonts w:hint="eastAsia" w:ascii="宋体" w:hAnsi="宋体" w:cs="宋体"/>
          <w:sz w:val="24"/>
        </w:rPr>
        <w:t>.现场材料（设备）的二次搬运所发生的费用，由投标人依据现场实际情况自行考虑，均含在相应的综合单价内，不另行签证计取。</w:t>
      </w:r>
    </w:p>
    <w:p w14:paraId="6D9E324A">
      <w:pPr>
        <w:adjustRightInd w:val="0"/>
        <w:snapToGrid w:val="0"/>
        <w:spacing w:line="500" w:lineRule="exact"/>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6</w:t>
      </w:r>
      <w:r>
        <w:rPr>
          <w:rFonts w:hint="eastAsia" w:ascii="宋体" w:hAnsi="宋体" w:cs="宋体"/>
          <w:sz w:val="24"/>
        </w:rPr>
        <w:t>.分部分项工程量清单及单价措施项目清单中以项为单位的均为包干价，投标方需认真勘察现场并结合自身情况，自行考虑造价风险投标报价，结算时不做调整。</w:t>
      </w:r>
    </w:p>
    <w:p w14:paraId="18957B4D">
      <w:pPr>
        <w:spacing w:line="50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lang w:val="en-US" w:eastAsia="zh-CN"/>
        </w:rPr>
        <w:t>17</w:t>
      </w:r>
      <w:r>
        <w:rPr>
          <w:rFonts w:hint="eastAsia" w:ascii="Times New Roman" w:hAnsi="Times New Roman" w:eastAsia="宋体" w:cs="Times New Roman"/>
          <w:sz w:val="24"/>
        </w:rPr>
        <w:t>.投标人现场施工需按照常住建〔2021〕174号文件的规定，满足安全生产标准化管理、安全生产标准化示范工地等提升要求，所增加的费用均应包含在措施项目费中，结算时不另行计取，投标人报价时应充分考虑此因素后报价。</w:t>
      </w:r>
    </w:p>
    <w:p w14:paraId="143906B8">
      <w:pPr>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18</w:t>
      </w:r>
      <w:r>
        <w:rPr>
          <w:rFonts w:hint="eastAsia" w:cs="宋体" w:asciiTheme="minorEastAsia" w:hAnsiTheme="minorEastAsia"/>
          <w:color w:val="000000" w:themeColor="text1"/>
          <w:sz w:val="24"/>
          <w14:textFill>
            <w14:solidFill>
              <w14:schemeClr w14:val="tx1"/>
            </w14:solidFill>
          </w14:textFill>
        </w:rPr>
        <w:t>.本工程不计取赶工费用。</w:t>
      </w:r>
    </w:p>
    <w:p w14:paraId="068EF48D">
      <w:pPr>
        <w:spacing w:line="360" w:lineRule="auto"/>
        <w:rPr>
          <w:rFonts w:asciiTheme="minorEastAsia" w:hAnsiTheme="minorEastAsia"/>
          <w:b/>
          <w:bCs/>
          <w:sz w:val="24"/>
        </w:rPr>
      </w:pPr>
      <w:r>
        <w:rPr>
          <w:rFonts w:hint="eastAsia" w:asciiTheme="minorEastAsia" w:hAnsiTheme="minorEastAsia"/>
          <w:b/>
          <w:bCs/>
          <w:sz w:val="24"/>
        </w:rPr>
        <w:t>（</w:t>
      </w:r>
      <w:r>
        <w:rPr>
          <w:rFonts w:hint="eastAsia" w:asciiTheme="minorEastAsia" w:hAnsiTheme="minorEastAsia"/>
          <w:b/>
          <w:bCs/>
          <w:sz w:val="24"/>
          <w:lang w:val="en-US" w:eastAsia="zh-CN"/>
        </w:rPr>
        <w:t>二</w:t>
      </w:r>
      <w:r>
        <w:rPr>
          <w:rFonts w:hint="eastAsia" w:asciiTheme="minorEastAsia" w:hAnsiTheme="minorEastAsia"/>
          <w:b/>
          <w:bCs/>
          <w:sz w:val="24"/>
        </w:rPr>
        <w:t>）、</w:t>
      </w:r>
      <w:r>
        <w:rPr>
          <w:rFonts w:hint="eastAsia" w:asciiTheme="minorEastAsia" w:hAnsiTheme="minorEastAsia"/>
          <w:b/>
          <w:bCs/>
          <w:sz w:val="24"/>
          <w:lang w:val="en-US" w:eastAsia="zh-CN"/>
        </w:rPr>
        <w:t>专项</w:t>
      </w:r>
      <w:r>
        <w:rPr>
          <w:rFonts w:hint="eastAsia" w:asciiTheme="minorEastAsia" w:hAnsiTheme="minorEastAsia"/>
          <w:b/>
          <w:bCs/>
          <w:sz w:val="24"/>
        </w:rPr>
        <w:t>编制说明</w:t>
      </w:r>
    </w:p>
    <w:p w14:paraId="692A06BF">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部分灯具定额中已包含线盒，金属软管和灯头线，相应清单字母项目特征不另做描述，相关费用包含在综合单价中。</w:t>
      </w:r>
    </w:p>
    <w:p w14:paraId="2958026C">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因各厂家灯具规格参数功率等指标不一致，投标单位所投产品施工前需送样，经甲方等单位确认同意后，方能进场使用，结算价格不调整。</w:t>
      </w:r>
    </w:p>
    <w:p w14:paraId="66347FC0">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除列明的调试外，其他机电各系统调试、检测、试运行、无负荷调试、带负荷调试内容及费用均含在投标总价内。</w:t>
      </w:r>
    </w:p>
    <w:p w14:paraId="600731E4">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单价及总价措施项目清单未列的，如投标单位认为实际现场需要的其他措施，则投标单位需将其费用自行考虑在投标总价内，结算时不新增措施项目清单。</w:t>
      </w:r>
    </w:p>
    <w:p w14:paraId="298219EF">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lang w:val="en-US" w:eastAsia="zh-CN"/>
          <w14:textFill>
            <w14:solidFill>
              <w14:schemeClr w14:val="tx1"/>
            </w14:solidFill>
          </w14:textFill>
        </w:rPr>
        <w:t>除合同另行约定以外，</w:t>
      </w:r>
      <w:r>
        <w:rPr>
          <w:rFonts w:hint="eastAsia" w:cs="宋体" w:asciiTheme="minorEastAsia" w:hAnsiTheme="minorEastAsia"/>
          <w:color w:val="000000" w:themeColor="text1"/>
          <w:sz w:val="24"/>
          <w14:textFill>
            <w14:solidFill>
              <w14:schemeClr w14:val="tx1"/>
            </w14:solidFill>
          </w14:textFill>
        </w:rPr>
        <w:t>清单以项为计量单位的，以项包干，结算时不调整。</w:t>
      </w:r>
    </w:p>
    <w:p w14:paraId="4F790C19">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机电各设备材料清单未描述完整处，投标单位还需按照设计图纸、验收规范及技术文件要求，进行报价。</w:t>
      </w:r>
    </w:p>
    <w:p w14:paraId="58596A20">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清单描述镀锌，均为热浸镀锌，热镀锌要求需满足国标要求及验收规范要求。</w:t>
      </w:r>
    </w:p>
    <w:p w14:paraId="74A94FD1">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所有施工过程中及调试验收移交过程中的水、电、气、燃油等，均有中标单位承担，各系统移交使用单位之后发生的水、电、气、燃油等费用，均由使用单位承担。各系统均需经过检测，且达到验收规范要求后，才能移交使用单位。</w:t>
      </w:r>
    </w:p>
    <w:p w14:paraId="44FEFDC7">
      <w:pPr>
        <w:numPr>
          <w:ilvl w:val="0"/>
          <w:numId w:val="2"/>
        </w:numPr>
        <w:spacing w:line="360" w:lineRule="auto"/>
        <w:ind w:left="63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sz w:val="24"/>
        </w:rPr>
        <w:t>所有材料设备进场前需先送样并满足甲方要求</w:t>
      </w:r>
    </w:p>
    <w:p w14:paraId="27E64AE9">
      <w:pPr>
        <w:numPr>
          <w:ilvl w:val="0"/>
          <w:numId w:val="2"/>
        </w:numPr>
        <w:spacing w:line="360" w:lineRule="auto"/>
        <w:ind w:left="630"/>
        <w:rPr>
          <w:rFonts w:asciiTheme="minorEastAsia" w:hAnsiTheme="minorEastAsia"/>
          <w:b/>
          <w:bCs/>
          <w:sz w:val="24"/>
        </w:rPr>
      </w:pPr>
      <w:r>
        <w:rPr>
          <w:rFonts w:hint="eastAsia" w:cs="宋体" w:asciiTheme="minorEastAsia" w:hAnsiTheme="minorEastAsia"/>
          <w:color w:val="000000" w:themeColor="text1"/>
          <w:sz w:val="24"/>
          <w14:textFill>
            <w14:solidFill>
              <w14:schemeClr w14:val="tx1"/>
            </w14:solidFill>
          </w14:textFill>
        </w:rPr>
        <w:t>各系统均需对使用单位进行系统的培训，相应费用均含在投标总价内。</w:t>
      </w:r>
    </w:p>
    <w:p w14:paraId="72093FEF">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rPr>
        <w:t>（九）、主要材料品牌：</w:t>
      </w:r>
    </w:p>
    <w:p w14:paraId="43107A70">
      <w:pPr>
        <w:widowControl/>
        <w:spacing w:line="500" w:lineRule="exact"/>
        <w:ind w:firstLine="360" w:firstLineChars="150"/>
        <w:jc w:val="left"/>
        <w:rPr>
          <w:rFonts w:hint="default" w:cs="宋体" w:asciiTheme="minorEastAsia" w:hAnsiTheme="minorEastAsia" w:eastAsiaTheme="minorEastAsia"/>
          <w:sz w:val="24"/>
          <w:lang w:val="en-US" w:eastAsia="zh-CN"/>
        </w:rPr>
      </w:pPr>
      <w:r>
        <w:rPr>
          <w:rFonts w:hint="eastAsia" w:cs="宋体" w:asciiTheme="minorEastAsia" w:hAnsiTheme="minorEastAsia"/>
          <w:sz w:val="24"/>
        </w:rPr>
        <w:t>招标人已提供材料备选品牌的，投标人应按招标文件约定报价。如招标人因为工程整体要求而需统一某些材料的材料品牌规格，中标人应服从招标人要求在备选品牌内进行更换，且此项投标价格不变，投标人报价时应充分考虑此因素。</w:t>
      </w:r>
      <w:r>
        <w:rPr>
          <w:rFonts w:hint="eastAsia" w:cs="宋体" w:asciiTheme="minorEastAsia" w:hAnsiTheme="minorEastAsia"/>
          <w:sz w:val="24"/>
          <w:lang w:val="en-US" w:eastAsia="zh-CN"/>
        </w:rPr>
        <w:t>品牌要求详见工程量清单。</w:t>
      </w:r>
    </w:p>
    <w:p w14:paraId="15271CB5">
      <w:pPr>
        <w:spacing w:line="500" w:lineRule="exact"/>
        <w:ind w:firstLine="6000" w:firstLineChars="2500"/>
        <w:jc w:val="right"/>
        <w:rPr>
          <w:rFonts w:hint="eastAsia" w:ascii="宋体" w:hAnsi="宋体" w:cs="仿宋_GB2312"/>
          <w:sz w:val="24"/>
        </w:rPr>
      </w:pPr>
    </w:p>
    <w:p w14:paraId="058A24B3">
      <w:pPr>
        <w:spacing w:line="500" w:lineRule="exact"/>
        <w:ind w:firstLine="6000" w:firstLineChars="2500"/>
        <w:jc w:val="right"/>
        <w:rPr>
          <w:rFonts w:hint="eastAsia" w:ascii="宋体" w:hAnsi="宋体" w:cs="仿宋_GB2312"/>
          <w:sz w:val="24"/>
        </w:rPr>
      </w:pPr>
    </w:p>
    <w:p w14:paraId="0C5BA87D">
      <w:pPr>
        <w:spacing w:line="500" w:lineRule="exact"/>
        <w:ind w:firstLine="7000" w:firstLineChars="2500"/>
        <w:jc w:val="right"/>
        <w:rPr>
          <w:rFonts w:ascii="宋体" w:hAnsi="宋体" w:cs="仿宋_GB2312"/>
          <w:sz w:val="28"/>
          <w:szCs w:val="28"/>
        </w:rPr>
      </w:pPr>
    </w:p>
    <w:p w14:paraId="1735E178">
      <w:pPr>
        <w:spacing w:line="360" w:lineRule="auto"/>
        <w:ind w:firstLine="5040" w:firstLineChars="2400"/>
        <w:jc w:val="right"/>
        <w:rPr>
          <w:rFonts w:ascii="Calibri" w:hAnsi="Calibri"/>
          <w:szCs w:val="21"/>
        </w:rPr>
      </w:pPr>
    </w:p>
    <w:sectPr>
      <w:pgSz w:w="11906" w:h="16838"/>
      <w:pgMar w:top="1270" w:right="1800" w:bottom="93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3AB68"/>
    <w:multiLevelType w:val="singleLevel"/>
    <w:tmpl w:val="DE73AB68"/>
    <w:lvl w:ilvl="0" w:tentative="0">
      <w:start w:val="2"/>
      <w:numFmt w:val="decimal"/>
      <w:lvlText w:val="%1."/>
      <w:lvlJc w:val="left"/>
      <w:pPr>
        <w:tabs>
          <w:tab w:val="left" w:pos="312"/>
        </w:tabs>
      </w:pPr>
    </w:lvl>
  </w:abstractNum>
  <w:abstractNum w:abstractNumId="1">
    <w:nsid w:val="1567F6EB"/>
    <w:multiLevelType w:val="singleLevel"/>
    <w:tmpl w:val="1567F6EB"/>
    <w:lvl w:ilvl="0" w:tentative="0">
      <w:start w:val="1"/>
      <w:numFmt w:val="decimal"/>
      <w:suff w:val="nothing"/>
      <w:lvlText w:val="%1、"/>
      <w:lvlJc w:val="left"/>
      <w:pPr>
        <w:ind w:left="1050" w:firstLine="0"/>
      </w:pPr>
      <w:rPr>
        <w:rFonts w:hint="default"/>
        <w:b w:val="0"/>
        <w:bCs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mZjAyMTU2M2ZmOGJlMjk3YjJhMzQ5NjVmZjIyZTEifQ=="/>
  </w:docVars>
  <w:rsids>
    <w:rsidRoot w:val="78361017"/>
    <w:rsid w:val="00006BB6"/>
    <w:rsid w:val="0001640B"/>
    <w:rsid w:val="00016CEC"/>
    <w:rsid w:val="000438A7"/>
    <w:rsid w:val="00064F47"/>
    <w:rsid w:val="000743E8"/>
    <w:rsid w:val="00085BCC"/>
    <w:rsid w:val="000E02E9"/>
    <w:rsid w:val="000F69E0"/>
    <w:rsid w:val="00100BFE"/>
    <w:rsid w:val="00143292"/>
    <w:rsid w:val="00152FA3"/>
    <w:rsid w:val="001838C9"/>
    <w:rsid w:val="001E6349"/>
    <w:rsid w:val="0020433B"/>
    <w:rsid w:val="002171D2"/>
    <w:rsid w:val="00247032"/>
    <w:rsid w:val="002544E7"/>
    <w:rsid w:val="002575F4"/>
    <w:rsid w:val="002B5EAA"/>
    <w:rsid w:val="002C2AD3"/>
    <w:rsid w:val="002E6D8E"/>
    <w:rsid w:val="002F41F6"/>
    <w:rsid w:val="0036424A"/>
    <w:rsid w:val="003672DC"/>
    <w:rsid w:val="003C5AA0"/>
    <w:rsid w:val="003C5BFB"/>
    <w:rsid w:val="003D0F1A"/>
    <w:rsid w:val="003D4563"/>
    <w:rsid w:val="003D495C"/>
    <w:rsid w:val="004269FE"/>
    <w:rsid w:val="0048145E"/>
    <w:rsid w:val="0048555D"/>
    <w:rsid w:val="00493F0A"/>
    <w:rsid w:val="004A0581"/>
    <w:rsid w:val="004D5688"/>
    <w:rsid w:val="00505FC4"/>
    <w:rsid w:val="005356C3"/>
    <w:rsid w:val="0054025C"/>
    <w:rsid w:val="00553E9F"/>
    <w:rsid w:val="00586D33"/>
    <w:rsid w:val="005B0BFE"/>
    <w:rsid w:val="005C1353"/>
    <w:rsid w:val="005F1694"/>
    <w:rsid w:val="00627F9E"/>
    <w:rsid w:val="006305E6"/>
    <w:rsid w:val="0064559E"/>
    <w:rsid w:val="00647F30"/>
    <w:rsid w:val="0067028C"/>
    <w:rsid w:val="00680A3D"/>
    <w:rsid w:val="006C739E"/>
    <w:rsid w:val="006D728C"/>
    <w:rsid w:val="006F2FC1"/>
    <w:rsid w:val="00736A4A"/>
    <w:rsid w:val="00753550"/>
    <w:rsid w:val="007765CC"/>
    <w:rsid w:val="007830EE"/>
    <w:rsid w:val="00787203"/>
    <w:rsid w:val="007D4E8A"/>
    <w:rsid w:val="007F2D1E"/>
    <w:rsid w:val="008338AE"/>
    <w:rsid w:val="00845410"/>
    <w:rsid w:val="008508BB"/>
    <w:rsid w:val="0087569F"/>
    <w:rsid w:val="008831B1"/>
    <w:rsid w:val="00885B6A"/>
    <w:rsid w:val="008B0F3E"/>
    <w:rsid w:val="008C175E"/>
    <w:rsid w:val="008C2D83"/>
    <w:rsid w:val="008D5029"/>
    <w:rsid w:val="008E7233"/>
    <w:rsid w:val="00913D43"/>
    <w:rsid w:val="0091770D"/>
    <w:rsid w:val="009302EF"/>
    <w:rsid w:val="00937456"/>
    <w:rsid w:val="009530A9"/>
    <w:rsid w:val="00982A16"/>
    <w:rsid w:val="009C2E03"/>
    <w:rsid w:val="009D4E62"/>
    <w:rsid w:val="009F1348"/>
    <w:rsid w:val="00AA79C6"/>
    <w:rsid w:val="00AC7145"/>
    <w:rsid w:val="00AF4634"/>
    <w:rsid w:val="00B14879"/>
    <w:rsid w:val="00B76C4B"/>
    <w:rsid w:val="00BA4537"/>
    <w:rsid w:val="00BF0703"/>
    <w:rsid w:val="00C01CD9"/>
    <w:rsid w:val="00C243EF"/>
    <w:rsid w:val="00C71D8F"/>
    <w:rsid w:val="00CA0DA7"/>
    <w:rsid w:val="00CC0E51"/>
    <w:rsid w:val="00D67571"/>
    <w:rsid w:val="00D803AB"/>
    <w:rsid w:val="00D93BBF"/>
    <w:rsid w:val="00DB2C6B"/>
    <w:rsid w:val="00E05454"/>
    <w:rsid w:val="00E25D8C"/>
    <w:rsid w:val="00E41773"/>
    <w:rsid w:val="00E458AA"/>
    <w:rsid w:val="00E53A2F"/>
    <w:rsid w:val="00E604BD"/>
    <w:rsid w:val="00E6445A"/>
    <w:rsid w:val="00E8050C"/>
    <w:rsid w:val="00E859F9"/>
    <w:rsid w:val="00E96B4F"/>
    <w:rsid w:val="00EB3E9F"/>
    <w:rsid w:val="00EB7352"/>
    <w:rsid w:val="00ED4EBE"/>
    <w:rsid w:val="00EF1A82"/>
    <w:rsid w:val="00F03DDC"/>
    <w:rsid w:val="00F6675B"/>
    <w:rsid w:val="00FD2EDD"/>
    <w:rsid w:val="00FD2EE3"/>
    <w:rsid w:val="00FD6FCD"/>
    <w:rsid w:val="00FF01FE"/>
    <w:rsid w:val="01207465"/>
    <w:rsid w:val="02755DFE"/>
    <w:rsid w:val="03825F15"/>
    <w:rsid w:val="0518214B"/>
    <w:rsid w:val="068647AC"/>
    <w:rsid w:val="07381CB3"/>
    <w:rsid w:val="07FE721D"/>
    <w:rsid w:val="08097B61"/>
    <w:rsid w:val="08714C92"/>
    <w:rsid w:val="08B00FDC"/>
    <w:rsid w:val="08B1314F"/>
    <w:rsid w:val="096D32B3"/>
    <w:rsid w:val="09FA1A4D"/>
    <w:rsid w:val="0A062BC2"/>
    <w:rsid w:val="0B5001B3"/>
    <w:rsid w:val="0B6C0341"/>
    <w:rsid w:val="0C484F66"/>
    <w:rsid w:val="0C8D3AAD"/>
    <w:rsid w:val="10305DCD"/>
    <w:rsid w:val="109E1AE9"/>
    <w:rsid w:val="12080009"/>
    <w:rsid w:val="126170C1"/>
    <w:rsid w:val="12D84AB8"/>
    <w:rsid w:val="1310625C"/>
    <w:rsid w:val="13C65773"/>
    <w:rsid w:val="13EC77E2"/>
    <w:rsid w:val="147014C1"/>
    <w:rsid w:val="15DF1EA0"/>
    <w:rsid w:val="15E81EDF"/>
    <w:rsid w:val="15F45C99"/>
    <w:rsid w:val="161A63AD"/>
    <w:rsid w:val="16441480"/>
    <w:rsid w:val="16D3646B"/>
    <w:rsid w:val="17B66696"/>
    <w:rsid w:val="17DF1AA2"/>
    <w:rsid w:val="1A092C9A"/>
    <w:rsid w:val="1A902CBE"/>
    <w:rsid w:val="1C1E62FF"/>
    <w:rsid w:val="1C287DA4"/>
    <w:rsid w:val="1D067D4F"/>
    <w:rsid w:val="1D1125A5"/>
    <w:rsid w:val="1EED7F7A"/>
    <w:rsid w:val="21A954A2"/>
    <w:rsid w:val="21C347B6"/>
    <w:rsid w:val="221958FB"/>
    <w:rsid w:val="237714EC"/>
    <w:rsid w:val="24251814"/>
    <w:rsid w:val="24700EB4"/>
    <w:rsid w:val="24A31DAF"/>
    <w:rsid w:val="2584489B"/>
    <w:rsid w:val="27202D73"/>
    <w:rsid w:val="27CF50B2"/>
    <w:rsid w:val="284553B4"/>
    <w:rsid w:val="29246AA9"/>
    <w:rsid w:val="29383010"/>
    <w:rsid w:val="294609CE"/>
    <w:rsid w:val="2ACB56A5"/>
    <w:rsid w:val="2B032D2F"/>
    <w:rsid w:val="2B947461"/>
    <w:rsid w:val="2C351E0C"/>
    <w:rsid w:val="2CBA4DB9"/>
    <w:rsid w:val="2CEF1979"/>
    <w:rsid w:val="2E933214"/>
    <w:rsid w:val="2FBD203A"/>
    <w:rsid w:val="31620612"/>
    <w:rsid w:val="31D7323C"/>
    <w:rsid w:val="32811051"/>
    <w:rsid w:val="331D184C"/>
    <w:rsid w:val="345A1A55"/>
    <w:rsid w:val="35C744C7"/>
    <w:rsid w:val="36AE456E"/>
    <w:rsid w:val="36E42139"/>
    <w:rsid w:val="36E44B5A"/>
    <w:rsid w:val="373B0A61"/>
    <w:rsid w:val="374331C7"/>
    <w:rsid w:val="377E089E"/>
    <w:rsid w:val="37B852B4"/>
    <w:rsid w:val="38090CCF"/>
    <w:rsid w:val="383F7E25"/>
    <w:rsid w:val="38F35859"/>
    <w:rsid w:val="3B3A2DF7"/>
    <w:rsid w:val="3B3A6E39"/>
    <w:rsid w:val="3B662930"/>
    <w:rsid w:val="3CCC490C"/>
    <w:rsid w:val="3D1A5CB8"/>
    <w:rsid w:val="3DA23CB8"/>
    <w:rsid w:val="3DF56D8F"/>
    <w:rsid w:val="3ED93797"/>
    <w:rsid w:val="3F9115F7"/>
    <w:rsid w:val="401F54D9"/>
    <w:rsid w:val="413770ED"/>
    <w:rsid w:val="415B0377"/>
    <w:rsid w:val="41D3399B"/>
    <w:rsid w:val="42020A85"/>
    <w:rsid w:val="420B279B"/>
    <w:rsid w:val="42665955"/>
    <w:rsid w:val="431A7EAE"/>
    <w:rsid w:val="431E6A1C"/>
    <w:rsid w:val="44C567BE"/>
    <w:rsid w:val="457E3758"/>
    <w:rsid w:val="4581227C"/>
    <w:rsid w:val="45D00471"/>
    <w:rsid w:val="46B34867"/>
    <w:rsid w:val="470F730E"/>
    <w:rsid w:val="47DA402A"/>
    <w:rsid w:val="48180069"/>
    <w:rsid w:val="482F34B4"/>
    <w:rsid w:val="49CB1BAA"/>
    <w:rsid w:val="49E1317B"/>
    <w:rsid w:val="4B1A1F6F"/>
    <w:rsid w:val="4BA635F6"/>
    <w:rsid w:val="4BB01B20"/>
    <w:rsid w:val="4C207802"/>
    <w:rsid w:val="4D923CCB"/>
    <w:rsid w:val="4D963C84"/>
    <w:rsid w:val="4EDD0D8A"/>
    <w:rsid w:val="4EF92269"/>
    <w:rsid w:val="4F01466A"/>
    <w:rsid w:val="505A1436"/>
    <w:rsid w:val="51741E7C"/>
    <w:rsid w:val="522649CA"/>
    <w:rsid w:val="522D4B2B"/>
    <w:rsid w:val="530A05AF"/>
    <w:rsid w:val="53634D2D"/>
    <w:rsid w:val="54930C6A"/>
    <w:rsid w:val="54A70C44"/>
    <w:rsid w:val="54AB3300"/>
    <w:rsid w:val="54B74D4C"/>
    <w:rsid w:val="54C50E3B"/>
    <w:rsid w:val="551A391F"/>
    <w:rsid w:val="56444E85"/>
    <w:rsid w:val="56AE1DF3"/>
    <w:rsid w:val="58CD7592"/>
    <w:rsid w:val="5AE721C9"/>
    <w:rsid w:val="5BE857AC"/>
    <w:rsid w:val="5DA968D0"/>
    <w:rsid w:val="5E0A2A5B"/>
    <w:rsid w:val="5E2D3EF3"/>
    <w:rsid w:val="5E40270F"/>
    <w:rsid w:val="5EA12711"/>
    <w:rsid w:val="5F0E24E3"/>
    <w:rsid w:val="5F9F4402"/>
    <w:rsid w:val="5FEF3D7B"/>
    <w:rsid w:val="60026EAC"/>
    <w:rsid w:val="6033204C"/>
    <w:rsid w:val="60ED7BD8"/>
    <w:rsid w:val="60FA26D8"/>
    <w:rsid w:val="61DB40F1"/>
    <w:rsid w:val="6218135D"/>
    <w:rsid w:val="62EE6BC3"/>
    <w:rsid w:val="636924CC"/>
    <w:rsid w:val="6396613F"/>
    <w:rsid w:val="63EF75E3"/>
    <w:rsid w:val="64A70DF2"/>
    <w:rsid w:val="64D744B7"/>
    <w:rsid w:val="65A62D78"/>
    <w:rsid w:val="65BE3D44"/>
    <w:rsid w:val="66AA43B3"/>
    <w:rsid w:val="66AD4DB8"/>
    <w:rsid w:val="6793565D"/>
    <w:rsid w:val="69EC1E2F"/>
    <w:rsid w:val="6A582212"/>
    <w:rsid w:val="6BB45612"/>
    <w:rsid w:val="6BC44E95"/>
    <w:rsid w:val="6C767982"/>
    <w:rsid w:val="6CBA65C0"/>
    <w:rsid w:val="6D7B3098"/>
    <w:rsid w:val="6E6C4BB6"/>
    <w:rsid w:val="6F21423E"/>
    <w:rsid w:val="6FBA33FE"/>
    <w:rsid w:val="70DC2814"/>
    <w:rsid w:val="710D0EA4"/>
    <w:rsid w:val="712551F4"/>
    <w:rsid w:val="714479C8"/>
    <w:rsid w:val="72202FDB"/>
    <w:rsid w:val="77253B31"/>
    <w:rsid w:val="77535013"/>
    <w:rsid w:val="77823C03"/>
    <w:rsid w:val="778A0A55"/>
    <w:rsid w:val="77F02F8E"/>
    <w:rsid w:val="78361017"/>
    <w:rsid w:val="78C6699C"/>
    <w:rsid w:val="79F35738"/>
    <w:rsid w:val="7B450F0D"/>
    <w:rsid w:val="7B4A6441"/>
    <w:rsid w:val="7B8C1C77"/>
    <w:rsid w:val="7C3C3FF0"/>
    <w:rsid w:val="7CC802B2"/>
    <w:rsid w:val="7D2A16F6"/>
    <w:rsid w:val="7D916BCD"/>
    <w:rsid w:val="7F182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font01"/>
    <w:basedOn w:val="7"/>
    <w:qFormat/>
    <w:uiPriority w:val="0"/>
    <w:rPr>
      <w:rFonts w:hint="eastAsia" w:ascii="宋体" w:hAnsi="宋体" w:eastAsia="宋体" w:cs="宋体"/>
      <w:color w:val="000000"/>
      <w:sz w:val="24"/>
      <w:szCs w:val="24"/>
      <w:u w:val="none"/>
    </w:rPr>
  </w:style>
  <w:style w:type="character" w:customStyle="1" w:styleId="9">
    <w:name w:val="font11"/>
    <w:basedOn w:val="7"/>
    <w:qFormat/>
    <w:uiPriority w:val="0"/>
    <w:rPr>
      <w:rFonts w:hint="default" w:ascii="Tahoma" w:hAnsi="Tahoma" w:eastAsia="Tahoma" w:cs="Tahoma"/>
      <w:color w:val="000000"/>
      <w:sz w:val="24"/>
      <w:szCs w:val="24"/>
      <w:u w:val="none"/>
    </w:rPr>
  </w:style>
  <w:style w:type="paragraph" w:customStyle="1" w:styleId="10">
    <w:name w:val="列出段落1"/>
    <w:basedOn w:val="1"/>
    <w:qFormat/>
    <w:uiPriority w:val="34"/>
    <w:pPr>
      <w:ind w:firstLine="420" w:firstLineChars="200"/>
    </w:pPr>
  </w:style>
  <w:style w:type="character" w:customStyle="1" w:styleId="11">
    <w:name w:val="批注框文本 Char"/>
    <w:basedOn w:val="7"/>
    <w:link w:val="2"/>
    <w:qFormat/>
    <w:uiPriority w:val="0"/>
    <w:rPr>
      <w:rFonts w:asciiTheme="minorHAnsi" w:hAnsiTheme="minorHAnsi" w:eastAsiaTheme="minorEastAsia" w:cstheme="minorBidi"/>
      <w:kern w:val="2"/>
      <w:sz w:val="18"/>
      <w:szCs w:val="18"/>
    </w:rPr>
  </w:style>
  <w:style w:type="character" w:customStyle="1" w:styleId="12">
    <w:name w:val="页眉 Char"/>
    <w:basedOn w:val="7"/>
    <w:link w:val="4"/>
    <w:qFormat/>
    <w:uiPriority w:val="0"/>
    <w:rPr>
      <w:rFonts w:asciiTheme="minorHAnsi" w:hAnsiTheme="minorHAnsi" w:eastAsiaTheme="minorEastAsia" w:cstheme="minorBidi"/>
      <w:kern w:val="2"/>
      <w:sz w:val="18"/>
      <w:szCs w:val="18"/>
    </w:rPr>
  </w:style>
  <w:style w:type="character" w:customStyle="1" w:styleId="13">
    <w:name w:val="页脚 Char"/>
    <w:basedOn w:val="7"/>
    <w:link w:val="3"/>
    <w:qFormat/>
    <w:uiPriority w:val="0"/>
    <w:rPr>
      <w:rFonts w:asciiTheme="minorHAnsi" w:hAnsiTheme="minorHAnsi" w:eastAsiaTheme="minorEastAsia" w:cstheme="minorBidi"/>
      <w:kern w:val="2"/>
      <w:sz w:val="18"/>
      <w:szCs w:val="18"/>
    </w:rPr>
  </w:style>
  <w:style w:type="character" w:customStyle="1" w:styleId="14">
    <w:name w:val="15"/>
    <w:basedOn w:val="7"/>
    <w:qFormat/>
    <w:uiPriority w:val="0"/>
    <w:rPr>
      <w:rFonts w:hint="default" w:ascii="Tahoma" w:hAnsi="Tahoma" w:cs="Tahoma"/>
      <w:color w:val="000000"/>
      <w:sz w:val="24"/>
      <w:szCs w:val="24"/>
    </w:rPr>
  </w:style>
  <w:style w:type="character" w:customStyle="1" w:styleId="15">
    <w:name w:val="16"/>
    <w:basedOn w:val="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1834</Words>
  <Characters>1985</Characters>
  <Lines>48</Lines>
  <Paragraphs>13</Paragraphs>
  <TotalTime>0</TotalTime>
  <ScaleCrop>false</ScaleCrop>
  <LinksUpToDate>false</LinksUpToDate>
  <CharactersWithSpaces>1985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2019-12-02T13:52:00Z</dcterms:created>
  <dc:creator>国国</dc:creator>
  <cp:lastModifiedBy>DD_wei</cp:lastModifiedBy>
  <cp:lastPrinted>2019-12-06T00:24:00Z</cp:lastPrinted>
  <dcterms:modified xsi:type="dcterms:W3CDTF">2025-07-07T09:56:55Z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6EC6657E23644B64A30252C026752C2D</vt:lpwstr>
  </property>
  <property fmtid="{D5CDD505-2E9C-101B-9397-08002B2CF9AE}" pid="4" name="commondata">
    <vt:lpwstr>eyJoZGlkIjoiY2VmZjAyMTU2M2ZmOGJlMjk3YjJhMzQ5NjVmZjIyZTEifQ==</vt:lpwstr>
  </property>
  <property fmtid="{D5CDD505-2E9C-101B-9397-08002B2CF9AE}" pid="5" name="KSOTemplateDocerSaveRecord">
    <vt:lpwstr>eyJoZGlkIjoiN2FkYTlhN2FiMWY4NDcwZGE0YTkwNWQ1MzdhYWFhYTQiLCJ1c2VySWQiOiI2MzUxMzYwNTYifQ==</vt:lpwstr>
  </property>
</Properties>
</file>