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AB1ED">
      <w:pPr>
        <w:keepNext w:val="0"/>
        <w:keepLines w:val="0"/>
        <w:pageBreakBefore w:val="0"/>
        <w:widowControl w:val="0"/>
        <w:kinsoku/>
        <w:wordWrap/>
        <w:overflowPunct w:val="0"/>
        <w:topLinePunct/>
        <w:autoSpaceDE/>
        <w:autoSpaceDN/>
        <w:bidi w:val="0"/>
        <w:adjustRightInd w:val="0"/>
        <w:snapToGrid w:val="0"/>
        <w:spacing w:line="560" w:lineRule="exact"/>
        <w:textAlignment w:val="auto"/>
        <w:rPr>
          <w:rFonts w:hint="default" w:ascii="Times New Roman" w:hAnsi="Times New Roman" w:eastAsia="方正黑体_GBK" w:cs="方正黑体_GBK"/>
          <w:i w:val="0"/>
          <w:iCs w:val="0"/>
          <w:color w:val="000000"/>
          <w:kern w:val="0"/>
          <w:sz w:val="32"/>
          <w:szCs w:val="32"/>
          <w:u w:val="none"/>
          <w:lang w:val="en-US" w:eastAsia="zh-CN" w:bidi="ar"/>
        </w:rPr>
      </w:pPr>
      <w:r>
        <w:rPr>
          <w:rFonts w:ascii="Times New Roman" w:hAnsi="Times New Roman" w:eastAsia="方正黑体_GBK" w:cs="方正黑体_GBK"/>
          <w:i w:val="0"/>
          <w:iCs w:val="0"/>
          <w:color w:val="000000"/>
          <w:kern w:val="0"/>
          <w:sz w:val="32"/>
          <w:szCs w:val="32"/>
          <w:u w:val="none"/>
          <w:lang w:val="en-US" w:eastAsia="zh-CN" w:bidi="ar"/>
        </w:rPr>
        <w:t>附件</w:t>
      </w:r>
    </w:p>
    <w:p w14:paraId="3810826E">
      <w:pPr>
        <w:keepNext w:val="0"/>
        <w:keepLines w:val="0"/>
        <w:pageBreakBefore w:val="0"/>
        <w:widowControl w:val="0"/>
        <w:kinsoku/>
        <w:wordWrap/>
        <w:overflowPunct w:val="0"/>
        <w:topLinePunct/>
        <w:autoSpaceDE/>
        <w:autoSpaceDN/>
        <w:bidi w:val="0"/>
        <w:adjustRightInd w:val="0"/>
        <w:snapToGrid w:val="0"/>
        <w:spacing w:after="320" w:afterLines="100" w:line="640" w:lineRule="exact"/>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常州市社会服务机构评估指标建议材料稿</w:t>
      </w:r>
    </w:p>
    <w:tbl>
      <w:tblPr>
        <w:tblStyle w:val="4"/>
        <w:tblW w:w="129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920"/>
        <w:gridCol w:w="1224"/>
        <w:gridCol w:w="5160"/>
        <w:gridCol w:w="5017"/>
      </w:tblGrid>
      <w:tr w14:paraId="63B4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40DF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黑体_GBK" w:cs="方正黑体_GBK"/>
                <w:i w:val="0"/>
                <w:iCs w:val="0"/>
                <w:color w:val="000000" w:themeColor="text1"/>
                <w:sz w:val="24"/>
                <w:szCs w:val="24"/>
                <w:u w:val="none"/>
                <w14:textFill>
                  <w14:solidFill>
                    <w14:schemeClr w14:val="tx1"/>
                  </w14:solidFill>
                </w14:textFill>
              </w:rPr>
            </w:pPr>
            <w:r>
              <w:rPr>
                <w:rFonts w:hint="eastAsia" w:ascii="Times New Roman" w:hAnsi="Times New Roman" w:eastAsia="方正黑体_GBK" w:cs="方正黑体_GBK"/>
                <w:i w:val="0"/>
                <w:iCs w:val="0"/>
                <w:color w:val="000000" w:themeColor="text1"/>
                <w:kern w:val="0"/>
                <w:sz w:val="24"/>
                <w:szCs w:val="24"/>
                <w:u w:val="none"/>
                <w:lang w:val="en-US" w:eastAsia="zh-CN" w:bidi="ar"/>
                <w14:textFill>
                  <w14:solidFill>
                    <w14:schemeClr w14:val="tx1"/>
                  </w14:solidFill>
                </w14:textFill>
              </w:rPr>
              <w:t>序号</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FBE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等线" w:cs="等线"/>
                <w:b/>
                <w:bCs/>
                <w:i w:val="0"/>
                <w:iCs w:val="0"/>
                <w:color w:val="000000" w:themeColor="text1"/>
                <w:sz w:val="24"/>
                <w:szCs w:val="24"/>
                <w:u w:val="none"/>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指标</w:t>
            </w:r>
          </w:p>
        </w:tc>
        <w:tc>
          <w:tcPr>
            <w:tcW w:w="51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5C3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等线" w:cs="等线"/>
                <w:b/>
                <w:bCs/>
                <w:i w:val="0"/>
                <w:iCs w:val="0"/>
                <w:color w:val="000000" w:themeColor="text1"/>
                <w:sz w:val="24"/>
                <w:szCs w:val="24"/>
                <w:u w:val="none"/>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指标说明</w:t>
            </w:r>
          </w:p>
        </w:tc>
        <w:tc>
          <w:tcPr>
            <w:tcW w:w="5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717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建议材料明细</w:t>
            </w:r>
          </w:p>
        </w:tc>
      </w:tr>
      <w:tr w14:paraId="294EF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F824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2619B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党建</w:t>
            </w:r>
          </w:p>
          <w:p w14:paraId="1C29FC3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工作</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73C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党的组织</w:t>
            </w:r>
          </w:p>
          <w:p w14:paraId="3EEAD5E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25A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设立党组织（单建、联建；实体型、功能型）（</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15F88D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注：未设立党组织，但通过选派党建工作指导员、联络员，建立工青妇组织等途径，做好联系服务群众、推荐入党积极分子等工作，为建立党组织创造条件得</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w:t>
            </w:r>
          </w:p>
          <w:p w14:paraId="2BA2AA0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党组织班子成员和社会组织党员管理层人员双向进入、交叉任职（</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646BB0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党组织书记由社会组织负责人担任得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分，其他人员担任得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89B78A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注：党组织应建未建的，不予评为</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4A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5A1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.已建立党组织的，提供</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成立党组织批复文件；</w:t>
            </w:r>
          </w:p>
          <w:p w14:paraId="61FED2B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.未建立党组织，但通过党建工作指导员、联络员、建立工青妇组织等方式开展党的工作和活动的，提供党建工作指导员、联络员委派文件、建立工青妇组织等证明文件；</w:t>
            </w:r>
          </w:p>
          <w:p w14:paraId="7FAB76D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.提供全国党员管理系统中本党组织的</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党员信息截图或党支部工作一本通上的最新党员名册，功能性党组织提供党员名单；</w:t>
            </w:r>
          </w:p>
          <w:p w14:paraId="7D7F5EA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.双向进入、交叉任职情况材料（党组织书记任职的上级党委批复文件，党组织书记在社会组织任职的负责人备案表）。</w:t>
            </w:r>
          </w:p>
        </w:tc>
      </w:tr>
      <w:tr w14:paraId="67549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0"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C2B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9566D">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9C5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党的工作</w:t>
            </w:r>
          </w:p>
          <w:p w14:paraId="6B1B1E7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71BD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加强党员教育管理，落实党的基本组织生活制度，各项活动记录内容完整、格式规范（</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368947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注：基本组织生活制度包括</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三会一课</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、主题党日和谈心谈话等，实体型党支部还需要落实组织生活会、民主评议党员等制度。</w:t>
            </w:r>
          </w:p>
          <w:p w14:paraId="2ECF325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落实意识形态责任制并建立相关制度（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0CC9C3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落实党风廉政建设制度，党组织对社会组织重大事项决策、重要业务活动等提出意见（</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58C46D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党组织引导和支持社会组织有序参与社会治理、提供公共服务、承担社会责任，党员积极参与教育培训以及社会组织工作，模范带头作用明显（</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A6AA35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注：党组织负责人有违规违纪行为的，不予评为</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3A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（含）以上等级。未开展党的工作和活动的，不予评为</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4A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AA3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.提供党组织工作基本制度文件（包括“三会一课”、主题党日和谈心谈话等），实体型支部还需提供组织生活会、民主评议党员制度；</w:t>
            </w:r>
          </w:p>
          <w:p w14:paraId="674C70E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最近一年的党支部工作一本通上相关内容，注意记录完整、格式规范，包括但不限于工作总结和计划、“三会一课”、组织生活会、民主评议党员、主题党日活动等各类型有代表性的记录材料（功能型党组织提供最近一年的党建活动记录材料）；</w:t>
            </w:r>
          </w:p>
          <w:p w14:paraId="721D283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.提供意识形态责任制度和落实情况材料；</w:t>
            </w:r>
          </w:p>
          <w:p w14:paraId="45018E6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.提供落实党风廉政建设制度，党组织对社会组织重大事项决策、重要业务活动等提出意见的证明材料；</w:t>
            </w:r>
          </w:p>
          <w:p w14:paraId="63B800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引导支持本组织参与社会治理、提供公共服务、承担社会责任的证明材料；提供党员参与教育培训的通知、签到、活动记录、总结、宣传报道等材料；提供党员在社会组织主要工作职责，发挥模范带头作用以及受到表彰、表扬等证明材料；</w:t>
            </w:r>
          </w:p>
          <w:p w14:paraId="3CE7EBA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.未设立党组织，但通过党建工作指导员、联络员、建立工青妇组织等方式推动党建工作覆盖的，结合实际提供以上相关材料。</w:t>
            </w:r>
          </w:p>
          <w:p w14:paraId="52F33CA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p>
        </w:tc>
      </w:tr>
      <w:tr w14:paraId="064CD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0"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210C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95358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基础</w:t>
            </w:r>
          </w:p>
          <w:p w14:paraId="03F3520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条件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CC6D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登记备案</w:t>
            </w:r>
          </w:p>
          <w:p w14:paraId="2E46BE6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084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按规定办理登记和备案（</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CAB2C9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登记事项：名称、业务范围、住所、开办资金、法定代表人、业务主管单位。</w:t>
            </w:r>
          </w:p>
          <w:p w14:paraId="44EA528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备案事项：印章（单位、财务、法定代表人）、银行账户、负责人、理事、监事。</w:t>
            </w:r>
          </w:p>
          <w:p w14:paraId="59D29FD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注：组织需提供理事、监事名单。以上各项，有</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项未按规定办理扣</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分，扣完为止。</w:t>
            </w:r>
          </w:p>
          <w:p w14:paraId="300A059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按民政部门及章程示范文本要求，将党的建设及社会主义核心价值观相关内容规范完整写入章程（</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341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.提供本届理事、监事花名册及理事、监事、负责人备案表；</w:t>
            </w:r>
          </w:p>
          <w:p w14:paraId="2173821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.提供印章备案表、银行账户备案表；</w:t>
            </w:r>
          </w:p>
          <w:p w14:paraId="14D3B5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.提供现行章程、章程核准表。</w:t>
            </w:r>
          </w:p>
          <w:p w14:paraId="0B1B658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t>注：建议材料明细外的指标说明内容无需社会组织提供材料。</w:t>
            </w:r>
          </w:p>
        </w:tc>
      </w:tr>
      <w:tr w14:paraId="482E9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775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57F32">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27DF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年度检查</w:t>
            </w:r>
          </w:p>
          <w:p w14:paraId="148DF62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41B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按规定参加年度检查（</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6E6CCA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申报评估年度前两年</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年检结论为合格（</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A27FF6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年末净资产不低于开办资金（</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1A2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无需社会组织提供材料。</w:t>
            </w:r>
          </w:p>
        </w:tc>
      </w:tr>
      <w:tr w14:paraId="2EDCB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394B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83954">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A15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遵纪守法</w:t>
            </w:r>
          </w:p>
          <w:p w14:paraId="62CD1C1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D6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宋体" w:cs="宋体"/>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能够自觉遵守社会组织管理政策，无违规开展评比达标表彰、未设立分支机构等（</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1D47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提供遵纪守法承诺书，包括无违规开展评比达标表彰、未设立分支机构等情况说明并加盖社会组织公章、法人签字。</w:t>
            </w:r>
          </w:p>
        </w:tc>
      </w:tr>
      <w:tr w14:paraId="6E96A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4"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F679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DA4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w:t>
            </w:r>
          </w:p>
          <w:p w14:paraId="34B9B3E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治理</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F06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组织机构</w:t>
            </w:r>
          </w:p>
          <w:p w14:paraId="2AE0592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3E6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理事会设立及履职情况（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D17AA7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建立健全理事会工作制度；理事产生（罢免）符合规定；领导干部兼职与取酬符合规定；理事会按期换届；理事会召开次数符合章程规定，会议纪要制作规范；理事会按照章程规定履行职责。有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项不满足扣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5A33EA4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监事（会）设立及履职情况（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B90525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监事（会）设立和任职条件明确，产生（罢免）符合规定；监事（会）列席理事会，行使监督权。</w:t>
            </w:r>
          </w:p>
          <w:p w14:paraId="008E396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内设机构设立运转情况（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CDA055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设立办公室等日常内设机构，名称规范、职责明确、运转协调。</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8B41">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lang w:val="en-US" w:eastAsia="zh-CN" w:bidi="ar"/>
                <w14:textFill>
                  <w14:solidFill>
                    <w14:schemeClr w14:val="tx1"/>
                  </w14:solidFill>
                </w14:textFill>
              </w:rPr>
              <w:t>.</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社会组织现行章程、理事选举（罢免）办法制度文本；本届理事产生（罢免）的会议纪要/决议（有签名）；本届理事名单及理事备案表；涉及领导干部兼职的提供兼职审批材料与取酬情况说明（不涉及的也要说明）；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年的理事会会议材料；</w:t>
            </w:r>
          </w:p>
          <w:p w14:paraId="26BCDDED">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.提供监事（会）选举（罢免）办法制度文本；本届监事（会）产生的会议纪要/决议（有签名）；本届监事名单及监事备案表；近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年的监事或监事会工作年度报告；</w:t>
            </w:r>
          </w:p>
          <w:p w14:paraId="5A86B7D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.提供内设机构设立办法文本；设立情况（设立的会议材料）；内设机构备案表。</w:t>
            </w:r>
          </w:p>
          <w:p w14:paraId="169A574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p>
        </w:tc>
      </w:tr>
      <w:tr w14:paraId="35242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4"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3D3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D49C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w:t>
            </w:r>
          </w:p>
          <w:p w14:paraId="1C761C6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治理</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C98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人力资源管理</w:t>
            </w:r>
          </w:p>
          <w:p w14:paraId="1F49CAB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BD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建立并落实人员聘用制度，签订劳动合同（</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153C7D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建立薪酬、考核、奖惩等制度；履行社会保险、住房公积金等缴存义务（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9AB8EB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行政负责人按章程规定的程序产生并履行职责；行政负责人为专职（</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E58DA1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配备专职工作人员（</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616131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注：每配备</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名专职工作人员得</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0.2</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分，加满</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分为止。专职工作人员指建立劳动关系并购买社会保险的工作人员，返聘、劳动关系在其他单位的工作人员，按</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得分。</w:t>
            </w:r>
          </w:p>
          <w:p w14:paraId="5E53C83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从业人员年龄结构合理，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周岁以下人员占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以上；学历结构合理，本科及以上学历者占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以上；专业能力合理，从事专业岗位人员有相应的专业职称或从业资格（</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8E44FF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注：以上三项都符合得</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分，两项符合得</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分，一项符合得</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0.2</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分，三项都不符合不得分。</w:t>
            </w:r>
          </w:p>
          <w:p w14:paraId="1ED12FC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有专职工作人员的培训计划和培训记录；按规定参加政府等部门组织的业务培训（</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CFA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.提供人员聘用、薪酬、考核、奖惩等制度文本；</w:t>
            </w:r>
          </w:p>
          <w:p w14:paraId="64DEA52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.提供工作人员花名册，包含以下信息（序号、姓名、年龄、学历、专业资格/职称、所在部门、岗位职责、专职/兼职/退休返聘/劳务派遣），专职工作人员还需提供社保、公积金缴纳记录清单（组织名义出具）；</w:t>
            </w:r>
          </w:p>
          <w:p w14:paraId="11C855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.提供行政负责人产生办法文本、产生会议纪要/决议、备案表、近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年的述职报告、劳动合同或专职承诺书；</w:t>
            </w:r>
          </w:p>
          <w:p w14:paraId="305A862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.提供专职工作人员的劳动合同/派遣证明/返聘合同，最近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个月度的工资发放表；</w:t>
            </w:r>
          </w:p>
          <w:p w14:paraId="1E11302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.提供工作人员花名册中对应员工的年龄、学历证明材料，职称或从业资格证明材料；</w:t>
            </w:r>
          </w:p>
          <w:p w14:paraId="1507077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6</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年专职人员的培训计划和培训记录；近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年专职人员参加相关政府部门培训的证明材料（包含但不限于：培训通知、参会回执、现场照片、培训证书等）。</w:t>
            </w:r>
          </w:p>
          <w:p w14:paraId="045F0D2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p>
        </w:tc>
      </w:tr>
      <w:tr w14:paraId="2C368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B72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0F177">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D26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合法运营</w:t>
            </w:r>
          </w:p>
          <w:p w14:paraId="01B31E2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361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资金来源和资金使用符合国家政策法规和章程规定（</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2EEDCA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注：资金来源和资金使用不符合国家政策法规和章程规定的，不予评为</w:t>
            </w:r>
            <w:r>
              <w:rPr>
                <w:rFonts w:hint="default" w:ascii="Times New Roman" w:hAnsi="Times New Roman" w:eastAsia="等线" w:cs="Times New Roman"/>
                <w:b/>
                <w:bCs/>
                <w:i w:val="0"/>
                <w:iCs w:val="0"/>
                <w:color w:val="000000" w:themeColor="text1"/>
                <w:kern w:val="0"/>
                <w:sz w:val="24"/>
                <w:szCs w:val="24"/>
                <w:u w:val="none"/>
                <w:lang w:val="en-US" w:eastAsia="zh-CN" w:bidi="ar"/>
                <w14:textFill>
                  <w14:solidFill>
                    <w14:schemeClr w14:val="tx1"/>
                  </w14:solidFill>
                </w14:textFill>
              </w:rPr>
              <w:t>3A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p w14:paraId="023BAA6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资金支出标准、审批权限明确，各项支出审批手续齐全，符合制度要求（</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68B4E7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资金列入符合规定的单位账簿（</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784564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投资管理制度健全，执行情况良好（</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0DF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.提供经费来源和资金使用符合国家政策法规和章程规定的情况说明，加盖社会组织公章及法人签字；</w:t>
            </w:r>
          </w:p>
          <w:p w14:paraId="422B03E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.提供费用支出审批或收支管理制度文本；提供近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年各</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张报销单、费用发放表、人员工资单；</w:t>
            </w:r>
          </w:p>
          <w:p w14:paraId="0519511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供资金列入符合规定的说明（有财务负责人签字）；</w:t>
            </w:r>
          </w:p>
          <w:p w14:paraId="01B6EDD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.提供投资管理制度文本；投资及收益情况说明（未进行投资行为也要说明）。</w:t>
            </w:r>
          </w:p>
        </w:tc>
      </w:tr>
      <w:tr w14:paraId="06205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265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9</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DF1E7">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18D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财务管理</w:t>
            </w:r>
          </w:p>
          <w:p w14:paraId="587677D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C6C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严格执行《民间非营利组织会计制度》（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7A0770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规范设置会计科目、凭证、账簿；会计核算规范；会计报表真实、完整。</w:t>
            </w:r>
          </w:p>
          <w:p w14:paraId="3C49F19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建立健全财务管理制度，并严格执行（</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CEEE84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会计机构设置合理，岗位职责明确；会计人员具备从事会计工作所需要的专业能力（</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F67F35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注：委托代理记账机构进行代理记账的，不扣分。</w:t>
            </w:r>
          </w:p>
          <w:p w14:paraId="44B32DB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会计核算实行电算化（</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22E72A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按规定办理税务登记和申报（</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9A348F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规范使用各种票据（</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D9100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与关联方无违规交易且无有失公平交易行为，关联交易及时披露（</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3C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yellow"/>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年的资产负债表、业务活动表、现金流量</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表、科目余额表；记账凭证</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份；</w:t>
            </w:r>
          </w:p>
          <w:p w14:paraId="6866513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.提供财务管理制度文本与严格执行的情况说明；</w:t>
            </w:r>
          </w:p>
          <w:p w14:paraId="41B1E1F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.提供会计机构设置材料；会计、出纳人员名单及岗位职责；专职会计聘用合同、会计专业技术资格证书、</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继续教育证书</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等材料；</w:t>
            </w:r>
          </w:p>
          <w:p w14:paraId="2B43CA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委托代理记账的提供委托代理记账合同及委托代理记账机构资质证明材料；</w:t>
            </w:r>
          </w:p>
          <w:p w14:paraId="164B230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.本组织使用会计电算化软件的截图；</w:t>
            </w:r>
          </w:p>
          <w:p w14:paraId="34023B0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.提供本组织税务网站截图、完税证明；</w:t>
            </w:r>
          </w:p>
          <w:p w14:paraId="21BB4F4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6</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.近</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年各</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张票据（包括发票、税票等）；</w:t>
            </w:r>
          </w:p>
          <w:p w14:paraId="1025EC3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7</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.与关联方无违规交易且无有失公平交易行为的情况说明，或关联交易及时披露的相关材料。</w:t>
            </w:r>
          </w:p>
        </w:tc>
      </w:tr>
      <w:tr w14:paraId="678C1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0347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56D6F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w:t>
            </w:r>
          </w:p>
          <w:p w14:paraId="264CBBB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治理</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7E3E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资产管理</w:t>
            </w:r>
          </w:p>
          <w:p w14:paraId="28EDBC3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5B74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建立资产管理制度（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69F653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建立资产管理台账，且做到账实相符，不存在账外资产（</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28FAAC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实物资产购进、领用、保管、处置履行内部审批程序，定期盘点并及时处理（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49AC6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固定资产标准和折旧年限确定合理，折旧计提准确（</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13E760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接受捐赠及捐出资产符合要求（</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6BFB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.提供资产管理制度文本（实物资产管理、固定资产管理、折旧年限确定、对接受捐赠和捐出资产的管理等）；</w:t>
            </w:r>
          </w:p>
          <w:p w14:paraId="07B6344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年的实物资产购进、领用、盘存表；</w:t>
            </w:r>
          </w:p>
          <w:p w14:paraId="0BE84EE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.提供资产造册表、固定资产折旧表、接受捐赠、捐出资产相关材料（有审计报告的可提供最近一年的年度审计报告）。</w:t>
            </w:r>
          </w:p>
        </w:tc>
      </w:tr>
      <w:tr w14:paraId="7A337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8"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F9E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11</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6D238">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626F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档案印章管理</w:t>
            </w:r>
          </w:p>
          <w:p w14:paraId="151C8B0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09B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档案管理情况（</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171B5E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档案管理制度详尽；档案资料齐全、整理有序、档案交接手续完备。</w:t>
            </w:r>
          </w:p>
          <w:p w14:paraId="04038BF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印章管理情况（</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1211FC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印章有专人妥善保管，且用印登记记录详细。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A54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.提供档案管理制度文本；档案资料交接手续文件；档案清册照片；</w:t>
            </w:r>
          </w:p>
          <w:p w14:paraId="57437C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.提供印章管理制度文本或专人管理的说明；印章近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年的使用记录。</w:t>
            </w:r>
          </w:p>
        </w:tc>
      </w:tr>
      <w:tr w14:paraId="0879F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487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12</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30DDD">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BD85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监督审计</w:t>
            </w:r>
          </w:p>
          <w:p w14:paraId="1EB80F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401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年度、换届、法定代表人离任审计完整、合规（</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527A36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注：未发生换届、法定代表人离任，以及按照登记管理机关要求无需在年度检查时提供审计报告的，不扣分。</w:t>
            </w:r>
          </w:p>
          <w:p w14:paraId="772834F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审计发现的问题整改到位（</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46B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.提供最近的年度审计报告、法人离任审计报告、换届审计报告（未发生换届、法定代表人离任，以及按照登记管理机关要求无需在年度检查时提供审计报告的提供情况说明）；</w:t>
            </w:r>
          </w:p>
          <w:p w14:paraId="0D016DA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.对于审计中发现问题的，提供问题整改相关材料。</w:t>
            </w:r>
          </w:p>
        </w:tc>
      </w:tr>
      <w:tr w14:paraId="58CE7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34" w:hRule="atLeast"/>
          <w:jc w:val="center"/>
        </w:trPr>
        <w:tc>
          <w:tcPr>
            <w:tcW w:w="64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BB663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13</w:t>
            </w:r>
          </w:p>
        </w:tc>
        <w:tc>
          <w:tcPr>
            <w:tcW w:w="920" w:type="dxa"/>
            <w:vMerge w:val="restart"/>
            <w:tcBorders>
              <w:top w:val="single" w:color="000000" w:sz="4" w:space="0"/>
              <w:left w:val="single" w:color="000000" w:sz="4" w:space="0"/>
              <w:bottom w:val="single" w:color="auto" w:sz="4" w:space="0"/>
              <w:right w:val="single" w:color="auto" w:sz="4" w:space="0"/>
            </w:tcBorders>
            <w:shd w:val="clear" w:color="auto" w:fill="FFFFFF"/>
            <w:vAlign w:val="center"/>
          </w:tcPr>
          <w:p w14:paraId="245870A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工作</w:t>
            </w:r>
          </w:p>
          <w:p w14:paraId="5839A51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绩效</w:t>
            </w:r>
          </w:p>
        </w:tc>
        <w:tc>
          <w:tcPr>
            <w:tcW w:w="1224" w:type="dxa"/>
            <w:tcBorders>
              <w:top w:val="single" w:color="000000" w:sz="4" w:space="0"/>
              <w:left w:val="single" w:color="auto" w:sz="4" w:space="0"/>
              <w:bottom w:val="single" w:color="000000" w:sz="4" w:space="0"/>
              <w:right w:val="single" w:color="000000" w:sz="4" w:space="0"/>
            </w:tcBorders>
            <w:shd w:val="clear" w:color="auto" w:fill="FFFFFF"/>
            <w:vAlign w:val="center"/>
          </w:tcPr>
          <w:p w14:paraId="1DFBD29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业务活动开展</w:t>
            </w:r>
          </w:p>
          <w:p w14:paraId="34E304E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8E7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业务活动符合章程规定的宗旨和业务范围（</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D00F40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业务活动应建立包括活动策划、组织实施、事中监管、事后评估等内容的全过程管理体系，并有相应的监督与考核（</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35D5CB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业务（项目）长期执行，具有可复制性、可推广性或形成品牌，并产生良好效果（</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565BFF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重大事项向业务主管单位/行业管理部门/党建工作机构报告（</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259BAD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重大事项包括开展评比达标表彰、举办节庆展会论坛、开展重大投资活动等。</w:t>
            </w:r>
          </w:p>
          <w:p w14:paraId="75EECCA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参与乡村振兴、对口支援协作、长江经济带发展、长三角一体化发展等国家战略及重大决策部署（</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808E8F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申报评估年度前两年开展相关项目得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分；相关项目支出达到</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万元（含）得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分，每增加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万元加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分，加满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分为止。</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1092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.提供章程中宗旨和业务范围相关内容；</w:t>
            </w:r>
          </w:p>
          <w:p w14:paraId="44816D0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.提供项目管理制度（包括但不限于活动策划、组织实施、事中监管、事后评估等）、监管评估或考核材料；</w:t>
            </w:r>
          </w:p>
          <w:p w14:paraId="30AF4E2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.提供业务/项目常态化开展的相关材料，包括但不限于方案、合同、部分实施材料，以及成果成效材料（如获评优秀案例、项目展示、经验推广等）；</w:t>
            </w:r>
          </w:p>
          <w:p w14:paraId="0A0003D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4</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.近</w:t>
            </w: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年各至少</w:t>
            </w: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份的重大事项向上级部门报告的材料；</w:t>
            </w:r>
          </w:p>
          <w:p w14:paraId="1706AF2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.提供参与国家战略及重大决策部署的相关材料，需包含项目支出金额证明材料。</w:t>
            </w:r>
          </w:p>
        </w:tc>
      </w:tr>
      <w:tr w14:paraId="1ADF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FE6E7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14</w:t>
            </w:r>
          </w:p>
        </w:tc>
        <w:tc>
          <w:tcPr>
            <w:tcW w:w="920" w:type="dxa"/>
            <w:vMerge w:val="continue"/>
            <w:tcBorders>
              <w:top w:val="single" w:color="auto" w:sz="4" w:space="0"/>
              <w:left w:val="single" w:color="auto" w:sz="4" w:space="0"/>
              <w:bottom w:val="nil"/>
              <w:right w:val="single" w:color="auto" w:sz="4" w:space="0"/>
            </w:tcBorders>
            <w:shd w:val="clear" w:color="auto" w:fill="FFFFFF"/>
            <w:vAlign w:val="center"/>
          </w:tcPr>
          <w:p w14:paraId="5B301260">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auto" w:sz="4" w:space="0"/>
              <w:bottom w:val="single" w:color="000000" w:sz="4" w:space="0"/>
              <w:right w:val="single" w:color="000000" w:sz="4" w:space="0"/>
            </w:tcBorders>
            <w:shd w:val="clear" w:color="auto" w:fill="FFFFFF"/>
            <w:vAlign w:val="center"/>
          </w:tcPr>
          <w:p w14:paraId="5FA87CF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提供服务</w:t>
            </w:r>
          </w:p>
          <w:p w14:paraId="3C52584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6806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根据自身业务领域，有完善的服务内容（</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B1B187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服务程序、服务收费规范合理（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5CC78E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制定服务承诺制度（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59F4D1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包括服务承诺内容、方式、服务满意度及投诉反馈机制等。</w:t>
            </w:r>
          </w:p>
          <w:p w14:paraId="600F84E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加强与政府部门的系统配合，积极协同政府落实有关政策（</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1F4BA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包括参与制定政策法规及建言献策，接受政府委托项目或购买服务等。</w:t>
            </w:r>
          </w:p>
          <w:p w14:paraId="659EA9E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提供公益服务，在履行社会责任、承担公共服务、提供智力支持、服务基层治理、协助科学决策等方面主动作为（</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B0A92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.提供本组织服务业务清单；</w:t>
            </w:r>
          </w:p>
          <w:p w14:paraId="7F190B9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.提供本组织服务流程，收费标准（不涉及收费的提供说明）；</w:t>
            </w:r>
          </w:p>
          <w:p w14:paraId="3D110D1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.提供服务承诺制度文本（包括但不限于服务承诺内容、方式、服务满意度及投诉反馈机制）；</w:t>
            </w:r>
          </w:p>
          <w:p w14:paraId="242B3A8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.提供本组织近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年参与制定的政策法规相关证明或所提出的意见文本；参加听证会、座谈会的签到表、参会回执、参会图片、代表证等；建言献策材料；政府购买服务清单及部分合同；</w:t>
            </w:r>
          </w:p>
          <w:p w14:paraId="0570AA6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.提供本组织近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年组织的</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次公益活动材料（包括活动方案、通知、活动内容及安排、参与人员与服务对象、图片记录、宣传报道等）。</w:t>
            </w:r>
          </w:p>
        </w:tc>
      </w:tr>
      <w:tr w14:paraId="466F0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4" w:hRule="atLeast"/>
          <w:jc w:val="center"/>
        </w:trPr>
        <w:tc>
          <w:tcPr>
            <w:tcW w:w="64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AABF0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15</w:t>
            </w:r>
          </w:p>
        </w:tc>
        <w:tc>
          <w:tcPr>
            <w:tcW w:w="920" w:type="dxa"/>
            <w:vMerge w:val="restart"/>
            <w:tcBorders>
              <w:top w:val="nil"/>
              <w:left w:val="single" w:color="auto" w:sz="4" w:space="0"/>
              <w:bottom w:val="single" w:color="auto" w:sz="4" w:space="0"/>
              <w:right w:val="single" w:color="auto" w:sz="4" w:space="0"/>
            </w:tcBorders>
            <w:shd w:val="clear" w:color="auto" w:fill="FFFFFF"/>
            <w:vAlign w:val="center"/>
          </w:tcPr>
          <w:p w14:paraId="386C2D8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auto" w:sz="4" w:space="0"/>
              <w:bottom w:val="single" w:color="000000" w:sz="4" w:space="0"/>
              <w:right w:val="single" w:color="000000" w:sz="4" w:space="0"/>
            </w:tcBorders>
            <w:shd w:val="clear" w:color="auto" w:fill="FFFFFF"/>
            <w:vAlign w:val="center"/>
          </w:tcPr>
          <w:p w14:paraId="29293AE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发展建设</w:t>
            </w:r>
          </w:p>
          <w:p w14:paraId="0D0E89F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0966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制定中长期发展规划，明确发展目标、发展路径和重点任务等，编制年度工作计划并组织实施（</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E769F2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建有网站、报刊或实名认证的其他自媒体等宣传服务平台，定期开展宣传服务（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FD7EC9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开展交流合作（</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85DE60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定期梳理并总结业务活动中存在的风险点，制定风险防范措施（</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7A32BF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坚持正确的政治方向、舆论导向和价值取向，建立舆情应对、突发事件处置等制度（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9843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.提供中长期发展规划，近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年的工作计划和总结；</w:t>
            </w:r>
          </w:p>
          <w:p w14:paraId="46C9803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提供网站、报刊或其他实名认证的自媒体宣传平台名称/链接/图片及内容截图；</w:t>
            </w:r>
          </w:p>
          <w:p w14:paraId="72638BB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年至少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次开展合作交流材料（包含合作协议、合同、议程安排、活动记录、宣传报道等）；</w:t>
            </w:r>
          </w:p>
          <w:p w14:paraId="7BF3FC3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.提供风险防范措施、舆情应对及突发事件处置制度文本及落实情况说明。</w:t>
            </w:r>
          </w:p>
        </w:tc>
      </w:tr>
      <w:tr w14:paraId="5C660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531F73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16</w:t>
            </w:r>
          </w:p>
        </w:tc>
        <w:tc>
          <w:tcPr>
            <w:tcW w:w="920" w:type="dxa"/>
            <w:vMerge w:val="continue"/>
            <w:tcBorders>
              <w:top w:val="single" w:color="auto" w:sz="4" w:space="0"/>
              <w:left w:val="single" w:color="000000" w:sz="4" w:space="0"/>
              <w:bottom w:val="single" w:color="000000" w:sz="4" w:space="0"/>
              <w:right w:val="single" w:color="auto" w:sz="4" w:space="0"/>
            </w:tcBorders>
            <w:shd w:val="clear" w:color="auto" w:fill="FFFFFF"/>
            <w:vAlign w:val="center"/>
          </w:tcPr>
          <w:p w14:paraId="4C87AFB6">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auto" w:sz="4" w:space="0"/>
              <w:bottom w:val="single" w:color="000000" w:sz="4" w:space="0"/>
              <w:right w:val="single" w:color="000000" w:sz="4" w:space="0"/>
            </w:tcBorders>
            <w:shd w:val="clear" w:color="auto" w:fill="FFFFFF"/>
            <w:vAlign w:val="center"/>
          </w:tcPr>
          <w:p w14:paraId="59DA1D7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业务效益</w:t>
            </w:r>
          </w:p>
          <w:p w14:paraId="1AC5644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1F7A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年度收入保持稳定或持续增长（</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AE0BD0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连续两年年均收入额高于（或等于）费用总额（</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D67700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净资产逐年增加（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77BE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年的审计报告或年度财务报表。</w:t>
            </w:r>
          </w:p>
        </w:tc>
      </w:tr>
      <w:tr w14:paraId="33273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2"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BC3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17</w:t>
            </w:r>
          </w:p>
        </w:tc>
        <w:tc>
          <w:tcPr>
            <w:tcW w:w="920" w:type="dxa"/>
            <w:vMerge w:val="continue"/>
            <w:tcBorders>
              <w:top w:val="single" w:color="000000" w:sz="4" w:space="0"/>
              <w:left w:val="single" w:color="000000" w:sz="4" w:space="0"/>
              <w:bottom w:val="single" w:color="000000" w:sz="4" w:space="0"/>
              <w:right w:val="single" w:color="auto" w:sz="4" w:space="0"/>
            </w:tcBorders>
            <w:shd w:val="clear" w:color="auto" w:fill="FFFFFF"/>
            <w:vAlign w:val="center"/>
          </w:tcPr>
          <w:p w14:paraId="5BADCBA9">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auto" w:sz="4" w:space="0"/>
              <w:bottom w:val="single" w:color="000000" w:sz="4" w:space="0"/>
              <w:right w:val="single" w:color="000000" w:sz="4" w:space="0"/>
            </w:tcBorders>
            <w:shd w:val="clear" w:color="auto" w:fill="FFFFFF"/>
            <w:vAlign w:val="center"/>
          </w:tcPr>
          <w:p w14:paraId="61EBD4E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信息公开</w:t>
            </w:r>
          </w:p>
          <w:p w14:paraId="286C5B7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522F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依法履行信息公开义务（</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283636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公开内容包括：基本信息（登记事项、章程、组织机构、负责人等）；收费项目和标准；业务活动信息；年度工作报告和年检结果；提供所述公开内容的截图或者链接捐赠信息。有</w:t>
            </w:r>
            <w:r>
              <w:rPr>
                <w:rFonts w:hint="default"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项未公开扣</w:t>
            </w:r>
            <w:r>
              <w:rPr>
                <w:rFonts w:hint="default"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tc>
        <w:tc>
          <w:tcPr>
            <w:tcW w:w="50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EE6A5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提供所述公开内容的截图或者链接捐赠信息。</w:t>
            </w:r>
          </w:p>
        </w:tc>
      </w:tr>
      <w:tr w14:paraId="159DF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DC3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18</w:t>
            </w:r>
          </w:p>
        </w:tc>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0704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社会评价</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E1A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内部评价</w:t>
            </w:r>
          </w:p>
          <w:p w14:paraId="5D32319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AB0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理事、监事对社会服务机构非营利性、领导班子履行职责、重大事项民主决策、能力建设和制度建设的评价（</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04ADC2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注：所有理事、监事参与评价。</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8AD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年所有理事、监事评价表。</w:t>
            </w:r>
          </w:p>
        </w:tc>
      </w:tr>
      <w:tr w14:paraId="78120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FD1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19</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B168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045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服务对象评价</w:t>
            </w:r>
          </w:p>
          <w:p w14:paraId="0F75903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A53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主要服务对象对社会服务机构服务态度、服务质量、信息公开、社会影响力和诚信度的评价（</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9D3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年各至少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张有签名的评价表。</w:t>
            </w:r>
          </w:p>
        </w:tc>
      </w:tr>
      <w:tr w14:paraId="6C2D0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2535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20</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C5722">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F003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业务主管单位评价</w:t>
            </w:r>
          </w:p>
          <w:p w14:paraId="1ADC724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D36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由业务主管单位对社会服务机构进行总体评价（</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16F869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注：直接登记的社会服务机构，由党建工作机构（或其授权的行业党委、属地党组织）进行评价。</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DAD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提供业务主管单位评价表材料（已脱钩或直接登记的提供党建工作或其授权的行业党委、属地党组织评价表材料）。</w:t>
            </w:r>
            <w:bookmarkStart w:id="0" w:name="_GoBack"/>
            <w:bookmarkEnd w:id="0"/>
          </w:p>
        </w:tc>
      </w:tr>
      <w:tr w14:paraId="74591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6267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21</w:t>
            </w:r>
          </w:p>
        </w:tc>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53476">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E56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社会影响力及公众形象</w:t>
            </w:r>
          </w:p>
          <w:p w14:paraId="72518AF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9BC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社会服务机构或负责人获得政府部门表彰奖励、行业评优评先；具有代表性、良好口碑和广泛影响力的社会服务案例等（</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6F31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提供相关荣誉证书、红头文件（政府部门、群团组织）、表彰、证书、文件、奖牌等。</w:t>
            </w:r>
          </w:p>
        </w:tc>
      </w:tr>
    </w:tbl>
    <w:p w14:paraId="68D0ACF9">
      <w:pPr>
        <w:keepNext w:val="0"/>
        <w:keepLines w:val="0"/>
        <w:pageBreakBefore w:val="0"/>
        <w:widowControl w:val="0"/>
        <w:kinsoku/>
        <w:wordWrap/>
        <w:overflowPunct w:val="0"/>
        <w:topLinePunct/>
        <w:autoSpaceDE/>
        <w:autoSpaceDN/>
        <w:bidi w:val="0"/>
        <w:adjustRightInd w:val="0"/>
        <w:snapToGrid w:val="0"/>
        <w:spacing w:line="600" w:lineRule="exact"/>
        <w:rPr>
          <w:rFonts w:hint="eastAsia" w:ascii="Times New Roman" w:hAnsi="Times New Roman" w:eastAsia="方正仿宋_GBK" w:cs="Times New Roman"/>
          <w:sz w:val="32"/>
          <w:szCs w:val="32"/>
        </w:rPr>
      </w:pPr>
      <w:r>
        <w:rPr>
          <w:rStyle w:val="24"/>
          <w:rFonts w:ascii="Times New Roman" w:hAnsi="Times New Roman"/>
          <w:color w:val="000000" w:themeColor="text1"/>
          <w:lang w:val="en-US" w:eastAsia="zh-CN" w:bidi="ar"/>
          <w14:textFill>
            <w14:solidFill>
              <w14:schemeClr w14:val="tx1"/>
            </w14:solidFill>
          </w14:textFill>
        </w:rPr>
        <w:t>注：加</w:t>
      </w:r>
      <w:r>
        <w:rPr>
          <w:rFonts w:hint="eastAsia" w:ascii="Times New Roman" w:hAnsi="Times New Roman" w:eastAsia="方正楷体_GBK" w:cs="方正楷体_GBK"/>
          <w:i w:val="0"/>
          <w:iCs w:val="0"/>
          <w:color w:val="000000" w:themeColor="text1"/>
          <w:kern w:val="0"/>
          <w:sz w:val="24"/>
          <w:szCs w:val="24"/>
          <w:u w:val="none"/>
          <w:lang w:val="en-US" w:eastAsia="zh-CN" w:bidi="ar"/>
          <w14:textFill>
            <w14:solidFill>
              <w14:schemeClr w14:val="tx1"/>
            </w14:solidFill>
          </w14:textFill>
        </w:rPr>
        <w:t>*</w:t>
      </w:r>
      <w:r>
        <w:rPr>
          <w:rStyle w:val="24"/>
          <w:rFonts w:ascii="Times New Roman" w:hAnsi="Times New Roman"/>
          <w:color w:val="000000" w:themeColor="text1"/>
          <w:lang w:val="en-US" w:eastAsia="zh-CN" w:bidi="ar"/>
          <w14:textFill>
            <w14:solidFill>
              <w14:schemeClr w14:val="tx1"/>
            </w14:solidFill>
          </w14:textFill>
        </w:rPr>
        <w:t>项指标无需社会组织提供材料。</w:t>
      </w:r>
    </w:p>
    <w:sectPr>
      <w:footerReference r:id="rId3" w:type="default"/>
      <w:pgSz w:w="16838" w:h="11906" w:orient="landscape"/>
      <w:pgMar w:top="1531" w:right="2098" w:bottom="1531" w:left="1984" w:header="851" w:footer="1247"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5962D45D-F950-4FAE-BCCA-D016A2D34F91}"/>
  </w:font>
  <w:font w:name="等线">
    <w:panose1 w:val="02010600030101010101"/>
    <w:charset w:val="86"/>
    <w:family w:val="auto"/>
    <w:pitch w:val="default"/>
    <w:sig w:usb0="A00002BF" w:usb1="38CF7CFA" w:usb2="00000016" w:usb3="00000000" w:csb0="0004000F" w:csb1="00000000"/>
    <w:embedRegular r:id="rId2" w:fontKey="{85392963-6900-4DEC-B305-E90ED25A629B}"/>
  </w:font>
  <w:font w:name="方正黑体_GBK">
    <w:panose1 w:val="03000509000000000000"/>
    <w:charset w:val="86"/>
    <w:family w:val="auto"/>
    <w:pitch w:val="default"/>
    <w:sig w:usb0="00000001" w:usb1="080E0000" w:usb2="00000000" w:usb3="00000000" w:csb0="00040000" w:csb1="00000000"/>
    <w:embedRegular r:id="rId3" w:fontKey="{E4447F21-8C32-4E7D-A4C9-5EC83BC6517B}"/>
  </w:font>
  <w:font w:name="方正小标宋_GBK">
    <w:panose1 w:val="02000000000000000000"/>
    <w:charset w:val="86"/>
    <w:family w:val="script"/>
    <w:pitch w:val="default"/>
    <w:sig w:usb0="A00002BF" w:usb1="38CF7CFA" w:usb2="00082016" w:usb3="00000000" w:csb0="00040001" w:csb1="00000000"/>
    <w:embedRegular r:id="rId4" w:fontKey="{E8B7119C-B70A-409D-A375-B7474634392E}"/>
  </w:font>
  <w:font w:name="方正仿宋_GBK">
    <w:panose1 w:val="02000000000000000000"/>
    <w:charset w:val="86"/>
    <w:family w:val="auto"/>
    <w:pitch w:val="default"/>
    <w:sig w:usb0="A00002BF" w:usb1="38CF7CFA" w:usb2="00082016" w:usb3="00000000" w:csb0="00040001" w:csb1="00000000"/>
    <w:embedRegular r:id="rId5" w:fontKey="{F1888777-9358-4B85-B4F6-E53491678ADF}"/>
  </w:font>
  <w:font w:name="方正楷体_GBK">
    <w:panose1 w:val="02000000000000000000"/>
    <w:charset w:val="86"/>
    <w:family w:val="auto"/>
    <w:pitch w:val="default"/>
    <w:sig w:usb0="800002BF" w:usb1="38CF7CFA" w:usb2="00000016" w:usb3="00000000" w:csb0="00040000" w:csb1="00000000"/>
    <w:embedRegular r:id="rId6" w:fontKey="{58E539A5-838A-4BCF-B84A-8A8078AFF23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A698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1AF"/>
    <w:rsid w:val="007C0430"/>
    <w:rsid w:val="007D31AF"/>
    <w:rsid w:val="00D22957"/>
    <w:rsid w:val="00F15DBA"/>
    <w:rsid w:val="00F97611"/>
    <w:rsid w:val="01486FAE"/>
    <w:rsid w:val="02F63D21"/>
    <w:rsid w:val="0A043ABB"/>
    <w:rsid w:val="0C923886"/>
    <w:rsid w:val="0D910E05"/>
    <w:rsid w:val="0FAF46EE"/>
    <w:rsid w:val="14864D69"/>
    <w:rsid w:val="157D6AA3"/>
    <w:rsid w:val="15B52369"/>
    <w:rsid w:val="16614EB2"/>
    <w:rsid w:val="16A70BB7"/>
    <w:rsid w:val="16D419E5"/>
    <w:rsid w:val="1B927C9C"/>
    <w:rsid w:val="21422A42"/>
    <w:rsid w:val="24D10F97"/>
    <w:rsid w:val="26190E48"/>
    <w:rsid w:val="27577DD5"/>
    <w:rsid w:val="28D76D98"/>
    <w:rsid w:val="29D2127B"/>
    <w:rsid w:val="2B514BE0"/>
    <w:rsid w:val="2C293467"/>
    <w:rsid w:val="2CD846F4"/>
    <w:rsid w:val="2E100F1A"/>
    <w:rsid w:val="328B4E7C"/>
    <w:rsid w:val="341C1B03"/>
    <w:rsid w:val="3ED731F7"/>
    <w:rsid w:val="410A64F1"/>
    <w:rsid w:val="44352E99"/>
    <w:rsid w:val="44B06F5E"/>
    <w:rsid w:val="452A0524"/>
    <w:rsid w:val="453F2909"/>
    <w:rsid w:val="45E5269D"/>
    <w:rsid w:val="46D77523"/>
    <w:rsid w:val="480F1DEA"/>
    <w:rsid w:val="4A313A6A"/>
    <w:rsid w:val="4BF509A8"/>
    <w:rsid w:val="51702898"/>
    <w:rsid w:val="522F4A61"/>
    <w:rsid w:val="55F84C56"/>
    <w:rsid w:val="5F6B29C6"/>
    <w:rsid w:val="5F9E593F"/>
    <w:rsid w:val="60065292"/>
    <w:rsid w:val="60CE3C62"/>
    <w:rsid w:val="6252034C"/>
    <w:rsid w:val="625D388F"/>
    <w:rsid w:val="62634C1E"/>
    <w:rsid w:val="62A4384B"/>
    <w:rsid w:val="62B17737"/>
    <w:rsid w:val="643D361B"/>
    <w:rsid w:val="67CC4F71"/>
    <w:rsid w:val="690031C6"/>
    <w:rsid w:val="6B7909DF"/>
    <w:rsid w:val="6CA914E7"/>
    <w:rsid w:val="6E5A0C83"/>
    <w:rsid w:val="709A0024"/>
    <w:rsid w:val="71880C5D"/>
    <w:rsid w:val="72890008"/>
    <w:rsid w:val="737C5B3F"/>
    <w:rsid w:val="7572748F"/>
    <w:rsid w:val="75C53773"/>
    <w:rsid w:val="766146A6"/>
    <w:rsid w:val="79C40AE5"/>
    <w:rsid w:val="7E955D07"/>
    <w:rsid w:val="7EA04290"/>
    <w:rsid w:val="7ECB2594"/>
    <w:rsid w:val="7FBE4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01"/>
    <w:basedOn w:val="5"/>
    <w:qFormat/>
    <w:uiPriority w:val="0"/>
    <w:rPr>
      <w:rFonts w:ascii="方正黑体_GBK" w:hAnsi="方正黑体_GBK" w:eastAsia="方正黑体_GBK" w:cs="方正黑体_GBK"/>
      <w:color w:val="000000"/>
      <w:sz w:val="28"/>
      <w:szCs w:val="28"/>
      <w:u w:val="none"/>
    </w:rPr>
  </w:style>
  <w:style w:type="character" w:customStyle="1" w:styleId="7">
    <w:name w:val="font21"/>
    <w:basedOn w:val="5"/>
    <w:qFormat/>
    <w:uiPriority w:val="0"/>
    <w:rPr>
      <w:rFonts w:hint="default" w:ascii="Times New Roman" w:hAnsi="Times New Roman" w:cs="Times New Roman"/>
      <w:color w:val="000000"/>
      <w:sz w:val="28"/>
      <w:szCs w:val="28"/>
      <w:u w:val="none"/>
    </w:rPr>
  </w:style>
  <w:style w:type="character" w:customStyle="1" w:styleId="8">
    <w:name w:val="font112"/>
    <w:basedOn w:val="5"/>
    <w:qFormat/>
    <w:uiPriority w:val="0"/>
    <w:rPr>
      <w:rFonts w:ascii="方正小标宋_GBK" w:hAnsi="方正小标宋_GBK" w:eastAsia="方正小标宋_GBK" w:cs="方正小标宋_GBK"/>
      <w:color w:val="000000"/>
      <w:sz w:val="40"/>
      <w:szCs w:val="40"/>
      <w:u w:val="none"/>
    </w:rPr>
  </w:style>
  <w:style w:type="character" w:customStyle="1" w:styleId="9">
    <w:name w:val="font121"/>
    <w:basedOn w:val="5"/>
    <w:qFormat/>
    <w:uiPriority w:val="0"/>
    <w:rPr>
      <w:rFonts w:hint="eastAsia" w:ascii="方正黑体_GBK" w:hAnsi="方正黑体_GBK" w:eastAsia="方正黑体_GBK" w:cs="方正黑体_GBK"/>
      <w:color w:val="000000"/>
      <w:sz w:val="24"/>
      <w:szCs w:val="24"/>
      <w:u w:val="none"/>
    </w:rPr>
  </w:style>
  <w:style w:type="character" w:customStyle="1" w:styleId="10">
    <w:name w:val="font71"/>
    <w:basedOn w:val="5"/>
    <w:qFormat/>
    <w:uiPriority w:val="0"/>
    <w:rPr>
      <w:rFonts w:hint="eastAsia" w:ascii="方正仿宋_GBK" w:hAnsi="方正仿宋_GBK" w:eastAsia="方正仿宋_GBK" w:cs="方正仿宋_GBK"/>
      <w:color w:val="000000"/>
      <w:sz w:val="24"/>
      <w:szCs w:val="24"/>
      <w:u w:val="none"/>
    </w:rPr>
  </w:style>
  <w:style w:type="character" w:customStyle="1" w:styleId="11">
    <w:name w:val="font61"/>
    <w:basedOn w:val="5"/>
    <w:qFormat/>
    <w:uiPriority w:val="0"/>
    <w:rPr>
      <w:rFonts w:hint="default" w:ascii="Times New Roman" w:hAnsi="Times New Roman" w:cs="Times New Roman"/>
      <w:color w:val="000000"/>
      <w:sz w:val="24"/>
      <w:szCs w:val="24"/>
      <w:u w:val="none"/>
    </w:rPr>
  </w:style>
  <w:style w:type="character" w:customStyle="1" w:styleId="12">
    <w:name w:val="font131"/>
    <w:basedOn w:val="5"/>
    <w:qFormat/>
    <w:uiPriority w:val="0"/>
    <w:rPr>
      <w:rFonts w:hint="eastAsia" w:ascii="方正仿宋_GBK" w:hAnsi="方正仿宋_GBK" w:eastAsia="方正仿宋_GBK" w:cs="方正仿宋_GBK"/>
      <w:b/>
      <w:bCs/>
      <w:color w:val="000000"/>
      <w:sz w:val="24"/>
      <w:szCs w:val="24"/>
      <w:u w:val="none"/>
    </w:rPr>
  </w:style>
  <w:style w:type="character" w:customStyle="1" w:styleId="13">
    <w:name w:val="font141"/>
    <w:basedOn w:val="5"/>
    <w:qFormat/>
    <w:uiPriority w:val="0"/>
    <w:rPr>
      <w:rFonts w:hint="default" w:ascii="Times New Roman" w:hAnsi="Times New Roman" w:cs="Times New Roman"/>
      <w:b/>
      <w:bCs/>
      <w:color w:val="000000"/>
      <w:sz w:val="24"/>
      <w:szCs w:val="24"/>
      <w:u w:val="none"/>
    </w:rPr>
  </w:style>
  <w:style w:type="character" w:customStyle="1" w:styleId="14">
    <w:name w:val="font151"/>
    <w:basedOn w:val="5"/>
    <w:qFormat/>
    <w:uiPriority w:val="0"/>
    <w:rPr>
      <w:rFonts w:hint="eastAsia" w:ascii="宋体" w:hAnsi="宋体" w:eastAsia="宋体" w:cs="宋体"/>
      <w:color w:val="000000"/>
      <w:sz w:val="24"/>
      <w:szCs w:val="24"/>
      <w:u w:val="none"/>
    </w:rPr>
  </w:style>
  <w:style w:type="character" w:customStyle="1" w:styleId="15">
    <w:name w:val="font161"/>
    <w:basedOn w:val="5"/>
    <w:qFormat/>
    <w:uiPriority w:val="0"/>
    <w:rPr>
      <w:rFonts w:hint="eastAsia" w:ascii="方正仿宋_GBK" w:hAnsi="方正仿宋_GBK" w:eastAsia="方正仿宋_GBK" w:cs="方正仿宋_GBK"/>
      <w:color w:val="000000"/>
      <w:sz w:val="24"/>
      <w:szCs w:val="24"/>
      <w:u w:val="none"/>
    </w:rPr>
  </w:style>
  <w:style w:type="character" w:customStyle="1" w:styleId="16">
    <w:name w:val="font41"/>
    <w:basedOn w:val="5"/>
    <w:qFormat/>
    <w:uiPriority w:val="0"/>
    <w:rPr>
      <w:rFonts w:hint="default" w:ascii="Times New Roman" w:hAnsi="Times New Roman" w:cs="Times New Roman"/>
      <w:color w:val="000000"/>
      <w:sz w:val="24"/>
      <w:szCs w:val="24"/>
      <w:u w:val="none"/>
    </w:rPr>
  </w:style>
  <w:style w:type="character" w:customStyle="1" w:styleId="17">
    <w:name w:val="font81"/>
    <w:basedOn w:val="5"/>
    <w:qFormat/>
    <w:uiPriority w:val="0"/>
    <w:rPr>
      <w:rFonts w:hint="default" w:ascii="Times New Roman" w:hAnsi="Times New Roman" w:cs="Times New Roman"/>
      <w:color w:val="FF0000"/>
      <w:sz w:val="24"/>
      <w:szCs w:val="24"/>
      <w:u w:val="none"/>
    </w:rPr>
  </w:style>
  <w:style w:type="character" w:customStyle="1" w:styleId="18">
    <w:name w:val="font171"/>
    <w:basedOn w:val="5"/>
    <w:qFormat/>
    <w:uiPriority w:val="0"/>
    <w:rPr>
      <w:rFonts w:ascii="方正仿宋_GB2312" w:hAnsi="方正仿宋_GB2312" w:eastAsia="方正仿宋_GB2312" w:cs="方正仿宋_GB2312"/>
      <w:b/>
      <w:bCs/>
      <w:color w:val="000000"/>
      <w:sz w:val="24"/>
      <w:szCs w:val="24"/>
      <w:u w:val="none"/>
    </w:rPr>
  </w:style>
  <w:style w:type="character" w:customStyle="1" w:styleId="19">
    <w:name w:val="font181"/>
    <w:basedOn w:val="5"/>
    <w:qFormat/>
    <w:uiPriority w:val="0"/>
    <w:rPr>
      <w:rFonts w:hint="eastAsia" w:ascii="方正仿宋_GB2312" w:hAnsi="方正仿宋_GB2312" w:eastAsia="方正仿宋_GB2312" w:cs="方正仿宋_GB2312"/>
      <w:color w:val="000000"/>
      <w:sz w:val="24"/>
      <w:szCs w:val="24"/>
      <w:u w:val="none"/>
    </w:rPr>
  </w:style>
  <w:style w:type="character" w:customStyle="1" w:styleId="20">
    <w:name w:val="font191"/>
    <w:basedOn w:val="5"/>
    <w:qFormat/>
    <w:uiPriority w:val="0"/>
    <w:rPr>
      <w:rFonts w:hint="default" w:ascii="Times New Roman" w:hAnsi="Times New Roman" w:cs="Times New Roman"/>
      <w:color w:val="C00000"/>
      <w:sz w:val="24"/>
      <w:szCs w:val="24"/>
      <w:u w:val="none"/>
    </w:rPr>
  </w:style>
  <w:style w:type="character" w:customStyle="1" w:styleId="21">
    <w:name w:val="font201"/>
    <w:basedOn w:val="5"/>
    <w:qFormat/>
    <w:uiPriority w:val="0"/>
    <w:rPr>
      <w:rFonts w:hint="eastAsia" w:ascii="方正仿宋_GBK" w:hAnsi="方正仿宋_GBK" w:eastAsia="方正仿宋_GBK" w:cs="方正仿宋_GBK"/>
      <w:color w:val="FF0000"/>
      <w:sz w:val="24"/>
      <w:szCs w:val="24"/>
      <w:u w:val="none"/>
    </w:rPr>
  </w:style>
  <w:style w:type="character" w:customStyle="1" w:styleId="22">
    <w:name w:val="font91"/>
    <w:basedOn w:val="5"/>
    <w:qFormat/>
    <w:uiPriority w:val="0"/>
    <w:rPr>
      <w:rFonts w:hint="eastAsia" w:ascii="方正楷体_GBK" w:hAnsi="方正楷体_GBK" w:eastAsia="方正楷体_GBK" w:cs="方正楷体_GBK"/>
      <w:color w:val="000000"/>
      <w:sz w:val="24"/>
      <w:szCs w:val="24"/>
      <w:u w:val="none"/>
    </w:rPr>
  </w:style>
  <w:style w:type="character" w:customStyle="1" w:styleId="23">
    <w:name w:val="font122"/>
    <w:basedOn w:val="5"/>
    <w:qFormat/>
    <w:uiPriority w:val="0"/>
    <w:rPr>
      <w:rFonts w:ascii="方正黑体_GBK" w:hAnsi="方正黑体_GBK" w:eastAsia="方正黑体_GBK" w:cs="方正黑体_GBK"/>
      <w:color w:val="000000"/>
      <w:sz w:val="28"/>
      <w:szCs w:val="28"/>
      <w:u w:val="none"/>
    </w:rPr>
  </w:style>
  <w:style w:type="character" w:customStyle="1" w:styleId="24">
    <w:name w:val="font111"/>
    <w:basedOn w:val="5"/>
    <w:qFormat/>
    <w:uiPriority w:val="0"/>
    <w:rPr>
      <w:rFonts w:hint="eastAsia" w:ascii="方正楷体_GBK" w:hAnsi="方正楷体_GBK" w:eastAsia="方正楷体_GBK" w:cs="方正楷体_GBK"/>
      <w:color w:val="000000"/>
      <w:sz w:val="24"/>
      <w:szCs w:val="24"/>
      <w:u w:val="none"/>
    </w:rPr>
  </w:style>
  <w:style w:type="character" w:customStyle="1" w:styleId="25">
    <w:name w:val="font51"/>
    <w:basedOn w:val="5"/>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5901</Words>
  <Characters>6054</Characters>
  <Lines>3</Lines>
  <Paragraphs>1</Paragraphs>
  <TotalTime>0</TotalTime>
  <ScaleCrop>false</ScaleCrop>
  <LinksUpToDate>false</LinksUpToDate>
  <CharactersWithSpaces>6054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2025-03-24T07:45:00Z</dcterms:created>
  <dc:creator>严磊</dc:creator>
  <cp:lastModifiedBy>常州市钟楼区瑞迩德幼儿园</cp:lastModifiedBy>
  <dcterms:modified xsi:type="dcterms:W3CDTF">2025-08-01T06:37:11Z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eyJoZGlkIjoiMGFlMjA1NzZlZWViOTg3NjZhMjc2NzRhYjc2MzM0ODEiLCJ1c2VySWQiOiIxNDY1NDk3OTg2In0=</vt:lpwstr>
  </property>
  <property fmtid="{D5CDD505-2E9C-101B-9397-08002B2CF9AE}" pid="4" name="ICV">
    <vt:lpwstr>C3F86093766E43439EB6929E40869599_13</vt:lpwstr>
  </property>
</Properties>
</file>