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6B11">
      <w:pPr>
        <w:widowControl/>
        <w:spacing w:line="560" w:lineRule="exact"/>
        <w:rPr>
          <w:rFonts w:hint="eastAsia" w:ascii="黑体" w:hAnsi="黑体" w:eastAsia="黑体" w:cs="Times New Roman"/>
          <w:color w:val="auto"/>
          <w:sz w:val="32"/>
          <w:szCs w:val="32"/>
        </w:rPr>
      </w:pPr>
      <w:r>
        <w:rPr>
          <w:rFonts w:hint="eastAsia" w:ascii="黑体" w:hAnsi="黑体" w:eastAsia="黑体" w:cs="Times New Roman"/>
          <w:color w:val="auto"/>
          <w:sz w:val="32"/>
          <w:szCs w:val="32"/>
        </w:rPr>
        <w:t>附件</w:t>
      </w:r>
    </w:p>
    <w:p w14:paraId="7751B8D0">
      <w:pPr>
        <w:spacing w:line="560" w:lineRule="exact"/>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江苏省医疗机构校验现场审查基本标准（试行）</w:t>
      </w:r>
    </w:p>
    <w:p w14:paraId="428D5246">
      <w:pPr>
        <w:numPr>
          <w:ilvl w:val="0"/>
          <w:numId w:val="1"/>
        </w:num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（医院及设置床位的医疗机构）</w:t>
      </w:r>
    </w:p>
    <w:p w14:paraId="0BD4A6C2">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机构（章）：                       日期：                        总得分：</w:t>
      </w:r>
    </w:p>
    <w:tbl>
      <w:tblPr>
        <w:tblStyle w:val="11"/>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9"/>
        <w:gridCol w:w="3210"/>
        <w:gridCol w:w="4035"/>
        <w:gridCol w:w="1080"/>
        <w:gridCol w:w="3270"/>
        <w:gridCol w:w="1290"/>
      </w:tblGrid>
      <w:tr w14:paraId="266E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blHeader/>
          <w:jc w:val="center"/>
        </w:trPr>
        <w:tc>
          <w:tcPr>
            <w:tcW w:w="1549" w:type="dxa"/>
            <w:noWrap w:val="0"/>
            <w:tcMar>
              <w:left w:w="105" w:type="dxa"/>
              <w:right w:w="105" w:type="dxa"/>
            </w:tcMar>
            <w:vAlign w:val="center"/>
          </w:tcPr>
          <w:p w14:paraId="6BA956D6">
            <w:pPr>
              <w:widowControl/>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审查项目</w:t>
            </w:r>
          </w:p>
        </w:tc>
        <w:tc>
          <w:tcPr>
            <w:tcW w:w="3210" w:type="dxa"/>
            <w:noWrap w:val="0"/>
            <w:tcMar>
              <w:left w:w="105" w:type="dxa"/>
              <w:right w:w="105" w:type="dxa"/>
            </w:tcMar>
            <w:vAlign w:val="center"/>
          </w:tcPr>
          <w:p w14:paraId="77F8AE36">
            <w:pPr>
              <w:widowControl/>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审查要求</w:t>
            </w:r>
          </w:p>
        </w:tc>
        <w:tc>
          <w:tcPr>
            <w:tcW w:w="4035" w:type="dxa"/>
            <w:noWrap w:val="0"/>
            <w:tcMar>
              <w:left w:w="105" w:type="dxa"/>
              <w:right w:w="105" w:type="dxa"/>
            </w:tcMar>
            <w:vAlign w:val="center"/>
          </w:tcPr>
          <w:p w14:paraId="0DEE8871">
            <w:pPr>
              <w:widowControl/>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审查方法</w:t>
            </w:r>
          </w:p>
        </w:tc>
        <w:tc>
          <w:tcPr>
            <w:tcW w:w="1080" w:type="dxa"/>
            <w:noWrap w:val="0"/>
            <w:tcMar>
              <w:left w:w="105" w:type="dxa"/>
              <w:right w:w="105" w:type="dxa"/>
            </w:tcMar>
            <w:vAlign w:val="center"/>
          </w:tcPr>
          <w:p w14:paraId="6E75615D">
            <w:pPr>
              <w:widowControl/>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分值（分）</w:t>
            </w:r>
          </w:p>
        </w:tc>
        <w:tc>
          <w:tcPr>
            <w:tcW w:w="3270" w:type="dxa"/>
            <w:noWrap w:val="0"/>
            <w:tcMar>
              <w:left w:w="105" w:type="dxa"/>
              <w:right w:w="105" w:type="dxa"/>
            </w:tcMar>
            <w:vAlign w:val="center"/>
          </w:tcPr>
          <w:p w14:paraId="5A0E7A2F">
            <w:pPr>
              <w:widowControl/>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扣分标准</w:t>
            </w:r>
          </w:p>
        </w:tc>
        <w:tc>
          <w:tcPr>
            <w:tcW w:w="1290" w:type="dxa"/>
            <w:noWrap w:val="0"/>
            <w:tcMar>
              <w:left w:w="105" w:type="dxa"/>
              <w:right w:w="105" w:type="dxa"/>
            </w:tcMar>
            <w:vAlign w:val="center"/>
          </w:tcPr>
          <w:p w14:paraId="4C5C4F4B">
            <w:pPr>
              <w:widowControl/>
              <w:spacing w:before="0" w:beforeAutospacing="0" w:after="0" w:afterAutospacing="0"/>
              <w:ind w:left="0" w:right="0"/>
              <w:jc w:val="center"/>
              <w:rPr>
                <w:rFonts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得分</w:t>
            </w:r>
          </w:p>
        </w:tc>
      </w:tr>
      <w:tr w14:paraId="73D8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1549" w:type="dxa"/>
            <w:vMerge w:val="restart"/>
            <w:noWrap w:val="0"/>
            <w:tcMar>
              <w:left w:w="105" w:type="dxa"/>
              <w:right w:w="105" w:type="dxa"/>
            </w:tcMar>
            <w:vAlign w:val="center"/>
          </w:tcPr>
          <w:p w14:paraId="6B3EADDB">
            <w:pPr>
              <w:widowControl/>
              <w:spacing w:before="0" w:beforeAutospacing="0" w:after="0" w:afterAutospacing="0"/>
              <w:ind w:left="0" w:right="0"/>
              <w:jc w:val="both"/>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一、医疗机构基本标准符合情况</w:t>
            </w:r>
          </w:p>
        </w:tc>
        <w:tc>
          <w:tcPr>
            <w:tcW w:w="3210" w:type="dxa"/>
            <w:noWrap w:val="0"/>
            <w:tcMar>
              <w:left w:w="105" w:type="dxa"/>
              <w:right w:w="105" w:type="dxa"/>
            </w:tcMar>
            <w:vAlign w:val="center"/>
          </w:tcPr>
          <w:p w14:paraId="5F0689CD">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1.床位配置符合《医疗机构基本标准》要求及《医疗机构执业许可证》登记内容。</w:t>
            </w:r>
          </w:p>
        </w:tc>
        <w:tc>
          <w:tcPr>
            <w:tcW w:w="4035" w:type="dxa"/>
            <w:noWrap w:val="0"/>
            <w:tcMar>
              <w:left w:w="105" w:type="dxa"/>
              <w:right w:w="105" w:type="dxa"/>
            </w:tcMar>
            <w:vAlign w:val="center"/>
          </w:tcPr>
          <w:p w14:paraId="638CC2F4">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核查实际开放床位数。</w:t>
            </w:r>
          </w:p>
        </w:tc>
        <w:tc>
          <w:tcPr>
            <w:tcW w:w="1080" w:type="dxa"/>
            <w:noWrap w:val="0"/>
            <w:tcMar>
              <w:left w:w="105" w:type="dxa"/>
              <w:right w:w="105" w:type="dxa"/>
            </w:tcMar>
            <w:vAlign w:val="center"/>
          </w:tcPr>
          <w:p w14:paraId="3E85A348">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3A033D6C">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床位配置低于基本标准低限，每下降2%扣1分。</w:t>
            </w:r>
          </w:p>
        </w:tc>
        <w:tc>
          <w:tcPr>
            <w:tcW w:w="1290" w:type="dxa"/>
            <w:noWrap w:val="0"/>
            <w:tcMar>
              <w:left w:w="105" w:type="dxa"/>
              <w:right w:w="105" w:type="dxa"/>
            </w:tcMar>
            <w:vAlign w:val="center"/>
          </w:tcPr>
          <w:p w14:paraId="6F504585">
            <w:pPr>
              <w:widowControl/>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5129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49" w:type="dxa"/>
            <w:vMerge w:val="continue"/>
            <w:noWrap w:val="0"/>
            <w:tcMar>
              <w:left w:w="105" w:type="dxa"/>
              <w:right w:w="105" w:type="dxa"/>
            </w:tcMar>
            <w:vAlign w:val="center"/>
          </w:tcPr>
          <w:p w14:paraId="6E8B0FA1">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11FEED2C">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2.科室设置达到《医疗机构基本标准》要求，符合《医疗机构执业许可证》登记内容。</w:t>
            </w:r>
          </w:p>
        </w:tc>
        <w:tc>
          <w:tcPr>
            <w:tcW w:w="4035" w:type="dxa"/>
            <w:noWrap w:val="0"/>
            <w:tcMar>
              <w:left w:w="105" w:type="dxa"/>
              <w:right w:w="105" w:type="dxa"/>
            </w:tcMar>
            <w:vAlign w:val="center"/>
          </w:tcPr>
          <w:p w14:paraId="2AC04B7E">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核查医疗机构科室设置。</w:t>
            </w:r>
          </w:p>
        </w:tc>
        <w:tc>
          <w:tcPr>
            <w:tcW w:w="1080" w:type="dxa"/>
            <w:noWrap w:val="0"/>
            <w:tcMar>
              <w:left w:w="105" w:type="dxa"/>
              <w:right w:w="105" w:type="dxa"/>
            </w:tcMar>
            <w:vAlign w:val="center"/>
          </w:tcPr>
          <w:p w14:paraId="00FA946A">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15</w:t>
            </w:r>
          </w:p>
        </w:tc>
        <w:tc>
          <w:tcPr>
            <w:tcW w:w="3270" w:type="dxa"/>
            <w:noWrap w:val="0"/>
            <w:tcMar>
              <w:left w:w="105" w:type="dxa"/>
              <w:right w:w="105" w:type="dxa"/>
            </w:tcMar>
            <w:vAlign w:val="center"/>
          </w:tcPr>
          <w:p w14:paraId="25BBBCCA">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必设诊疗科目每缺1个扣5分。</w:t>
            </w:r>
          </w:p>
        </w:tc>
        <w:tc>
          <w:tcPr>
            <w:tcW w:w="1290" w:type="dxa"/>
            <w:noWrap w:val="0"/>
            <w:tcMar>
              <w:left w:w="105" w:type="dxa"/>
              <w:right w:w="105" w:type="dxa"/>
            </w:tcMar>
            <w:vAlign w:val="center"/>
          </w:tcPr>
          <w:p w14:paraId="052D7417">
            <w:pPr>
              <w:widowControl/>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7705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1549" w:type="dxa"/>
            <w:vMerge w:val="continue"/>
            <w:noWrap w:val="0"/>
            <w:tcMar>
              <w:left w:w="105" w:type="dxa"/>
              <w:right w:w="105" w:type="dxa"/>
            </w:tcMar>
            <w:vAlign w:val="center"/>
          </w:tcPr>
          <w:p w14:paraId="4BB85762">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299545CB">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3.人员配备达到相应的《医疗机构基本标准》。</w:t>
            </w:r>
          </w:p>
        </w:tc>
        <w:tc>
          <w:tcPr>
            <w:tcW w:w="4035" w:type="dxa"/>
            <w:noWrap w:val="0"/>
            <w:tcMar>
              <w:left w:w="105" w:type="dxa"/>
              <w:right w:w="105" w:type="dxa"/>
            </w:tcMar>
            <w:vAlign w:val="center"/>
          </w:tcPr>
          <w:p w14:paraId="1CF79241">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核查医生、护士、卫技人员花名册和资格、执业、职称证，人员与科目相符。</w:t>
            </w:r>
          </w:p>
        </w:tc>
        <w:tc>
          <w:tcPr>
            <w:tcW w:w="1080" w:type="dxa"/>
            <w:noWrap w:val="0"/>
            <w:tcMar>
              <w:left w:w="105" w:type="dxa"/>
              <w:right w:w="105" w:type="dxa"/>
            </w:tcMar>
            <w:vAlign w:val="center"/>
          </w:tcPr>
          <w:p w14:paraId="4A3C0033">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25</w:t>
            </w:r>
          </w:p>
        </w:tc>
        <w:tc>
          <w:tcPr>
            <w:tcW w:w="3270" w:type="dxa"/>
            <w:noWrap w:val="0"/>
            <w:tcMar>
              <w:left w:w="105" w:type="dxa"/>
              <w:right w:w="105" w:type="dxa"/>
            </w:tcMar>
            <w:vAlign w:val="center"/>
          </w:tcPr>
          <w:p w14:paraId="34D51348">
            <w:pPr>
              <w:keepNext w:val="0"/>
              <w:keepLines w:val="0"/>
              <w:pageBreakBefore w:val="0"/>
              <w:widowControl/>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每床位配备卫生技术人员比例每下降2%扣1分；床护比每下降2%扣1分；人员职称不达标每人扣5分；每个必设诊疗科目无注册医师扣10分，每个非必设诊疗科目无注册医师扣5分；其它人员配备不达标扣5分/人。</w:t>
            </w:r>
          </w:p>
        </w:tc>
        <w:tc>
          <w:tcPr>
            <w:tcW w:w="1290" w:type="dxa"/>
            <w:noWrap w:val="0"/>
            <w:tcMar>
              <w:left w:w="105" w:type="dxa"/>
              <w:right w:w="105" w:type="dxa"/>
            </w:tcMar>
            <w:vAlign w:val="center"/>
          </w:tcPr>
          <w:p w14:paraId="2E5AC338">
            <w:pPr>
              <w:widowControl/>
              <w:spacing w:before="0" w:beforeAutospacing="0" w:after="0" w:afterAutospacing="0"/>
              <w:ind w:left="0" w:right="0" w:firstLine="420" w:firstLineChars="200"/>
              <w:jc w:val="both"/>
              <w:rPr>
                <w:rFonts w:hint="eastAsia" w:ascii="仿宋_GB2312" w:hAnsi="仿宋_GB2312" w:eastAsia="仿宋_GB2312" w:cs="仿宋_GB2312"/>
                <w:color w:val="auto"/>
                <w:kern w:val="0"/>
                <w:sz w:val="21"/>
                <w:szCs w:val="21"/>
                <w:lang w:val="en-US" w:eastAsia="zh-CN" w:bidi="ar"/>
              </w:rPr>
            </w:pPr>
          </w:p>
        </w:tc>
      </w:tr>
      <w:tr w14:paraId="3B4C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549" w:type="dxa"/>
            <w:vMerge w:val="continue"/>
            <w:noWrap w:val="0"/>
            <w:tcMar>
              <w:left w:w="105" w:type="dxa"/>
              <w:right w:w="105" w:type="dxa"/>
            </w:tcMar>
            <w:vAlign w:val="center"/>
          </w:tcPr>
          <w:p w14:paraId="6E51684A">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00CC56A9">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4.业务用房达到《医疗机构基本标准》，诊疗功能分区合理。</w:t>
            </w:r>
          </w:p>
        </w:tc>
        <w:tc>
          <w:tcPr>
            <w:tcW w:w="4035" w:type="dxa"/>
            <w:noWrap w:val="0"/>
            <w:tcMar>
              <w:left w:w="105" w:type="dxa"/>
              <w:right w:w="105" w:type="dxa"/>
            </w:tcMar>
            <w:vAlign w:val="center"/>
          </w:tcPr>
          <w:p w14:paraId="283D06CD">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核查建筑面积、业务用房、诊疗室、输液室、处置室等。业务用房能满足诊疗要求，诊疗功能分区、流程合理。</w:t>
            </w:r>
          </w:p>
        </w:tc>
        <w:tc>
          <w:tcPr>
            <w:tcW w:w="1080" w:type="dxa"/>
            <w:noWrap w:val="0"/>
            <w:tcMar>
              <w:left w:w="105" w:type="dxa"/>
              <w:right w:w="105" w:type="dxa"/>
            </w:tcMar>
            <w:vAlign w:val="center"/>
          </w:tcPr>
          <w:p w14:paraId="4CADB9BC">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3145C83A">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建筑面积不合要求扣5分，诊疗功能分区、流程不合理扣5分。</w:t>
            </w:r>
          </w:p>
        </w:tc>
        <w:tc>
          <w:tcPr>
            <w:tcW w:w="1290" w:type="dxa"/>
            <w:noWrap w:val="0"/>
            <w:tcMar>
              <w:left w:w="105" w:type="dxa"/>
              <w:right w:w="105" w:type="dxa"/>
            </w:tcMar>
            <w:vAlign w:val="center"/>
          </w:tcPr>
          <w:p w14:paraId="62F24952">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3190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549" w:type="dxa"/>
            <w:vMerge w:val="continue"/>
            <w:noWrap w:val="0"/>
            <w:tcMar>
              <w:left w:w="105" w:type="dxa"/>
              <w:right w:w="105" w:type="dxa"/>
            </w:tcMar>
            <w:vAlign w:val="center"/>
          </w:tcPr>
          <w:p w14:paraId="25C4C4EF">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6F412453">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5.设备配备达到相应的《医疗机构基本标准》；甲、乙类大型医用配置符合规定。</w:t>
            </w:r>
          </w:p>
        </w:tc>
        <w:tc>
          <w:tcPr>
            <w:tcW w:w="4035" w:type="dxa"/>
            <w:noWrap w:val="0"/>
            <w:tcMar>
              <w:left w:w="105" w:type="dxa"/>
              <w:right w:w="105" w:type="dxa"/>
            </w:tcMar>
            <w:vAlign w:val="center"/>
          </w:tcPr>
          <w:p w14:paraId="289A208B">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核查基本设备配备和专科设备。核对医院甲、乙类大型医用设备配置许可证。</w:t>
            </w:r>
          </w:p>
        </w:tc>
        <w:tc>
          <w:tcPr>
            <w:tcW w:w="1080" w:type="dxa"/>
            <w:noWrap w:val="0"/>
            <w:tcMar>
              <w:left w:w="105" w:type="dxa"/>
              <w:right w:w="105" w:type="dxa"/>
            </w:tcMar>
            <w:vAlign w:val="center"/>
          </w:tcPr>
          <w:p w14:paraId="6078DCAC">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65B5A5BC">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设备配备不合要求，每缺1件扣5分。设备无配置许可证，每缺1件扣3分。</w:t>
            </w:r>
          </w:p>
        </w:tc>
        <w:tc>
          <w:tcPr>
            <w:tcW w:w="1290" w:type="dxa"/>
            <w:noWrap w:val="0"/>
            <w:tcMar>
              <w:left w:w="105" w:type="dxa"/>
              <w:right w:w="105" w:type="dxa"/>
            </w:tcMar>
            <w:vAlign w:val="center"/>
          </w:tcPr>
          <w:p w14:paraId="36276D9D">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25C2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549" w:type="dxa"/>
            <w:vMerge w:val="continue"/>
            <w:noWrap w:val="0"/>
            <w:tcMar>
              <w:left w:w="105" w:type="dxa"/>
              <w:right w:w="105" w:type="dxa"/>
            </w:tcMar>
            <w:vAlign w:val="center"/>
          </w:tcPr>
          <w:p w14:paraId="66699A0B">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65E8AFED">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6.医疗机构工作制度、人员岗位职责齐全、实用。</w:t>
            </w:r>
          </w:p>
        </w:tc>
        <w:tc>
          <w:tcPr>
            <w:tcW w:w="4035" w:type="dxa"/>
            <w:noWrap w:val="0"/>
            <w:tcMar>
              <w:left w:w="105" w:type="dxa"/>
              <w:right w:w="105" w:type="dxa"/>
            </w:tcMar>
            <w:vAlign w:val="center"/>
          </w:tcPr>
          <w:p w14:paraId="4D15DA85">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核查医疗机构工作制度、人员岗位职责。</w:t>
            </w:r>
          </w:p>
        </w:tc>
        <w:tc>
          <w:tcPr>
            <w:tcW w:w="1080" w:type="dxa"/>
            <w:noWrap w:val="0"/>
            <w:tcMar>
              <w:left w:w="105" w:type="dxa"/>
              <w:right w:w="105" w:type="dxa"/>
            </w:tcMar>
            <w:vAlign w:val="center"/>
          </w:tcPr>
          <w:p w14:paraId="605CADC9">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3270" w:type="dxa"/>
            <w:noWrap w:val="0"/>
            <w:tcMar>
              <w:left w:w="105" w:type="dxa"/>
              <w:right w:w="105" w:type="dxa"/>
            </w:tcMar>
            <w:vAlign w:val="center"/>
          </w:tcPr>
          <w:p w14:paraId="6447B731">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医疗机构工作制度、人员岗位职责每少1项扣2分；不实用扣1分。</w:t>
            </w:r>
          </w:p>
        </w:tc>
        <w:tc>
          <w:tcPr>
            <w:tcW w:w="1290" w:type="dxa"/>
            <w:noWrap w:val="0"/>
            <w:tcMar>
              <w:left w:w="105" w:type="dxa"/>
              <w:right w:w="105" w:type="dxa"/>
            </w:tcMar>
            <w:vAlign w:val="center"/>
          </w:tcPr>
          <w:p w14:paraId="3B4C4665">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6ACE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jc w:val="center"/>
        </w:trPr>
        <w:tc>
          <w:tcPr>
            <w:tcW w:w="1549" w:type="dxa"/>
            <w:vMerge w:val="restart"/>
            <w:noWrap w:val="0"/>
            <w:tcMar>
              <w:left w:w="105" w:type="dxa"/>
              <w:right w:w="105" w:type="dxa"/>
            </w:tcMar>
            <w:vAlign w:val="center"/>
          </w:tcPr>
          <w:p w14:paraId="2C3B2C19">
            <w:pPr>
              <w:widowControl/>
              <w:spacing w:before="0" w:beforeAutospacing="0" w:after="0" w:afterAutospacing="0"/>
              <w:ind w:left="0" w:right="0"/>
              <w:jc w:val="both"/>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二、依法执业情况</w:t>
            </w:r>
          </w:p>
        </w:tc>
        <w:tc>
          <w:tcPr>
            <w:tcW w:w="3210" w:type="dxa"/>
            <w:noWrap w:val="0"/>
            <w:tcMar>
              <w:left w:w="105" w:type="dxa"/>
              <w:right w:w="105" w:type="dxa"/>
            </w:tcMar>
            <w:vAlign w:val="center"/>
          </w:tcPr>
          <w:p w14:paraId="1E684F70">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1.医疗机构依法执业情况。</w:t>
            </w:r>
          </w:p>
        </w:tc>
        <w:tc>
          <w:tcPr>
            <w:tcW w:w="4035" w:type="dxa"/>
            <w:noWrap w:val="0"/>
            <w:tcMar>
              <w:left w:w="105" w:type="dxa"/>
              <w:right w:w="105" w:type="dxa"/>
            </w:tcMar>
            <w:vAlign w:val="center"/>
          </w:tcPr>
          <w:p w14:paraId="0A69A49A">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1.核查《医疗机构执业许可证》核准登记项目与医疗机构实际情况（核准项目变动应先办理申请变更登记手续）；</w:t>
            </w:r>
          </w:p>
          <w:p w14:paraId="36298C4B">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2.医疗机构的名称及各专科名称命名符合规范要求，未经批准，不得以“中心”等冠名。</w:t>
            </w:r>
          </w:p>
        </w:tc>
        <w:tc>
          <w:tcPr>
            <w:tcW w:w="1080" w:type="dxa"/>
            <w:noWrap w:val="0"/>
            <w:tcMar>
              <w:left w:w="105" w:type="dxa"/>
              <w:right w:w="105" w:type="dxa"/>
            </w:tcMar>
            <w:vAlign w:val="center"/>
          </w:tcPr>
          <w:p w14:paraId="7585E055">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30</w:t>
            </w:r>
          </w:p>
        </w:tc>
        <w:tc>
          <w:tcPr>
            <w:tcW w:w="3270" w:type="dxa"/>
            <w:noWrap w:val="0"/>
            <w:tcMar>
              <w:left w:w="105" w:type="dxa"/>
              <w:right w:w="105" w:type="dxa"/>
            </w:tcMar>
            <w:vAlign w:val="center"/>
          </w:tcPr>
          <w:p w14:paraId="6091DC5B">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实际开放床位数增加未及时变更，床位数每超10%扣5分；超范围（超核准诊疗科目、超技术准入项目）执业扣20分/项；无人员配备的诊疗科目未及时注销扣5分；其它项目变动未办理申请手续扣5分/项；名称使用不规范扣5分。</w:t>
            </w:r>
          </w:p>
        </w:tc>
        <w:tc>
          <w:tcPr>
            <w:tcW w:w="1290" w:type="dxa"/>
            <w:noWrap w:val="0"/>
            <w:tcMar>
              <w:left w:w="105" w:type="dxa"/>
              <w:right w:w="105" w:type="dxa"/>
            </w:tcMar>
            <w:vAlign w:val="center"/>
          </w:tcPr>
          <w:p w14:paraId="43B87BC1">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74A2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8" w:hRule="atLeast"/>
          <w:jc w:val="center"/>
        </w:trPr>
        <w:tc>
          <w:tcPr>
            <w:tcW w:w="1549" w:type="dxa"/>
            <w:vMerge w:val="continue"/>
            <w:noWrap w:val="0"/>
            <w:tcMar>
              <w:left w:w="105" w:type="dxa"/>
              <w:right w:w="105" w:type="dxa"/>
            </w:tcMar>
            <w:vAlign w:val="center"/>
          </w:tcPr>
          <w:p w14:paraId="5D79D699">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3AEE4171">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2.医护人员依法执业。</w:t>
            </w:r>
          </w:p>
        </w:tc>
        <w:tc>
          <w:tcPr>
            <w:tcW w:w="4035" w:type="dxa"/>
            <w:noWrap w:val="0"/>
            <w:tcMar>
              <w:left w:w="105" w:type="dxa"/>
              <w:right w:w="105" w:type="dxa"/>
            </w:tcMar>
            <w:vAlign w:val="center"/>
          </w:tcPr>
          <w:p w14:paraId="4F7D849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对照值班表或处方、医嘱，核查《医师资格证》《医师执业证》《护士执业证》及其他岗位证书，审查依法执业情况。</w:t>
            </w:r>
          </w:p>
        </w:tc>
        <w:tc>
          <w:tcPr>
            <w:tcW w:w="1080" w:type="dxa"/>
            <w:noWrap w:val="0"/>
            <w:tcMar>
              <w:left w:w="105" w:type="dxa"/>
              <w:right w:w="105" w:type="dxa"/>
            </w:tcMar>
            <w:vAlign w:val="center"/>
          </w:tcPr>
          <w:p w14:paraId="7962A1AA">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30</w:t>
            </w:r>
          </w:p>
        </w:tc>
        <w:tc>
          <w:tcPr>
            <w:tcW w:w="3270" w:type="dxa"/>
            <w:noWrap w:val="0"/>
            <w:tcMar>
              <w:left w:w="105" w:type="dxa"/>
              <w:right w:w="105" w:type="dxa"/>
            </w:tcMar>
            <w:vAlign w:val="center"/>
          </w:tcPr>
          <w:p w14:paraId="77174233">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发现无资格、非卫技人员执业扣20分/人；医师超执业范围执业扣5分/人；无本机构注册证书扣5分；实习、进修医生独立执业扣3分/人。</w:t>
            </w:r>
          </w:p>
        </w:tc>
        <w:tc>
          <w:tcPr>
            <w:tcW w:w="1290" w:type="dxa"/>
            <w:noWrap w:val="0"/>
            <w:tcMar>
              <w:left w:w="105" w:type="dxa"/>
              <w:right w:w="105" w:type="dxa"/>
            </w:tcMar>
            <w:vAlign w:val="center"/>
          </w:tcPr>
          <w:p w14:paraId="6A79E815">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33FA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atLeast"/>
          <w:jc w:val="center"/>
        </w:trPr>
        <w:tc>
          <w:tcPr>
            <w:tcW w:w="1549" w:type="dxa"/>
            <w:vMerge w:val="continue"/>
            <w:noWrap w:val="0"/>
            <w:tcMar>
              <w:left w:w="105" w:type="dxa"/>
              <w:right w:w="105" w:type="dxa"/>
            </w:tcMar>
            <w:vAlign w:val="center"/>
          </w:tcPr>
          <w:p w14:paraId="46E28414">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211DB665">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3.医院感染管理符合相关规定。</w:t>
            </w:r>
          </w:p>
        </w:tc>
        <w:tc>
          <w:tcPr>
            <w:tcW w:w="4035" w:type="dxa"/>
            <w:noWrap w:val="0"/>
            <w:tcMar>
              <w:left w:w="105" w:type="dxa"/>
              <w:right w:w="105" w:type="dxa"/>
            </w:tcMar>
            <w:vAlign w:val="center"/>
          </w:tcPr>
          <w:p w14:paraId="59C8E759">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查医疗废物处理、消毒隔离和重点部门的管理情况（感染性疾病科、口腔科、手术室、重症监护室、新生儿病房、产房、内窥镜室、血液透析室、导管室、临床检验部门、消毒供应室等）。</w:t>
            </w:r>
          </w:p>
        </w:tc>
        <w:tc>
          <w:tcPr>
            <w:tcW w:w="1080" w:type="dxa"/>
            <w:noWrap w:val="0"/>
            <w:tcMar>
              <w:left w:w="105" w:type="dxa"/>
              <w:right w:w="105" w:type="dxa"/>
            </w:tcMar>
            <w:vAlign w:val="center"/>
          </w:tcPr>
          <w:p w14:paraId="06C814F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43A86273">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一处不符合规定扣3分。</w:t>
            </w:r>
          </w:p>
        </w:tc>
        <w:tc>
          <w:tcPr>
            <w:tcW w:w="1290" w:type="dxa"/>
            <w:noWrap w:val="0"/>
            <w:tcMar>
              <w:left w:w="105" w:type="dxa"/>
              <w:right w:w="105" w:type="dxa"/>
            </w:tcMar>
            <w:vAlign w:val="center"/>
          </w:tcPr>
          <w:p w14:paraId="607FF304">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3124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549" w:type="dxa"/>
            <w:vMerge w:val="continue"/>
            <w:noWrap w:val="0"/>
            <w:tcMar>
              <w:left w:w="105" w:type="dxa"/>
              <w:right w:w="105" w:type="dxa"/>
            </w:tcMar>
            <w:vAlign w:val="center"/>
          </w:tcPr>
          <w:p w14:paraId="32F017E1">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4FD28394">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4.病案及时归档，按规定时间妥善保存，无丢失等现象。</w:t>
            </w:r>
          </w:p>
        </w:tc>
        <w:tc>
          <w:tcPr>
            <w:tcW w:w="4035" w:type="dxa"/>
            <w:noWrap w:val="0"/>
            <w:tcMar>
              <w:left w:w="105" w:type="dxa"/>
              <w:right w:w="105" w:type="dxa"/>
            </w:tcMar>
            <w:vAlign w:val="center"/>
          </w:tcPr>
          <w:p w14:paraId="3EB94171">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检查病案室，随机抽查病案归档情况。</w:t>
            </w:r>
          </w:p>
        </w:tc>
        <w:tc>
          <w:tcPr>
            <w:tcW w:w="1080" w:type="dxa"/>
            <w:noWrap w:val="0"/>
            <w:tcMar>
              <w:left w:w="105" w:type="dxa"/>
              <w:right w:w="105" w:type="dxa"/>
            </w:tcMar>
            <w:vAlign w:val="center"/>
          </w:tcPr>
          <w:p w14:paraId="19B1D0B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3270" w:type="dxa"/>
            <w:noWrap w:val="0"/>
            <w:tcMar>
              <w:left w:w="105" w:type="dxa"/>
              <w:right w:w="105" w:type="dxa"/>
            </w:tcMar>
            <w:vAlign w:val="center"/>
          </w:tcPr>
          <w:p w14:paraId="179389D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管理混乱、病案管理不到位，扣3分，发现病案丢失扣5分。</w:t>
            </w:r>
          </w:p>
        </w:tc>
        <w:tc>
          <w:tcPr>
            <w:tcW w:w="1290" w:type="dxa"/>
            <w:noWrap w:val="0"/>
            <w:tcMar>
              <w:left w:w="105" w:type="dxa"/>
              <w:right w:w="105" w:type="dxa"/>
            </w:tcMar>
            <w:vAlign w:val="center"/>
          </w:tcPr>
          <w:p w14:paraId="5D6ED9C0">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7AC3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jc w:val="center"/>
        </w:trPr>
        <w:tc>
          <w:tcPr>
            <w:tcW w:w="1549" w:type="dxa"/>
            <w:vMerge w:val="restart"/>
            <w:noWrap w:val="0"/>
            <w:tcMar>
              <w:left w:w="105" w:type="dxa"/>
              <w:right w:w="105" w:type="dxa"/>
            </w:tcMar>
            <w:vAlign w:val="center"/>
          </w:tcPr>
          <w:p w14:paraId="03213AB9">
            <w:pPr>
              <w:widowControl/>
              <w:spacing w:before="0" w:beforeAutospacing="0" w:after="0" w:afterAutospacing="0"/>
              <w:ind w:left="0" w:right="0"/>
              <w:jc w:val="both"/>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三、医疗质量和医疗安全保障措施的落实情况</w:t>
            </w:r>
          </w:p>
        </w:tc>
        <w:tc>
          <w:tcPr>
            <w:tcW w:w="3210" w:type="dxa"/>
            <w:noWrap w:val="0"/>
            <w:tcMar>
              <w:left w:w="105" w:type="dxa"/>
              <w:right w:w="105" w:type="dxa"/>
            </w:tcMar>
            <w:vAlign w:val="center"/>
          </w:tcPr>
          <w:p w14:paraId="5CB77C76">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1.成立医疗质量、病案、药事、设备、输血等管理委员会及医学伦理委员会，人员结构合理、分工明确，能按计划定期活动。</w:t>
            </w:r>
          </w:p>
        </w:tc>
        <w:tc>
          <w:tcPr>
            <w:tcW w:w="4035" w:type="dxa"/>
            <w:noWrap w:val="0"/>
            <w:tcMar>
              <w:left w:w="105" w:type="dxa"/>
              <w:right w:w="105" w:type="dxa"/>
            </w:tcMar>
            <w:vAlign w:val="center"/>
          </w:tcPr>
          <w:p w14:paraId="45058426">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查阅文件、记录及有关资料。</w:t>
            </w:r>
          </w:p>
        </w:tc>
        <w:tc>
          <w:tcPr>
            <w:tcW w:w="1080" w:type="dxa"/>
            <w:noWrap w:val="0"/>
            <w:tcMar>
              <w:left w:w="105" w:type="dxa"/>
              <w:right w:w="105" w:type="dxa"/>
            </w:tcMar>
            <w:vAlign w:val="center"/>
          </w:tcPr>
          <w:p w14:paraId="4C146E87">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3270" w:type="dxa"/>
            <w:noWrap w:val="0"/>
            <w:tcMar>
              <w:left w:w="105" w:type="dxa"/>
              <w:right w:w="105" w:type="dxa"/>
            </w:tcMar>
            <w:vAlign w:val="center"/>
          </w:tcPr>
          <w:p w14:paraId="2BCAA507">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无管理组织不得分，质量管理组织缺一个扣2分，人员结构不合理扣2分；管理组织不按时活动扣2分。</w:t>
            </w:r>
          </w:p>
        </w:tc>
        <w:tc>
          <w:tcPr>
            <w:tcW w:w="1290" w:type="dxa"/>
            <w:noWrap w:val="0"/>
            <w:tcMar>
              <w:left w:w="105" w:type="dxa"/>
              <w:right w:w="105" w:type="dxa"/>
            </w:tcMar>
            <w:vAlign w:val="center"/>
          </w:tcPr>
          <w:p w14:paraId="785E6261">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7ADF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jc w:val="center"/>
        </w:trPr>
        <w:tc>
          <w:tcPr>
            <w:tcW w:w="1549" w:type="dxa"/>
            <w:vMerge w:val="continue"/>
            <w:noWrap w:val="0"/>
            <w:tcMar>
              <w:left w:w="105" w:type="dxa"/>
              <w:right w:w="105" w:type="dxa"/>
            </w:tcMar>
            <w:vAlign w:val="center"/>
          </w:tcPr>
          <w:p w14:paraId="77BC33CE">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55E26FE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2.有医疗质量管理部门，对临床、医技科室行使指导、检查、考评和监督职能；对发现的问题，有针对性的改进措施；实行责任追究制。</w:t>
            </w:r>
          </w:p>
        </w:tc>
        <w:tc>
          <w:tcPr>
            <w:tcW w:w="4035" w:type="dxa"/>
            <w:noWrap w:val="0"/>
            <w:tcMar>
              <w:left w:w="105" w:type="dxa"/>
              <w:right w:w="105" w:type="dxa"/>
            </w:tcMar>
            <w:vAlign w:val="center"/>
          </w:tcPr>
          <w:p w14:paraId="2C18F8EB">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查阅相关资料。</w:t>
            </w:r>
          </w:p>
        </w:tc>
        <w:tc>
          <w:tcPr>
            <w:tcW w:w="1080" w:type="dxa"/>
            <w:noWrap w:val="0"/>
            <w:tcMar>
              <w:left w:w="105" w:type="dxa"/>
              <w:right w:w="105" w:type="dxa"/>
            </w:tcMar>
            <w:vAlign w:val="center"/>
          </w:tcPr>
          <w:p w14:paraId="40F196A0">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3270" w:type="dxa"/>
            <w:noWrap w:val="0"/>
            <w:tcMar>
              <w:left w:w="105" w:type="dxa"/>
              <w:right w:w="105" w:type="dxa"/>
            </w:tcMar>
            <w:vAlign w:val="center"/>
          </w:tcPr>
          <w:p w14:paraId="0A240B8D">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监督、检查不到位扣2分，发现问题无整改措施扣2分。</w:t>
            </w:r>
          </w:p>
        </w:tc>
        <w:tc>
          <w:tcPr>
            <w:tcW w:w="1290" w:type="dxa"/>
            <w:noWrap w:val="0"/>
            <w:tcMar>
              <w:left w:w="105" w:type="dxa"/>
              <w:right w:w="105" w:type="dxa"/>
            </w:tcMar>
            <w:vAlign w:val="center"/>
          </w:tcPr>
          <w:p w14:paraId="44FC45D1">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2D9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1549" w:type="dxa"/>
            <w:vMerge w:val="continue"/>
            <w:noWrap w:val="0"/>
            <w:tcMar>
              <w:left w:w="105" w:type="dxa"/>
              <w:right w:w="105" w:type="dxa"/>
            </w:tcMar>
            <w:vAlign w:val="center"/>
          </w:tcPr>
          <w:p w14:paraId="43F5E820">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11D9E052">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3.严格执行诊疗、护理常规、规范。</w:t>
            </w:r>
          </w:p>
        </w:tc>
        <w:tc>
          <w:tcPr>
            <w:tcW w:w="4035" w:type="dxa"/>
            <w:noWrap w:val="0"/>
            <w:tcMar>
              <w:left w:w="105" w:type="dxa"/>
              <w:right w:w="105" w:type="dxa"/>
            </w:tcMar>
            <w:vAlign w:val="center"/>
          </w:tcPr>
          <w:p w14:paraId="44C097EC">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抽查医生、护士各2-5名。</w:t>
            </w:r>
          </w:p>
        </w:tc>
        <w:tc>
          <w:tcPr>
            <w:tcW w:w="1080" w:type="dxa"/>
            <w:noWrap w:val="0"/>
            <w:tcMar>
              <w:left w:w="105" w:type="dxa"/>
              <w:right w:w="105" w:type="dxa"/>
            </w:tcMar>
            <w:vAlign w:val="center"/>
          </w:tcPr>
          <w:p w14:paraId="58A97258">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38E7D0D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1人不合格扣3分。</w:t>
            </w:r>
          </w:p>
        </w:tc>
        <w:tc>
          <w:tcPr>
            <w:tcW w:w="1290" w:type="dxa"/>
            <w:noWrap w:val="0"/>
            <w:tcMar>
              <w:left w:w="105" w:type="dxa"/>
              <w:right w:w="105" w:type="dxa"/>
            </w:tcMar>
            <w:vAlign w:val="center"/>
          </w:tcPr>
          <w:p w14:paraId="4AC74111">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567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jc w:val="center"/>
        </w:trPr>
        <w:tc>
          <w:tcPr>
            <w:tcW w:w="1549" w:type="dxa"/>
            <w:vMerge w:val="continue"/>
            <w:noWrap w:val="0"/>
            <w:tcMar>
              <w:left w:w="105" w:type="dxa"/>
              <w:right w:w="105" w:type="dxa"/>
            </w:tcMar>
            <w:vAlign w:val="center"/>
          </w:tcPr>
          <w:p w14:paraId="27674FF5">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151EB701">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4.严格贯彻落实医疗质量和医疗安全的核心制度。核心制度执行到位。疑难危重病例讨论、甲类手术术前讨论、死亡病例讨论率均达到100%。</w:t>
            </w:r>
          </w:p>
        </w:tc>
        <w:tc>
          <w:tcPr>
            <w:tcW w:w="4035" w:type="dxa"/>
            <w:noWrap w:val="0"/>
            <w:tcMar>
              <w:left w:w="105" w:type="dxa"/>
              <w:right w:w="105" w:type="dxa"/>
            </w:tcMar>
            <w:vAlign w:val="center"/>
          </w:tcPr>
          <w:p w14:paraId="132D2397">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查阅资料、现场察看、暗访，抽查手术病历10份、死亡病历5份、疑难危重病例病历10份。</w:t>
            </w:r>
          </w:p>
        </w:tc>
        <w:tc>
          <w:tcPr>
            <w:tcW w:w="1080" w:type="dxa"/>
            <w:noWrap w:val="0"/>
            <w:tcMar>
              <w:left w:w="105" w:type="dxa"/>
              <w:right w:w="105" w:type="dxa"/>
            </w:tcMar>
            <w:vAlign w:val="center"/>
          </w:tcPr>
          <w:p w14:paraId="0DBB95BD">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2FCF893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1项制度执行不到位扣2分；发现1例未讨论扣2分；1例讨论不符合要求，扣2分；扣完为止。</w:t>
            </w:r>
          </w:p>
        </w:tc>
        <w:tc>
          <w:tcPr>
            <w:tcW w:w="1290" w:type="dxa"/>
            <w:noWrap w:val="0"/>
            <w:tcMar>
              <w:left w:w="105" w:type="dxa"/>
              <w:right w:w="105" w:type="dxa"/>
            </w:tcMar>
            <w:vAlign w:val="center"/>
          </w:tcPr>
          <w:p w14:paraId="29E27C77">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00C2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1549" w:type="dxa"/>
            <w:vMerge w:val="continue"/>
            <w:noWrap w:val="0"/>
            <w:tcMar>
              <w:left w:w="105" w:type="dxa"/>
              <w:right w:w="105" w:type="dxa"/>
            </w:tcMar>
            <w:vAlign w:val="center"/>
          </w:tcPr>
          <w:p w14:paraId="68E1AF1F">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6D1DC781">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5.严格执行病历书写规范、处方管理办法、抗菌药物临床应用管理规范以及手术分级管理规范。</w:t>
            </w:r>
          </w:p>
        </w:tc>
        <w:tc>
          <w:tcPr>
            <w:tcW w:w="4035" w:type="dxa"/>
            <w:noWrap w:val="0"/>
            <w:tcMar>
              <w:left w:w="105" w:type="dxa"/>
              <w:right w:w="105" w:type="dxa"/>
            </w:tcMar>
            <w:vAlign w:val="center"/>
          </w:tcPr>
          <w:p w14:paraId="1D85B53E">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抽查门诊病历10份，住院病历20份（含手术病历10份），处方50张。</w:t>
            </w:r>
          </w:p>
        </w:tc>
        <w:tc>
          <w:tcPr>
            <w:tcW w:w="1080" w:type="dxa"/>
            <w:noWrap w:val="0"/>
            <w:tcMar>
              <w:left w:w="105" w:type="dxa"/>
              <w:right w:w="105" w:type="dxa"/>
            </w:tcMar>
            <w:vAlign w:val="center"/>
          </w:tcPr>
          <w:p w14:paraId="72F2B3BF">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240CE22D">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病历书写不符合规范一份扣2分，抗菌药物使用不合理每例扣3分，未经审批和准入擅自开展超范围手术，或其他诊疗技术，扣10分。</w:t>
            </w:r>
          </w:p>
        </w:tc>
        <w:tc>
          <w:tcPr>
            <w:tcW w:w="1290" w:type="dxa"/>
            <w:noWrap w:val="0"/>
            <w:tcMar>
              <w:left w:w="105" w:type="dxa"/>
              <w:right w:w="105" w:type="dxa"/>
            </w:tcMar>
            <w:vAlign w:val="center"/>
          </w:tcPr>
          <w:p w14:paraId="1D98791A">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r w14:paraId="159B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jc w:val="center"/>
        </w:trPr>
        <w:tc>
          <w:tcPr>
            <w:tcW w:w="1549" w:type="dxa"/>
            <w:vMerge w:val="continue"/>
            <w:noWrap w:val="0"/>
            <w:tcMar>
              <w:left w:w="105" w:type="dxa"/>
              <w:right w:w="105" w:type="dxa"/>
            </w:tcMar>
            <w:vAlign w:val="center"/>
          </w:tcPr>
          <w:p w14:paraId="082F87BF">
            <w:pPr>
              <w:jc w:val="center"/>
              <w:rPr>
                <w:rFonts w:hint="eastAsia" w:ascii="仿宋_GB2312" w:hAnsi="仿宋_GB2312" w:eastAsia="仿宋_GB2312" w:cs="仿宋_GB2312"/>
                <w:color w:val="auto"/>
                <w:szCs w:val="21"/>
              </w:rPr>
            </w:pPr>
          </w:p>
        </w:tc>
        <w:tc>
          <w:tcPr>
            <w:tcW w:w="3210" w:type="dxa"/>
            <w:noWrap w:val="0"/>
            <w:tcMar>
              <w:left w:w="105" w:type="dxa"/>
              <w:right w:w="105" w:type="dxa"/>
            </w:tcMar>
            <w:vAlign w:val="center"/>
          </w:tcPr>
          <w:p w14:paraId="7777DF2D">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6.医技科室严格按照有关管理规范开展工作。</w:t>
            </w:r>
          </w:p>
        </w:tc>
        <w:tc>
          <w:tcPr>
            <w:tcW w:w="4035" w:type="dxa"/>
            <w:noWrap w:val="0"/>
            <w:tcMar>
              <w:left w:w="105" w:type="dxa"/>
              <w:right w:w="105" w:type="dxa"/>
            </w:tcMar>
            <w:vAlign w:val="center"/>
          </w:tcPr>
          <w:p w14:paraId="6081B6E3">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查阅检验、影像、药剂、输血等科室资料、现场察看。</w:t>
            </w:r>
          </w:p>
        </w:tc>
        <w:tc>
          <w:tcPr>
            <w:tcW w:w="1080" w:type="dxa"/>
            <w:noWrap w:val="0"/>
            <w:tcMar>
              <w:left w:w="105" w:type="dxa"/>
              <w:right w:w="105" w:type="dxa"/>
            </w:tcMar>
            <w:vAlign w:val="center"/>
          </w:tcPr>
          <w:p w14:paraId="10E927CA">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270" w:type="dxa"/>
            <w:noWrap w:val="0"/>
            <w:tcMar>
              <w:left w:w="105" w:type="dxa"/>
              <w:right w:w="105" w:type="dxa"/>
            </w:tcMar>
            <w:vAlign w:val="center"/>
          </w:tcPr>
          <w:p w14:paraId="44349A79">
            <w:pPr>
              <w:keepNext w:val="0"/>
              <w:keepLines w:val="0"/>
              <w:pageBreakBefore w:val="0"/>
              <w:widowControl/>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一处不符合规定扣3分。</w:t>
            </w:r>
          </w:p>
        </w:tc>
        <w:tc>
          <w:tcPr>
            <w:tcW w:w="1290" w:type="dxa"/>
            <w:noWrap w:val="0"/>
            <w:tcMar>
              <w:left w:w="105" w:type="dxa"/>
              <w:right w:w="105" w:type="dxa"/>
            </w:tcMar>
            <w:vAlign w:val="center"/>
          </w:tcPr>
          <w:p w14:paraId="7A8233D9">
            <w:pPr>
              <w:widowControl/>
              <w:spacing w:before="0" w:beforeAutospacing="0" w:after="0" w:afterAutospacing="0"/>
              <w:ind w:left="0" w:right="0" w:firstLine="420"/>
              <w:jc w:val="both"/>
              <w:rPr>
                <w:rFonts w:hint="eastAsia" w:ascii="仿宋_GB2312" w:hAnsi="仿宋_GB2312" w:eastAsia="仿宋_GB2312" w:cs="仿宋_GB2312"/>
                <w:color w:val="auto"/>
                <w:kern w:val="0"/>
                <w:sz w:val="21"/>
                <w:szCs w:val="21"/>
                <w:lang w:val="en-US" w:eastAsia="zh-CN" w:bidi="ar"/>
              </w:rPr>
            </w:pPr>
          </w:p>
        </w:tc>
      </w:tr>
    </w:tbl>
    <w:p w14:paraId="3425D698">
      <w:pPr>
        <w:widowControl/>
        <w:spacing w:before="0" w:beforeAutospacing="0" w:after="0" w:afterAutospacing="0" w:line="0" w:lineRule="atLeast"/>
        <w:ind w:left="0" w:right="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注：1.部分医疗机构开展业务未涉及本标准中的部分内容，相应分值可不计，剩余分值折合成百分率。</w:t>
      </w:r>
    </w:p>
    <w:p w14:paraId="713D837C">
      <w:pPr>
        <w:widowControl/>
        <w:spacing w:before="0" w:beforeAutospacing="0" w:after="0" w:afterAutospacing="0" w:line="0" w:lineRule="atLeast"/>
        <w:ind w:left="0" w:right="0" w:firstLine="420" w:firstLineChars="20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2.一级医院或100张床位以下的其它类别医疗机构，对第三条的第1、2项要求可酌定。</w:t>
      </w:r>
    </w:p>
    <w:p w14:paraId="640FC47F">
      <w:pPr>
        <w:widowControl/>
        <w:spacing w:before="0" w:beforeAutospacing="0" w:after="0" w:afterAutospacing="0" w:line="0" w:lineRule="atLeast"/>
        <w:ind w:left="0" w:right="0" w:firstLine="420" w:firstLineChars="20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3.得分率＞80%的为校验现场审查合格；80%≥得分率≥60%的为校验现场审查基本合格；得分率＜60%的为校验现场审查不合格。</w:t>
      </w:r>
    </w:p>
    <w:p w14:paraId="26B5F4B9">
      <w:pPr>
        <w:widowControl/>
        <w:spacing w:before="0" w:beforeAutospacing="0" w:after="0" w:afterAutospacing="0" w:line="0" w:lineRule="atLeast"/>
        <w:ind w:left="0" w:right="0" w:firstLine="420" w:firstLineChars="20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4.现场检查中如发现存在影响医疗质量和安全的严重问题可直接定为不合格。</w:t>
      </w:r>
    </w:p>
    <w:p w14:paraId="68540025">
      <w:pPr>
        <w:widowControl/>
        <w:spacing w:before="0" w:beforeAutospacing="0" w:after="0" w:afterAutospacing="0" w:line="560" w:lineRule="exact"/>
        <w:ind w:left="0" w:right="0"/>
        <w:jc w:val="left"/>
        <w:rPr>
          <w:rFonts w:hint="eastAsia" w:ascii="仿宋_GB2312" w:hAnsi="仿宋_GB2312" w:eastAsia="仿宋_GB2312" w:cs="仿宋_GB2312"/>
          <w:color w:val="auto"/>
          <w:kern w:val="0"/>
          <w:sz w:val="21"/>
          <w:szCs w:val="21"/>
          <w:lang w:val="en-US" w:eastAsia="zh-CN" w:bidi="ar"/>
        </w:rPr>
      </w:pPr>
    </w:p>
    <w:p w14:paraId="645ACFBB">
      <w:pPr>
        <w:spacing w:line="560" w:lineRule="exact"/>
        <w:ind w:left="2560" w:hanging="2560" w:hangingChars="800"/>
        <w:rPr>
          <w:rFonts w:hint="eastAsia" w:ascii="方正小标宋简体" w:hAnsi="Times New Roman" w:eastAsia="方正小标宋简体" w:cs="Times New Roman"/>
          <w:color w:val="auto"/>
          <w:sz w:val="44"/>
          <w:szCs w:val="44"/>
        </w:rPr>
      </w:pPr>
      <w:r>
        <w:rPr>
          <w:rFonts w:hint="eastAsia" w:ascii="仿宋_GB2312" w:hAnsi="仿宋_GB2312" w:eastAsia="仿宋_GB2312" w:cs="仿宋_GB2312"/>
          <w:color w:val="auto"/>
          <w:sz w:val="32"/>
          <w:szCs w:val="32"/>
        </w:rPr>
        <w:t xml:space="preserve">现场校验人员（签名）：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i w:val="0"/>
          <w:iCs w:val="0"/>
          <w:caps w:val="0"/>
          <w:color w:val="auto"/>
          <w:spacing w:val="0"/>
          <w:sz w:val="32"/>
          <w:szCs w:val="32"/>
          <w:lang w:eastAsia="zh-CN"/>
        </w:rPr>
        <w:t>机构法定代表人或负责人意见（签名）：</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br w:type="page"/>
      </w:r>
      <w:r>
        <w:rPr>
          <w:rFonts w:hint="eastAsia" w:ascii="方正小标宋简体" w:hAnsi="Times New Roman" w:eastAsia="方正小标宋简体" w:cs="Times New Roman"/>
          <w:color w:val="auto"/>
          <w:sz w:val="44"/>
          <w:szCs w:val="44"/>
        </w:rPr>
        <w:t>江苏省医疗机构校验现场审查基本标准（试行）</w:t>
      </w:r>
    </w:p>
    <w:p w14:paraId="2865A646">
      <w:pPr>
        <w:widowControl/>
        <w:spacing w:before="0" w:beforeAutospacing="0" w:after="0" w:afterAutospacing="0" w:line="560" w:lineRule="exact"/>
        <w:ind w:left="0" w:right="0"/>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（二）（门诊部等未设置床位的医疗机构）</w:t>
      </w:r>
    </w:p>
    <w:p w14:paraId="09E2BFE9">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机构（章）：                       日期：                        总得分：</w:t>
      </w:r>
    </w:p>
    <w:tbl>
      <w:tblPr>
        <w:tblStyle w:val="11"/>
        <w:tblW w:w="14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1"/>
        <w:gridCol w:w="3208"/>
        <w:gridCol w:w="4035"/>
        <w:gridCol w:w="1080"/>
        <w:gridCol w:w="3180"/>
        <w:gridCol w:w="1158"/>
      </w:tblGrid>
      <w:tr w14:paraId="1316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Header/>
          <w:jc w:val="center"/>
        </w:trPr>
        <w:tc>
          <w:tcPr>
            <w:tcW w:w="0" w:type="auto"/>
            <w:noWrap w:val="0"/>
            <w:tcMar>
              <w:left w:w="105" w:type="dxa"/>
              <w:right w:w="105" w:type="dxa"/>
            </w:tcMar>
            <w:vAlign w:val="center"/>
          </w:tcPr>
          <w:p w14:paraId="77548EC6">
            <w:pPr>
              <w:widowControl/>
              <w:adjustRightInd w:val="0"/>
              <w:snapToGrid w:val="0"/>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审查项目</w:t>
            </w:r>
          </w:p>
        </w:tc>
        <w:tc>
          <w:tcPr>
            <w:tcW w:w="3208" w:type="dxa"/>
            <w:noWrap w:val="0"/>
            <w:tcMar>
              <w:left w:w="105" w:type="dxa"/>
              <w:right w:w="105" w:type="dxa"/>
            </w:tcMar>
            <w:vAlign w:val="center"/>
          </w:tcPr>
          <w:p w14:paraId="439BAA3C">
            <w:pPr>
              <w:widowControl/>
              <w:adjustRightInd w:val="0"/>
              <w:snapToGrid w:val="0"/>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审查要求</w:t>
            </w:r>
          </w:p>
        </w:tc>
        <w:tc>
          <w:tcPr>
            <w:tcW w:w="4035" w:type="dxa"/>
            <w:noWrap w:val="0"/>
            <w:tcMar>
              <w:left w:w="105" w:type="dxa"/>
              <w:right w:w="105" w:type="dxa"/>
            </w:tcMar>
            <w:vAlign w:val="center"/>
          </w:tcPr>
          <w:p w14:paraId="7E4DA2E8">
            <w:pPr>
              <w:widowControl/>
              <w:adjustRightInd w:val="0"/>
              <w:snapToGrid w:val="0"/>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审查方法</w:t>
            </w:r>
          </w:p>
        </w:tc>
        <w:tc>
          <w:tcPr>
            <w:tcW w:w="1080" w:type="dxa"/>
            <w:noWrap w:val="0"/>
            <w:tcMar>
              <w:left w:w="105" w:type="dxa"/>
              <w:right w:w="105" w:type="dxa"/>
            </w:tcMar>
            <w:vAlign w:val="center"/>
          </w:tcPr>
          <w:p w14:paraId="7142A1EC">
            <w:pPr>
              <w:widowControl/>
              <w:adjustRightInd w:val="0"/>
              <w:snapToGrid w:val="0"/>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分值（分）</w:t>
            </w:r>
          </w:p>
        </w:tc>
        <w:tc>
          <w:tcPr>
            <w:tcW w:w="3180" w:type="dxa"/>
            <w:noWrap w:val="0"/>
            <w:tcMar>
              <w:left w:w="105" w:type="dxa"/>
              <w:right w:w="105" w:type="dxa"/>
            </w:tcMar>
            <w:vAlign w:val="center"/>
          </w:tcPr>
          <w:p w14:paraId="468B1329">
            <w:pPr>
              <w:widowControl/>
              <w:adjustRightInd w:val="0"/>
              <w:snapToGrid w:val="0"/>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扣分标准</w:t>
            </w:r>
          </w:p>
        </w:tc>
        <w:tc>
          <w:tcPr>
            <w:tcW w:w="1158" w:type="dxa"/>
            <w:noWrap w:val="0"/>
            <w:vAlign w:val="center"/>
          </w:tcPr>
          <w:p w14:paraId="1AF43AAC">
            <w:pPr>
              <w:widowControl/>
              <w:adjustRightInd w:val="0"/>
              <w:snapToGrid w:val="0"/>
              <w:spacing w:before="0" w:beforeAutospacing="0" w:after="0" w:afterAutospacing="0"/>
              <w:ind w:left="0" w:right="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得分</w:t>
            </w:r>
          </w:p>
        </w:tc>
      </w:tr>
      <w:tr w14:paraId="3601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0" w:type="auto"/>
            <w:vMerge w:val="restart"/>
            <w:noWrap w:val="0"/>
            <w:tcMar>
              <w:left w:w="105" w:type="dxa"/>
              <w:right w:w="105" w:type="dxa"/>
            </w:tcMar>
            <w:vAlign w:val="center"/>
          </w:tcPr>
          <w:p w14:paraId="560D2277">
            <w:pPr>
              <w:widowControl/>
              <w:adjustRightInd w:val="0"/>
              <w:snapToGrid w:val="0"/>
              <w:spacing w:before="0" w:beforeAutospacing="0" w:after="0" w:afterAutospacing="0"/>
              <w:ind w:left="0" w:right="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一、医疗机构基本标准符合情况</w:t>
            </w:r>
          </w:p>
        </w:tc>
        <w:tc>
          <w:tcPr>
            <w:tcW w:w="3208" w:type="dxa"/>
            <w:noWrap w:val="0"/>
            <w:tcMar>
              <w:left w:w="105" w:type="dxa"/>
              <w:right w:w="105" w:type="dxa"/>
            </w:tcMar>
            <w:vAlign w:val="center"/>
          </w:tcPr>
          <w:p w14:paraId="65F7404B">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1.人员配备达到相应的《医疗机构基本标准》。</w:t>
            </w:r>
          </w:p>
        </w:tc>
        <w:tc>
          <w:tcPr>
            <w:tcW w:w="4035" w:type="dxa"/>
            <w:noWrap w:val="0"/>
            <w:tcMar>
              <w:left w:w="105" w:type="dxa"/>
              <w:right w:w="105" w:type="dxa"/>
            </w:tcMar>
            <w:vAlign w:val="center"/>
          </w:tcPr>
          <w:p w14:paraId="1D23C79B">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核查医生、护士、卫技人员花名册和资格、执业、职称证，人员与科目相符。</w:t>
            </w:r>
          </w:p>
        </w:tc>
        <w:tc>
          <w:tcPr>
            <w:tcW w:w="1080" w:type="dxa"/>
            <w:noWrap w:val="0"/>
            <w:tcMar>
              <w:left w:w="105" w:type="dxa"/>
              <w:right w:w="105" w:type="dxa"/>
            </w:tcMar>
            <w:vAlign w:val="center"/>
          </w:tcPr>
          <w:p w14:paraId="6DDB6977">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20</w:t>
            </w:r>
          </w:p>
        </w:tc>
        <w:tc>
          <w:tcPr>
            <w:tcW w:w="3180" w:type="dxa"/>
            <w:noWrap w:val="0"/>
            <w:tcMar>
              <w:left w:w="105" w:type="dxa"/>
              <w:right w:w="105" w:type="dxa"/>
            </w:tcMar>
            <w:vAlign w:val="center"/>
          </w:tcPr>
          <w:p w14:paraId="4A7CAC70">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人员配备不达标每人扣5分。</w:t>
            </w:r>
          </w:p>
        </w:tc>
        <w:tc>
          <w:tcPr>
            <w:tcW w:w="1158" w:type="dxa"/>
            <w:noWrap w:val="0"/>
            <w:vAlign w:val="center"/>
          </w:tcPr>
          <w:p w14:paraId="7B79AB62">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2153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0" w:type="auto"/>
            <w:vMerge w:val="continue"/>
            <w:noWrap w:val="0"/>
            <w:tcMar>
              <w:left w:w="105" w:type="dxa"/>
              <w:right w:w="105" w:type="dxa"/>
            </w:tcMar>
            <w:vAlign w:val="center"/>
          </w:tcPr>
          <w:p w14:paraId="2C4C9D3B">
            <w:pPr>
              <w:adjustRightInd w:val="0"/>
              <w:snapToGrid w:val="0"/>
              <w:jc w:val="left"/>
              <w:rPr>
                <w:rFonts w:hint="eastAsia" w:ascii="仿宋_GB2312" w:hAnsi="仿宋_GB2312" w:eastAsia="仿宋_GB2312" w:cs="仿宋_GB2312"/>
                <w:color w:val="auto"/>
                <w:szCs w:val="21"/>
              </w:rPr>
            </w:pPr>
          </w:p>
        </w:tc>
        <w:tc>
          <w:tcPr>
            <w:tcW w:w="3208" w:type="dxa"/>
            <w:noWrap w:val="0"/>
            <w:tcMar>
              <w:left w:w="105" w:type="dxa"/>
              <w:right w:w="105" w:type="dxa"/>
            </w:tcMar>
            <w:vAlign w:val="center"/>
          </w:tcPr>
          <w:p w14:paraId="1FEDC4E8">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2.科室设置达到《医疗机构基本标准》要求，符合《医疗机构执业许可证》登记内容。</w:t>
            </w:r>
          </w:p>
        </w:tc>
        <w:tc>
          <w:tcPr>
            <w:tcW w:w="4035" w:type="dxa"/>
            <w:noWrap w:val="0"/>
            <w:tcMar>
              <w:left w:w="105" w:type="dxa"/>
              <w:right w:w="105" w:type="dxa"/>
            </w:tcMar>
            <w:vAlign w:val="center"/>
          </w:tcPr>
          <w:p w14:paraId="4A6E3EDA">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核查医疗机构科室设置。</w:t>
            </w:r>
          </w:p>
        </w:tc>
        <w:tc>
          <w:tcPr>
            <w:tcW w:w="1080" w:type="dxa"/>
            <w:noWrap w:val="0"/>
            <w:tcMar>
              <w:left w:w="105" w:type="dxa"/>
              <w:right w:w="105" w:type="dxa"/>
            </w:tcMar>
            <w:vAlign w:val="center"/>
          </w:tcPr>
          <w:p w14:paraId="392F639E">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3180" w:type="dxa"/>
            <w:noWrap w:val="0"/>
            <w:tcMar>
              <w:left w:w="105" w:type="dxa"/>
              <w:right w:w="105" w:type="dxa"/>
            </w:tcMar>
            <w:vAlign w:val="center"/>
          </w:tcPr>
          <w:p w14:paraId="495E5B72">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必设诊疗科目每缺1个扣5分。</w:t>
            </w:r>
          </w:p>
        </w:tc>
        <w:tc>
          <w:tcPr>
            <w:tcW w:w="1158" w:type="dxa"/>
            <w:noWrap w:val="0"/>
            <w:vAlign w:val="center"/>
          </w:tcPr>
          <w:p w14:paraId="1252DBA4">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2579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4" w:hRule="atLeast"/>
          <w:jc w:val="center"/>
        </w:trPr>
        <w:tc>
          <w:tcPr>
            <w:tcW w:w="0" w:type="auto"/>
            <w:vMerge w:val="continue"/>
            <w:noWrap w:val="0"/>
            <w:tcMar>
              <w:left w:w="105" w:type="dxa"/>
              <w:right w:w="105" w:type="dxa"/>
            </w:tcMar>
            <w:vAlign w:val="center"/>
          </w:tcPr>
          <w:p w14:paraId="736452A6">
            <w:pPr>
              <w:adjustRightInd w:val="0"/>
              <w:snapToGrid w:val="0"/>
              <w:jc w:val="left"/>
              <w:rPr>
                <w:rFonts w:hint="eastAsia" w:ascii="仿宋_GB2312" w:hAnsi="仿宋_GB2312" w:eastAsia="仿宋_GB2312" w:cs="仿宋_GB2312"/>
                <w:color w:val="auto"/>
                <w:szCs w:val="21"/>
              </w:rPr>
            </w:pPr>
          </w:p>
        </w:tc>
        <w:tc>
          <w:tcPr>
            <w:tcW w:w="3208" w:type="dxa"/>
            <w:noWrap w:val="0"/>
            <w:tcMar>
              <w:left w:w="105" w:type="dxa"/>
              <w:right w:w="105" w:type="dxa"/>
            </w:tcMar>
            <w:vAlign w:val="center"/>
          </w:tcPr>
          <w:p w14:paraId="4724BF09">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3.业务用房达到《医疗机构基本标准》，功能布局合理，符合卫生学和无障碍设计要求，应做到诊疗室、处置室、治疗室等各室分开，诊疗功能分区、流程合理。</w:t>
            </w:r>
          </w:p>
        </w:tc>
        <w:tc>
          <w:tcPr>
            <w:tcW w:w="4035" w:type="dxa"/>
            <w:noWrap w:val="0"/>
            <w:tcMar>
              <w:left w:w="105" w:type="dxa"/>
              <w:right w:w="105" w:type="dxa"/>
            </w:tcMar>
            <w:vAlign w:val="center"/>
          </w:tcPr>
          <w:p w14:paraId="4B2FB55A">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核查业务用房面积、诊疗室、处置室、治疗室等。</w:t>
            </w:r>
          </w:p>
        </w:tc>
        <w:tc>
          <w:tcPr>
            <w:tcW w:w="1080" w:type="dxa"/>
            <w:noWrap w:val="0"/>
            <w:tcMar>
              <w:left w:w="105" w:type="dxa"/>
              <w:right w:w="105" w:type="dxa"/>
            </w:tcMar>
            <w:vAlign w:val="center"/>
          </w:tcPr>
          <w:p w14:paraId="6DB202F5">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8</w:t>
            </w:r>
          </w:p>
        </w:tc>
        <w:tc>
          <w:tcPr>
            <w:tcW w:w="3180" w:type="dxa"/>
            <w:noWrap w:val="0"/>
            <w:tcMar>
              <w:left w:w="105" w:type="dxa"/>
              <w:right w:w="105" w:type="dxa"/>
            </w:tcMar>
            <w:vAlign w:val="center"/>
          </w:tcPr>
          <w:p w14:paraId="0B80DA93">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房屋面积不达标不得分，各室未分开扣5分。</w:t>
            </w:r>
          </w:p>
        </w:tc>
        <w:tc>
          <w:tcPr>
            <w:tcW w:w="1158" w:type="dxa"/>
            <w:noWrap w:val="0"/>
            <w:vAlign w:val="center"/>
          </w:tcPr>
          <w:p w14:paraId="75B4E6FB">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0901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0" w:type="auto"/>
            <w:vMerge w:val="continue"/>
            <w:noWrap w:val="0"/>
            <w:tcMar>
              <w:left w:w="105" w:type="dxa"/>
              <w:right w:w="105" w:type="dxa"/>
            </w:tcMar>
            <w:vAlign w:val="center"/>
          </w:tcPr>
          <w:p w14:paraId="762F3554">
            <w:pPr>
              <w:adjustRightInd w:val="0"/>
              <w:snapToGrid w:val="0"/>
              <w:jc w:val="left"/>
              <w:rPr>
                <w:rFonts w:hint="eastAsia" w:ascii="仿宋_GB2312" w:hAnsi="仿宋_GB2312" w:eastAsia="仿宋_GB2312" w:cs="仿宋_GB2312"/>
                <w:color w:val="auto"/>
                <w:szCs w:val="21"/>
              </w:rPr>
            </w:pPr>
          </w:p>
        </w:tc>
        <w:tc>
          <w:tcPr>
            <w:tcW w:w="3208" w:type="dxa"/>
            <w:noWrap w:val="0"/>
            <w:tcMar>
              <w:left w:w="105" w:type="dxa"/>
              <w:right w:w="105" w:type="dxa"/>
            </w:tcMar>
            <w:vAlign w:val="center"/>
          </w:tcPr>
          <w:p w14:paraId="06CB5238">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4.设备配备达到相应的《医疗机构基本标准》。</w:t>
            </w:r>
          </w:p>
        </w:tc>
        <w:tc>
          <w:tcPr>
            <w:tcW w:w="4035" w:type="dxa"/>
            <w:noWrap w:val="0"/>
            <w:tcMar>
              <w:left w:w="105" w:type="dxa"/>
              <w:right w:w="105" w:type="dxa"/>
            </w:tcMar>
            <w:vAlign w:val="center"/>
          </w:tcPr>
          <w:p w14:paraId="69FD40FC">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核查基本设备配备和专科设备。</w:t>
            </w:r>
          </w:p>
        </w:tc>
        <w:tc>
          <w:tcPr>
            <w:tcW w:w="1080" w:type="dxa"/>
            <w:noWrap w:val="0"/>
            <w:tcMar>
              <w:left w:w="105" w:type="dxa"/>
              <w:right w:w="105" w:type="dxa"/>
            </w:tcMar>
            <w:vAlign w:val="center"/>
          </w:tcPr>
          <w:p w14:paraId="7F17C943">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7</w:t>
            </w:r>
          </w:p>
        </w:tc>
        <w:tc>
          <w:tcPr>
            <w:tcW w:w="3180" w:type="dxa"/>
            <w:noWrap w:val="0"/>
            <w:tcMar>
              <w:left w:w="105" w:type="dxa"/>
              <w:right w:w="105" w:type="dxa"/>
            </w:tcMar>
            <w:vAlign w:val="center"/>
          </w:tcPr>
          <w:p w14:paraId="19CC4497">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设备配备不合要求，每缺1件扣2分。</w:t>
            </w:r>
          </w:p>
        </w:tc>
        <w:tc>
          <w:tcPr>
            <w:tcW w:w="1158" w:type="dxa"/>
            <w:noWrap w:val="0"/>
            <w:vAlign w:val="center"/>
          </w:tcPr>
          <w:p w14:paraId="30E484BD">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453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0" w:type="auto"/>
            <w:vMerge w:val="continue"/>
            <w:noWrap w:val="0"/>
            <w:tcMar>
              <w:left w:w="105" w:type="dxa"/>
              <w:right w:w="105" w:type="dxa"/>
            </w:tcMar>
            <w:vAlign w:val="center"/>
          </w:tcPr>
          <w:p w14:paraId="6468A75D">
            <w:pPr>
              <w:adjustRightInd w:val="0"/>
              <w:snapToGrid w:val="0"/>
              <w:jc w:val="left"/>
              <w:rPr>
                <w:rFonts w:hint="eastAsia" w:ascii="仿宋_GB2312" w:hAnsi="仿宋_GB2312" w:eastAsia="仿宋_GB2312" w:cs="仿宋_GB2312"/>
                <w:color w:val="auto"/>
                <w:szCs w:val="21"/>
              </w:rPr>
            </w:pPr>
          </w:p>
        </w:tc>
        <w:tc>
          <w:tcPr>
            <w:tcW w:w="3208" w:type="dxa"/>
            <w:noWrap w:val="0"/>
            <w:tcMar>
              <w:left w:w="105" w:type="dxa"/>
              <w:right w:w="105" w:type="dxa"/>
            </w:tcMar>
            <w:vAlign w:val="center"/>
          </w:tcPr>
          <w:p w14:paraId="7116A16C">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5.医疗机构工作制度、人员岗位职责齐全、实用。</w:t>
            </w:r>
          </w:p>
        </w:tc>
        <w:tc>
          <w:tcPr>
            <w:tcW w:w="4035" w:type="dxa"/>
            <w:noWrap w:val="0"/>
            <w:tcMar>
              <w:left w:w="105" w:type="dxa"/>
              <w:right w:w="105" w:type="dxa"/>
            </w:tcMar>
            <w:vAlign w:val="center"/>
          </w:tcPr>
          <w:p w14:paraId="604438EB">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核查医疗机构工作制度、人员岗位职责。</w:t>
            </w:r>
          </w:p>
        </w:tc>
        <w:tc>
          <w:tcPr>
            <w:tcW w:w="1080" w:type="dxa"/>
            <w:noWrap w:val="0"/>
            <w:tcMar>
              <w:left w:w="105" w:type="dxa"/>
              <w:right w:w="105" w:type="dxa"/>
            </w:tcMar>
            <w:vAlign w:val="center"/>
          </w:tcPr>
          <w:p w14:paraId="2F88D454">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3180" w:type="dxa"/>
            <w:noWrap w:val="0"/>
            <w:tcMar>
              <w:left w:w="105" w:type="dxa"/>
              <w:right w:w="105" w:type="dxa"/>
            </w:tcMar>
            <w:vAlign w:val="center"/>
          </w:tcPr>
          <w:p w14:paraId="5DE01E98">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医疗机构工作制度、人员岗位职责每少1项扣2分；不实用扣1分。</w:t>
            </w:r>
          </w:p>
        </w:tc>
        <w:tc>
          <w:tcPr>
            <w:tcW w:w="1158" w:type="dxa"/>
            <w:noWrap w:val="0"/>
            <w:vAlign w:val="center"/>
          </w:tcPr>
          <w:p w14:paraId="7234E1E4">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4315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0" w:type="auto"/>
            <w:vMerge w:val="restart"/>
            <w:noWrap w:val="0"/>
            <w:tcMar>
              <w:left w:w="105" w:type="dxa"/>
              <w:right w:w="105" w:type="dxa"/>
            </w:tcMar>
            <w:vAlign w:val="center"/>
          </w:tcPr>
          <w:p w14:paraId="723BC2A4">
            <w:pPr>
              <w:widowControl/>
              <w:adjustRightInd w:val="0"/>
              <w:snapToGrid w:val="0"/>
              <w:spacing w:before="0" w:beforeAutospacing="0" w:after="0" w:afterAutospacing="0"/>
              <w:ind w:left="0" w:right="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二、依法执业情况</w:t>
            </w:r>
          </w:p>
        </w:tc>
        <w:tc>
          <w:tcPr>
            <w:tcW w:w="3208" w:type="dxa"/>
            <w:noWrap w:val="0"/>
            <w:tcMar>
              <w:left w:w="105" w:type="dxa"/>
              <w:right w:w="105" w:type="dxa"/>
            </w:tcMar>
            <w:vAlign w:val="center"/>
          </w:tcPr>
          <w:p w14:paraId="62B0C58B">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1.医疗机构依法执业情况。</w:t>
            </w:r>
          </w:p>
        </w:tc>
        <w:tc>
          <w:tcPr>
            <w:tcW w:w="4035" w:type="dxa"/>
            <w:noWrap w:val="0"/>
            <w:tcMar>
              <w:left w:w="105" w:type="dxa"/>
              <w:right w:w="105" w:type="dxa"/>
            </w:tcMar>
            <w:vAlign w:val="center"/>
          </w:tcPr>
          <w:p w14:paraId="4BCDD877">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1.核查《医疗机构执业许可证》核准登记项目与医疗机构实际情况（核准项目变动应先办理申请变更登记手续）；</w:t>
            </w:r>
          </w:p>
          <w:p w14:paraId="5F95481D">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2.医疗机构的名称及各专科名称命名、使用符合规范要求</w:t>
            </w:r>
          </w:p>
        </w:tc>
        <w:tc>
          <w:tcPr>
            <w:tcW w:w="1080" w:type="dxa"/>
            <w:noWrap w:val="0"/>
            <w:tcMar>
              <w:left w:w="105" w:type="dxa"/>
              <w:right w:w="105" w:type="dxa"/>
            </w:tcMar>
            <w:vAlign w:val="center"/>
          </w:tcPr>
          <w:p w14:paraId="0A7BE25C">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20</w:t>
            </w:r>
          </w:p>
        </w:tc>
        <w:tc>
          <w:tcPr>
            <w:tcW w:w="3180" w:type="dxa"/>
            <w:noWrap w:val="0"/>
            <w:tcMar>
              <w:left w:w="105" w:type="dxa"/>
              <w:right w:w="105" w:type="dxa"/>
            </w:tcMar>
            <w:vAlign w:val="center"/>
          </w:tcPr>
          <w:p w14:paraId="20752135">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超范围（超核准诊疗科目、超技术准入项目）执业扣20分/项；无人员配备的诊疗科目未及时注销扣5分；其它项目变动未办理申请手续扣5分/项；名称使用不规范扣5分。</w:t>
            </w:r>
          </w:p>
        </w:tc>
        <w:tc>
          <w:tcPr>
            <w:tcW w:w="1158" w:type="dxa"/>
            <w:noWrap w:val="0"/>
            <w:vAlign w:val="center"/>
          </w:tcPr>
          <w:p w14:paraId="2BE4173F">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26E0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0" w:type="auto"/>
            <w:vMerge w:val="continue"/>
            <w:noWrap w:val="0"/>
            <w:tcMar>
              <w:left w:w="105" w:type="dxa"/>
              <w:right w:w="105" w:type="dxa"/>
            </w:tcMar>
            <w:vAlign w:val="center"/>
          </w:tcPr>
          <w:p w14:paraId="58B2BA3E">
            <w:pPr>
              <w:adjustRightInd w:val="0"/>
              <w:snapToGrid w:val="0"/>
              <w:jc w:val="left"/>
              <w:rPr>
                <w:rFonts w:hint="eastAsia" w:ascii="仿宋_GB2312" w:hAnsi="仿宋_GB2312" w:eastAsia="仿宋_GB2312" w:cs="仿宋_GB2312"/>
                <w:color w:val="auto"/>
                <w:szCs w:val="21"/>
              </w:rPr>
            </w:pPr>
          </w:p>
        </w:tc>
        <w:tc>
          <w:tcPr>
            <w:tcW w:w="3208" w:type="dxa"/>
            <w:noWrap w:val="0"/>
            <w:tcMar>
              <w:left w:w="105" w:type="dxa"/>
              <w:right w:w="105" w:type="dxa"/>
            </w:tcMar>
            <w:vAlign w:val="center"/>
          </w:tcPr>
          <w:p w14:paraId="1AB98FCD">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2.医护人员依法执业。</w:t>
            </w:r>
          </w:p>
        </w:tc>
        <w:tc>
          <w:tcPr>
            <w:tcW w:w="4035" w:type="dxa"/>
            <w:noWrap w:val="0"/>
            <w:tcMar>
              <w:left w:w="105" w:type="dxa"/>
              <w:right w:w="105" w:type="dxa"/>
            </w:tcMar>
            <w:vAlign w:val="center"/>
          </w:tcPr>
          <w:p w14:paraId="1E8F1793">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对照值班表或处方、医嘱，核查《医师资格证》《医师执业证》《护士执业证》及其他岗位证书，审查依法执业情况。</w:t>
            </w:r>
          </w:p>
        </w:tc>
        <w:tc>
          <w:tcPr>
            <w:tcW w:w="1080" w:type="dxa"/>
            <w:noWrap w:val="0"/>
            <w:tcMar>
              <w:left w:w="105" w:type="dxa"/>
              <w:right w:w="105" w:type="dxa"/>
            </w:tcMar>
            <w:vAlign w:val="center"/>
          </w:tcPr>
          <w:p w14:paraId="789F017A">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15</w:t>
            </w:r>
          </w:p>
        </w:tc>
        <w:tc>
          <w:tcPr>
            <w:tcW w:w="3180" w:type="dxa"/>
            <w:noWrap w:val="0"/>
            <w:tcMar>
              <w:left w:w="105" w:type="dxa"/>
              <w:right w:w="105" w:type="dxa"/>
            </w:tcMar>
            <w:vAlign w:val="center"/>
          </w:tcPr>
          <w:p w14:paraId="022920EB">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发现无资格、非卫技人员执业扣15分/人；医师超执业范围执业扣5分/人；无本机构执业证书扣5分；实习、进修医生独立执业扣3分/人。</w:t>
            </w:r>
          </w:p>
        </w:tc>
        <w:tc>
          <w:tcPr>
            <w:tcW w:w="1158" w:type="dxa"/>
            <w:noWrap w:val="0"/>
            <w:vAlign w:val="center"/>
          </w:tcPr>
          <w:p w14:paraId="0F1C76C2">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1521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jc w:val="center"/>
        </w:trPr>
        <w:tc>
          <w:tcPr>
            <w:tcW w:w="0" w:type="auto"/>
            <w:vMerge w:val="continue"/>
            <w:noWrap w:val="0"/>
            <w:tcMar>
              <w:left w:w="105" w:type="dxa"/>
              <w:right w:w="105" w:type="dxa"/>
            </w:tcMar>
            <w:vAlign w:val="center"/>
          </w:tcPr>
          <w:p w14:paraId="0C56B316">
            <w:pPr>
              <w:adjustRightInd w:val="0"/>
              <w:snapToGrid w:val="0"/>
              <w:jc w:val="left"/>
              <w:rPr>
                <w:rFonts w:hint="eastAsia" w:ascii="仿宋_GB2312" w:hAnsi="仿宋_GB2312" w:eastAsia="仿宋_GB2312" w:cs="仿宋_GB2312"/>
                <w:color w:val="auto"/>
                <w:szCs w:val="21"/>
              </w:rPr>
            </w:pPr>
          </w:p>
        </w:tc>
        <w:tc>
          <w:tcPr>
            <w:tcW w:w="3208" w:type="dxa"/>
            <w:noWrap w:val="0"/>
            <w:tcMar>
              <w:left w:w="105" w:type="dxa"/>
              <w:right w:w="105" w:type="dxa"/>
            </w:tcMar>
            <w:vAlign w:val="center"/>
          </w:tcPr>
          <w:p w14:paraId="7780A7A0">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3.严格执行诊疗、护理常规、规范。严格执行病历书写规范、处方管理办法、抗菌药物临床应用管理规范。药品管理规范。</w:t>
            </w:r>
          </w:p>
        </w:tc>
        <w:tc>
          <w:tcPr>
            <w:tcW w:w="4035" w:type="dxa"/>
            <w:noWrap w:val="0"/>
            <w:tcMar>
              <w:left w:w="105" w:type="dxa"/>
              <w:right w:w="105" w:type="dxa"/>
            </w:tcMar>
            <w:vAlign w:val="center"/>
          </w:tcPr>
          <w:p w14:paraId="5D99511B">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抽查门诊登记、病历5份，处方10张；对照现存药品，抽查药品进耗存登记。</w:t>
            </w:r>
          </w:p>
        </w:tc>
        <w:tc>
          <w:tcPr>
            <w:tcW w:w="1080" w:type="dxa"/>
            <w:noWrap w:val="0"/>
            <w:tcMar>
              <w:left w:w="105" w:type="dxa"/>
              <w:right w:w="105" w:type="dxa"/>
            </w:tcMar>
            <w:vAlign w:val="center"/>
          </w:tcPr>
          <w:p w14:paraId="06B50438">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180" w:type="dxa"/>
            <w:noWrap w:val="0"/>
            <w:tcMar>
              <w:left w:w="105" w:type="dxa"/>
              <w:right w:w="105" w:type="dxa"/>
            </w:tcMar>
            <w:vAlign w:val="center"/>
          </w:tcPr>
          <w:p w14:paraId="7773BDD6">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1人不合格扣3分；病历书写、处方不符合规范扣2分/份；抗菌药物使用不合理扣3分/例，超范围使用药品扣1分/例。</w:t>
            </w:r>
          </w:p>
        </w:tc>
        <w:tc>
          <w:tcPr>
            <w:tcW w:w="1158" w:type="dxa"/>
            <w:noWrap w:val="0"/>
            <w:vAlign w:val="center"/>
          </w:tcPr>
          <w:p w14:paraId="1C8784B1">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r w14:paraId="522D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5" w:hRule="atLeast"/>
          <w:jc w:val="center"/>
        </w:trPr>
        <w:tc>
          <w:tcPr>
            <w:tcW w:w="0" w:type="auto"/>
            <w:vMerge w:val="continue"/>
            <w:noWrap w:val="0"/>
            <w:tcMar>
              <w:left w:w="105" w:type="dxa"/>
              <w:right w:w="105" w:type="dxa"/>
            </w:tcMar>
            <w:vAlign w:val="center"/>
          </w:tcPr>
          <w:p w14:paraId="74D728A3">
            <w:pPr>
              <w:adjustRightInd w:val="0"/>
              <w:snapToGrid w:val="0"/>
              <w:jc w:val="left"/>
              <w:rPr>
                <w:rFonts w:hint="eastAsia" w:ascii="仿宋_GB2312" w:hAnsi="仿宋_GB2312" w:eastAsia="仿宋_GB2312" w:cs="仿宋_GB2312"/>
                <w:color w:val="auto"/>
                <w:szCs w:val="21"/>
              </w:rPr>
            </w:pPr>
          </w:p>
        </w:tc>
        <w:tc>
          <w:tcPr>
            <w:tcW w:w="3208" w:type="dxa"/>
            <w:noWrap w:val="0"/>
            <w:tcMar>
              <w:left w:w="105" w:type="dxa"/>
              <w:right w:w="105" w:type="dxa"/>
            </w:tcMar>
            <w:vAlign w:val="center"/>
          </w:tcPr>
          <w:p w14:paraId="3A676236">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4.消毒隔离与传染病防治符合相关规定。</w:t>
            </w:r>
          </w:p>
        </w:tc>
        <w:tc>
          <w:tcPr>
            <w:tcW w:w="4035" w:type="dxa"/>
            <w:noWrap w:val="0"/>
            <w:tcMar>
              <w:left w:w="105" w:type="dxa"/>
              <w:right w:w="105" w:type="dxa"/>
            </w:tcMar>
            <w:vAlign w:val="center"/>
          </w:tcPr>
          <w:p w14:paraId="674E0BC2">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1.严格执行消毒隔离制度，灭菌剂、消毒剂浓度和配制更换记录标识准确，高压灭菌符合要求，治疗室、换药室等各项空气消毒措施落实，并有详细的记录。</w:t>
            </w:r>
          </w:p>
          <w:p w14:paraId="5E25FE2B">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2.口腔等诊所消毒灭菌设备及医疗器械齐全，能够满足业务工作需要。</w:t>
            </w:r>
          </w:p>
          <w:p w14:paraId="7C0B1385">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3.严格按照规定处理污水和医疗废弃物。一次性医疗用品管理、购置、存放、处置符合规范要求，并有详细的记录。</w:t>
            </w:r>
          </w:p>
          <w:p w14:paraId="74414A76">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4.按照传染病防治法规要求登记、报告传染病疫情，严禁瞒报、谎报、迟报。</w:t>
            </w:r>
          </w:p>
        </w:tc>
        <w:tc>
          <w:tcPr>
            <w:tcW w:w="1080" w:type="dxa"/>
            <w:noWrap w:val="0"/>
            <w:tcMar>
              <w:left w:w="105" w:type="dxa"/>
              <w:right w:w="105" w:type="dxa"/>
            </w:tcMar>
            <w:vAlign w:val="center"/>
          </w:tcPr>
          <w:p w14:paraId="5EB3AD28">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10</w:t>
            </w:r>
          </w:p>
        </w:tc>
        <w:tc>
          <w:tcPr>
            <w:tcW w:w="3180" w:type="dxa"/>
            <w:noWrap w:val="0"/>
            <w:tcMar>
              <w:left w:w="105" w:type="dxa"/>
              <w:right w:w="105" w:type="dxa"/>
            </w:tcMar>
            <w:vAlign w:val="center"/>
          </w:tcPr>
          <w:p w14:paraId="31649437">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一项制度未执行扣3分；</w:t>
            </w:r>
          </w:p>
          <w:p w14:paraId="3A0F49AC">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无消毒灭菌设备扣3分，措施未落实或不规范一项扣2分；</w:t>
            </w:r>
          </w:p>
          <w:p w14:paraId="310AAB63">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医疗废弃物和一次性医疗用品管理不规范一项扣1分；</w:t>
            </w:r>
          </w:p>
          <w:p w14:paraId="0E699362">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未按要求登记、上报传染病疫情发现一例扣3分；</w:t>
            </w:r>
          </w:p>
          <w:p w14:paraId="0B2E2734">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未按要求登记、上报传染病疫情发现一例扣3分。</w:t>
            </w:r>
          </w:p>
        </w:tc>
        <w:tc>
          <w:tcPr>
            <w:tcW w:w="1158" w:type="dxa"/>
            <w:noWrap w:val="0"/>
            <w:vAlign w:val="center"/>
          </w:tcPr>
          <w:p w14:paraId="686885F6">
            <w:pPr>
              <w:widowControl/>
              <w:adjustRightInd w:val="0"/>
              <w:snapToGrid w:val="0"/>
              <w:spacing w:before="0" w:beforeAutospacing="0" w:after="0" w:afterAutospacing="0"/>
              <w:ind w:left="0" w:right="0" w:firstLine="420"/>
              <w:jc w:val="left"/>
              <w:rPr>
                <w:rFonts w:hint="eastAsia" w:ascii="仿宋_GB2312" w:hAnsi="仿宋_GB2312" w:eastAsia="仿宋_GB2312" w:cs="仿宋_GB2312"/>
                <w:color w:val="auto"/>
                <w:kern w:val="0"/>
                <w:sz w:val="21"/>
                <w:szCs w:val="21"/>
                <w:lang w:val="en-US" w:eastAsia="zh-CN" w:bidi="ar"/>
              </w:rPr>
            </w:pPr>
          </w:p>
        </w:tc>
      </w:tr>
    </w:tbl>
    <w:p w14:paraId="554C7F21">
      <w:pPr>
        <w:widowControl/>
        <w:spacing w:before="0" w:beforeAutospacing="0" w:after="0" w:afterAutospacing="0" w:line="560" w:lineRule="exact"/>
        <w:ind w:left="0" w:right="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注：1.得分率＞80%的为校验现场审查合格；80%≥得分率≥60%的为校验现场审查基本合格；得分率＜60%的为校验现场审查不合格。</w:t>
      </w:r>
    </w:p>
    <w:p w14:paraId="1B560609">
      <w:pPr>
        <w:widowControl/>
        <w:spacing w:before="0" w:beforeAutospacing="0" w:after="0" w:afterAutospacing="0" w:line="560" w:lineRule="exact"/>
        <w:ind w:left="0" w:right="0" w:firstLine="420" w:firstLineChars="200"/>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2.现场检查中如发现存在影响医疗质量和安全的严重问题可直接定为不合格。</w:t>
      </w:r>
    </w:p>
    <w:p w14:paraId="7FFD88A6">
      <w:pPr>
        <w:widowControl/>
        <w:jc w:val="left"/>
        <w:rPr>
          <w:rFonts w:hint="eastAsia" w:ascii="仿宋_GB2312" w:hAnsi="仿宋_GB2312" w:eastAsia="仿宋_GB2312" w:cs="仿宋_GB2312"/>
          <w:color w:val="auto"/>
          <w:sz w:val="32"/>
          <w:szCs w:val="32"/>
        </w:rPr>
      </w:pPr>
    </w:p>
    <w:p w14:paraId="46990E8A">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宋体" w:hAnsi="宋体" w:cs="仿宋_GB2312"/>
          <w:sz w:val="28"/>
          <w:szCs w:val="28"/>
        </w:rPr>
      </w:pPr>
      <w:r>
        <w:rPr>
          <w:rFonts w:hint="eastAsia" w:ascii="仿宋_GB2312" w:hAnsi="仿宋_GB2312" w:eastAsia="仿宋_GB2312" w:cs="仿宋_GB2312"/>
          <w:color w:val="auto"/>
          <w:sz w:val="32"/>
          <w:szCs w:val="32"/>
        </w:rPr>
        <w:t xml:space="preserve">现场校验人员（签名）：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i w:val="0"/>
          <w:iCs w:val="0"/>
          <w:caps w:val="0"/>
          <w:color w:val="auto"/>
          <w:spacing w:val="0"/>
          <w:sz w:val="32"/>
          <w:szCs w:val="32"/>
          <w:lang w:eastAsia="zh-CN"/>
        </w:rPr>
        <w:t>机构法定代表人或负责人意见（签名）</w:t>
      </w:r>
      <w:bookmarkStart w:id="0" w:name="_GoBack"/>
      <w:bookmarkEnd w:id="0"/>
    </w:p>
    <w:sectPr>
      <w:footerReference r:id="rId3" w:type="default"/>
      <w:pgSz w:w="16840" w:h="11907" w:orient="landscape"/>
      <w:pgMar w:top="1531" w:right="1531" w:bottom="1417" w:left="1531"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3F1A">
    <w:pPr>
      <w:pStyle w:val="8"/>
      <w:framePr w:wrap="around" w:vAnchor="text" w:hAnchor="margin" w:xAlign="outside" w:y="1"/>
      <w:rPr>
        <w:rStyle w:val="15"/>
        <w:rFonts w:ascii="宋体" w:hAnsi="宋体"/>
        <w:sz w:val="28"/>
        <w:szCs w:val="28"/>
      </w:rPr>
    </w:pPr>
    <w:r>
      <w:rPr>
        <w:rStyle w:val="15"/>
        <w:rFonts w:hint="eastAsia" w:ascii="宋体" w:hAnsi="宋体"/>
        <w:sz w:val="28"/>
        <w:szCs w:val="28"/>
      </w:rPr>
      <w:t>—</w:t>
    </w:r>
    <w:r>
      <w:rPr>
        <w:rStyle w:val="15"/>
        <w:rFonts w:hint="eastAsia" w:ascii="宋体" w:hAnsi="宋体"/>
        <w:sz w:val="28"/>
        <w:szCs w:val="28"/>
        <w:lang w:val="en-US" w:eastAsia="zh-CN"/>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Fonts w:hint="eastAsia" w:ascii="宋体" w:hAnsi="宋体"/>
        <w:sz w:val="28"/>
        <w:szCs w:val="28"/>
        <w:lang w:val="en-US" w:eastAsia="zh-CN"/>
      </w:rPr>
      <w:t xml:space="preserve"> </w:t>
    </w:r>
    <w:r>
      <w:rPr>
        <w:rStyle w:val="15"/>
        <w:rFonts w:hint="eastAsia" w:ascii="宋体" w:hAnsi="宋体"/>
        <w:sz w:val="28"/>
        <w:szCs w:val="28"/>
      </w:rPr>
      <w:t>—</w:t>
    </w:r>
  </w:p>
  <w:p w14:paraId="7A365051">
    <w:pPr>
      <w:pStyle w:val="8"/>
      <w:ind w:right="120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418DF"/>
    <w:multiLevelType w:val="singleLevel"/>
    <w:tmpl w:val="BF3418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NotTrackMoves/>
  <w:documentProtection w:enforcement="0"/>
  <w:defaultTabStop w:val="420"/>
  <w:drawingGridHorizontalSpacing w:val="22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OTZiYzcwZmE1N2UwNjEyZjAwYjM3YzI3M2YwOGEifQ=="/>
    <w:docVar w:name="KSO_WPS_MARK_KEY" w:val="800ef333-5194-4732-885d-f2c3262bcad3"/>
  </w:docVars>
  <w:rsids>
    <w:rsidRoot w:val="002E236C"/>
    <w:rsid w:val="000062C7"/>
    <w:rsid w:val="00014CEB"/>
    <w:rsid w:val="00015D5E"/>
    <w:rsid w:val="000260FD"/>
    <w:rsid w:val="00035A5B"/>
    <w:rsid w:val="00036A93"/>
    <w:rsid w:val="00063AF0"/>
    <w:rsid w:val="000879E1"/>
    <w:rsid w:val="000936B5"/>
    <w:rsid w:val="000A30E9"/>
    <w:rsid w:val="000A5457"/>
    <w:rsid w:val="000C0EED"/>
    <w:rsid w:val="000D3C25"/>
    <w:rsid w:val="000F0A34"/>
    <w:rsid w:val="00105F33"/>
    <w:rsid w:val="00110626"/>
    <w:rsid w:val="00111DB5"/>
    <w:rsid w:val="0012138D"/>
    <w:rsid w:val="001432E9"/>
    <w:rsid w:val="00144048"/>
    <w:rsid w:val="001530AB"/>
    <w:rsid w:val="00155F9E"/>
    <w:rsid w:val="001578C4"/>
    <w:rsid w:val="00190184"/>
    <w:rsid w:val="0019421E"/>
    <w:rsid w:val="00196E69"/>
    <w:rsid w:val="001970D6"/>
    <w:rsid w:val="001B23B0"/>
    <w:rsid w:val="001D1F3D"/>
    <w:rsid w:val="001D51DF"/>
    <w:rsid w:val="001D64FE"/>
    <w:rsid w:val="00200067"/>
    <w:rsid w:val="00203E6D"/>
    <w:rsid w:val="0021229C"/>
    <w:rsid w:val="00217E84"/>
    <w:rsid w:val="00223255"/>
    <w:rsid w:val="00226BEF"/>
    <w:rsid w:val="002306F3"/>
    <w:rsid w:val="00231E1A"/>
    <w:rsid w:val="0023246B"/>
    <w:rsid w:val="00234F3E"/>
    <w:rsid w:val="00241ACA"/>
    <w:rsid w:val="00246BD5"/>
    <w:rsid w:val="00253149"/>
    <w:rsid w:val="00263BD2"/>
    <w:rsid w:val="00276EDA"/>
    <w:rsid w:val="00282334"/>
    <w:rsid w:val="002A1E34"/>
    <w:rsid w:val="002C30BD"/>
    <w:rsid w:val="002C6286"/>
    <w:rsid w:val="002E1AAF"/>
    <w:rsid w:val="002E236C"/>
    <w:rsid w:val="002E4700"/>
    <w:rsid w:val="002F0DD4"/>
    <w:rsid w:val="002F3256"/>
    <w:rsid w:val="002F71FF"/>
    <w:rsid w:val="003072E8"/>
    <w:rsid w:val="00311EEC"/>
    <w:rsid w:val="003204CA"/>
    <w:rsid w:val="0035391E"/>
    <w:rsid w:val="00372F56"/>
    <w:rsid w:val="003753B0"/>
    <w:rsid w:val="003841A1"/>
    <w:rsid w:val="00384D3A"/>
    <w:rsid w:val="00390648"/>
    <w:rsid w:val="003F1075"/>
    <w:rsid w:val="003F5268"/>
    <w:rsid w:val="003F5C77"/>
    <w:rsid w:val="003F6BBD"/>
    <w:rsid w:val="00400E13"/>
    <w:rsid w:val="004040E5"/>
    <w:rsid w:val="00410A57"/>
    <w:rsid w:val="00414A59"/>
    <w:rsid w:val="00426391"/>
    <w:rsid w:val="004313F8"/>
    <w:rsid w:val="0044485E"/>
    <w:rsid w:val="0045221B"/>
    <w:rsid w:val="004863FA"/>
    <w:rsid w:val="004A0D5F"/>
    <w:rsid w:val="004B00D8"/>
    <w:rsid w:val="004C12C1"/>
    <w:rsid w:val="004C24E9"/>
    <w:rsid w:val="004D1748"/>
    <w:rsid w:val="004F55E1"/>
    <w:rsid w:val="004F5822"/>
    <w:rsid w:val="00506F9C"/>
    <w:rsid w:val="00516734"/>
    <w:rsid w:val="00516AD7"/>
    <w:rsid w:val="005274D4"/>
    <w:rsid w:val="00532292"/>
    <w:rsid w:val="00534CBA"/>
    <w:rsid w:val="00547997"/>
    <w:rsid w:val="005541C8"/>
    <w:rsid w:val="00562940"/>
    <w:rsid w:val="00567893"/>
    <w:rsid w:val="0058425B"/>
    <w:rsid w:val="005946B5"/>
    <w:rsid w:val="005B3CCF"/>
    <w:rsid w:val="005C0992"/>
    <w:rsid w:val="005C208F"/>
    <w:rsid w:val="005C33F4"/>
    <w:rsid w:val="005D48B1"/>
    <w:rsid w:val="005F2CE8"/>
    <w:rsid w:val="005F5E9C"/>
    <w:rsid w:val="0060672C"/>
    <w:rsid w:val="00610757"/>
    <w:rsid w:val="006142E3"/>
    <w:rsid w:val="006349A6"/>
    <w:rsid w:val="00640BA3"/>
    <w:rsid w:val="006579E7"/>
    <w:rsid w:val="00670597"/>
    <w:rsid w:val="006718F9"/>
    <w:rsid w:val="00680587"/>
    <w:rsid w:val="00690C71"/>
    <w:rsid w:val="00693C75"/>
    <w:rsid w:val="00697DBC"/>
    <w:rsid w:val="006A5CD2"/>
    <w:rsid w:val="006A61F9"/>
    <w:rsid w:val="006A7B1D"/>
    <w:rsid w:val="006B6709"/>
    <w:rsid w:val="006D01A2"/>
    <w:rsid w:val="006D08AB"/>
    <w:rsid w:val="006F134E"/>
    <w:rsid w:val="006F2F41"/>
    <w:rsid w:val="006F38D9"/>
    <w:rsid w:val="0070116B"/>
    <w:rsid w:val="007052EA"/>
    <w:rsid w:val="007165A3"/>
    <w:rsid w:val="00716DD7"/>
    <w:rsid w:val="00721735"/>
    <w:rsid w:val="00754FAA"/>
    <w:rsid w:val="0075633C"/>
    <w:rsid w:val="007569BD"/>
    <w:rsid w:val="00757163"/>
    <w:rsid w:val="007749CE"/>
    <w:rsid w:val="00782895"/>
    <w:rsid w:val="00792921"/>
    <w:rsid w:val="007960D1"/>
    <w:rsid w:val="007A6866"/>
    <w:rsid w:val="007B097E"/>
    <w:rsid w:val="007C14F4"/>
    <w:rsid w:val="007C2E5B"/>
    <w:rsid w:val="007C6197"/>
    <w:rsid w:val="007C73D3"/>
    <w:rsid w:val="007D4FD6"/>
    <w:rsid w:val="007D58FA"/>
    <w:rsid w:val="007E103E"/>
    <w:rsid w:val="007E4DEC"/>
    <w:rsid w:val="00801F08"/>
    <w:rsid w:val="0080475C"/>
    <w:rsid w:val="00812E92"/>
    <w:rsid w:val="008201C5"/>
    <w:rsid w:val="00826D7D"/>
    <w:rsid w:val="00832264"/>
    <w:rsid w:val="00834C0D"/>
    <w:rsid w:val="0083652D"/>
    <w:rsid w:val="00836E52"/>
    <w:rsid w:val="008531CC"/>
    <w:rsid w:val="008653C9"/>
    <w:rsid w:val="00871750"/>
    <w:rsid w:val="0087504A"/>
    <w:rsid w:val="00883D3C"/>
    <w:rsid w:val="00893D74"/>
    <w:rsid w:val="008962AC"/>
    <w:rsid w:val="008B09FC"/>
    <w:rsid w:val="008B781F"/>
    <w:rsid w:val="008C0AC5"/>
    <w:rsid w:val="008C2347"/>
    <w:rsid w:val="008C52E7"/>
    <w:rsid w:val="008C606A"/>
    <w:rsid w:val="008C79F7"/>
    <w:rsid w:val="008D29F6"/>
    <w:rsid w:val="008D7171"/>
    <w:rsid w:val="008E4595"/>
    <w:rsid w:val="008F6563"/>
    <w:rsid w:val="009008F1"/>
    <w:rsid w:val="00904563"/>
    <w:rsid w:val="00904F1C"/>
    <w:rsid w:val="009070E4"/>
    <w:rsid w:val="00912188"/>
    <w:rsid w:val="009217EA"/>
    <w:rsid w:val="00922267"/>
    <w:rsid w:val="00927ADC"/>
    <w:rsid w:val="00933401"/>
    <w:rsid w:val="009367FF"/>
    <w:rsid w:val="00943EF0"/>
    <w:rsid w:val="00983735"/>
    <w:rsid w:val="009B3324"/>
    <w:rsid w:val="009C4B2E"/>
    <w:rsid w:val="009E6F1C"/>
    <w:rsid w:val="009F067F"/>
    <w:rsid w:val="009F6495"/>
    <w:rsid w:val="00A043C1"/>
    <w:rsid w:val="00A2179E"/>
    <w:rsid w:val="00A335BB"/>
    <w:rsid w:val="00A41C43"/>
    <w:rsid w:val="00A45513"/>
    <w:rsid w:val="00A52592"/>
    <w:rsid w:val="00A65E6F"/>
    <w:rsid w:val="00A77B7B"/>
    <w:rsid w:val="00A86191"/>
    <w:rsid w:val="00AA0B94"/>
    <w:rsid w:val="00AA1A8C"/>
    <w:rsid w:val="00AA49FD"/>
    <w:rsid w:val="00AC064F"/>
    <w:rsid w:val="00AC1CE1"/>
    <w:rsid w:val="00AC3DC8"/>
    <w:rsid w:val="00AD4302"/>
    <w:rsid w:val="00AD7342"/>
    <w:rsid w:val="00AE2EFE"/>
    <w:rsid w:val="00AE43AD"/>
    <w:rsid w:val="00AE7A9C"/>
    <w:rsid w:val="00B23650"/>
    <w:rsid w:val="00B27036"/>
    <w:rsid w:val="00B6097E"/>
    <w:rsid w:val="00B60D74"/>
    <w:rsid w:val="00B6211D"/>
    <w:rsid w:val="00B72823"/>
    <w:rsid w:val="00B87E94"/>
    <w:rsid w:val="00BA14EA"/>
    <w:rsid w:val="00BB41F4"/>
    <w:rsid w:val="00BB4E81"/>
    <w:rsid w:val="00BB4F4E"/>
    <w:rsid w:val="00BB6196"/>
    <w:rsid w:val="00BC2CFC"/>
    <w:rsid w:val="00BC50CC"/>
    <w:rsid w:val="00BD4B86"/>
    <w:rsid w:val="00BD59B6"/>
    <w:rsid w:val="00BD5D81"/>
    <w:rsid w:val="00BE4940"/>
    <w:rsid w:val="00BF22F0"/>
    <w:rsid w:val="00BF4696"/>
    <w:rsid w:val="00C11E83"/>
    <w:rsid w:val="00C145E4"/>
    <w:rsid w:val="00C170F7"/>
    <w:rsid w:val="00C17ECE"/>
    <w:rsid w:val="00C229DE"/>
    <w:rsid w:val="00C22B7E"/>
    <w:rsid w:val="00C2379C"/>
    <w:rsid w:val="00C27DC7"/>
    <w:rsid w:val="00C310C6"/>
    <w:rsid w:val="00C3241F"/>
    <w:rsid w:val="00C55A04"/>
    <w:rsid w:val="00C56B6C"/>
    <w:rsid w:val="00C7144D"/>
    <w:rsid w:val="00C76CB9"/>
    <w:rsid w:val="00C96578"/>
    <w:rsid w:val="00CA05F0"/>
    <w:rsid w:val="00CA42EC"/>
    <w:rsid w:val="00CD2E33"/>
    <w:rsid w:val="00CD792F"/>
    <w:rsid w:val="00CE5209"/>
    <w:rsid w:val="00CE63BF"/>
    <w:rsid w:val="00CE6DEB"/>
    <w:rsid w:val="00CF4115"/>
    <w:rsid w:val="00D02EBF"/>
    <w:rsid w:val="00D05237"/>
    <w:rsid w:val="00D07772"/>
    <w:rsid w:val="00D22FDF"/>
    <w:rsid w:val="00D25EEE"/>
    <w:rsid w:val="00D30AC7"/>
    <w:rsid w:val="00D421E6"/>
    <w:rsid w:val="00D454E9"/>
    <w:rsid w:val="00D52B77"/>
    <w:rsid w:val="00D66271"/>
    <w:rsid w:val="00D779DA"/>
    <w:rsid w:val="00D804DC"/>
    <w:rsid w:val="00D84F1D"/>
    <w:rsid w:val="00D86ACB"/>
    <w:rsid w:val="00DA171E"/>
    <w:rsid w:val="00DA43B8"/>
    <w:rsid w:val="00DE1CD8"/>
    <w:rsid w:val="00DE75C3"/>
    <w:rsid w:val="00E0443A"/>
    <w:rsid w:val="00E0697B"/>
    <w:rsid w:val="00E1151C"/>
    <w:rsid w:val="00E1530C"/>
    <w:rsid w:val="00E22B12"/>
    <w:rsid w:val="00E53FC2"/>
    <w:rsid w:val="00E572DF"/>
    <w:rsid w:val="00E6794A"/>
    <w:rsid w:val="00E71F3A"/>
    <w:rsid w:val="00E81590"/>
    <w:rsid w:val="00EA6A01"/>
    <w:rsid w:val="00EC19B1"/>
    <w:rsid w:val="00EC60BD"/>
    <w:rsid w:val="00ED2A73"/>
    <w:rsid w:val="00EE3A03"/>
    <w:rsid w:val="00EE4B27"/>
    <w:rsid w:val="00EE6B31"/>
    <w:rsid w:val="00EF6263"/>
    <w:rsid w:val="00F06B74"/>
    <w:rsid w:val="00F22956"/>
    <w:rsid w:val="00F30F86"/>
    <w:rsid w:val="00F349A8"/>
    <w:rsid w:val="00F4523C"/>
    <w:rsid w:val="00F45CF7"/>
    <w:rsid w:val="00F45FEE"/>
    <w:rsid w:val="00F5265E"/>
    <w:rsid w:val="00F56539"/>
    <w:rsid w:val="00F62F73"/>
    <w:rsid w:val="00F63848"/>
    <w:rsid w:val="00F65649"/>
    <w:rsid w:val="00F65BC9"/>
    <w:rsid w:val="00F74D4E"/>
    <w:rsid w:val="00F86065"/>
    <w:rsid w:val="00F92785"/>
    <w:rsid w:val="00F97C7B"/>
    <w:rsid w:val="00FC15B2"/>
    <w:rsid w:val="00FC565D"/>
    <w:rsid w:val="00FC67E4"/>
    <w:rsid w:val="00FC6E46"/>
    <w:rsid w:val="00FF3480"/>
    <w:rsid w:val="01E97E92"/>
    <w:rsid w:val="033D0D32"/>
    <w:rsid w:val="03803622"/>
    <w:rsid w:val="047C16A7"/>
    <w:rsid w:val="05CD1F60"/>
    <w:rsid w:val="0AF65242"/>
    <w:rsid w:val="0D067846"/>
    <w:rsid w:val="0D8A1BD2"/>
    <w:rsid w:val="0FB90CC5"/>
    <w:rsid w:val="0FC73745"/>
    <w:rsid w:val="11E817BB"/>
    <w:rsid w:val="15DB004C"/>
    <w:rsid w:val="16F824C2"/>
    <w:rsid w:val="1710547F"/>
    <w:rsid w:val="17D12037"/>
    <w:rsid w:val="18C8687D"/>
    <w:rsid w:val="1B2552DC"/>
    <w:rsid w:val="1CDC15F0"/>
    <w:rsid w:val="1D4B1F5B"/>
    <w:rsid w:val="21BE4DE4"/>
    <w:rsid w:val="226840C9"/>
    <w:rsid w:val="23317D66"/>
    <w:rsid w:val="26144562"/>
    <w:rsid w:val="29FA7C69"/>
    <w:rsid w:val="2E275280"/>
    <w:rsid w:val="2F0B32F8"/>
    <w:rsid w:val="32D77A01"/>
    <w:rsid w:val="3ABE3F74"/>
    <w:rsid w:val="45F12D9F"/>
    <w:rsid w:val="46F41115"/>
    <w:rsid w:val="49402BF2"/>
    <w:rsid w:val="4A25072C"/>
    <w:rsid w:val="4ADC5DF4"/>
    <w:rsid w:val="4C9D076A"/>
    <w:rsid w:val="4D0B242D"/>
    <w:rsid w:val="4DDE7C86"/>
    <w:rsid w:val="4DFC02F8"/>
    <w:rsid w:val="4F772284"/>
    <w:rsid w:val="53996229"/>
    <w:rsid w:val="5807071B"/>
    <w:rsid w:val="59AC6130"/>
    <w:rsid w:val="5B2F2F27"/>
    <w:rsid w:val="5D1E4E75"/>
    <w:rsid w:val="6342236A"/>
    <w:rsid w:val="63ED7695"/>
    <w:rsid w:val="660B5FAE"/>
    <w:rsid w:val="679C6C08"/>
    <w:rsid w:val="67DA1624"/>
    <w:rsid w:val="691B1301"/>
    <w:rsid w:val="6A97422F"/>
    <w:rsid w:val="6DE170D3"/>
    <w:rsid w:val="6EF67EC2"/>
    <w:rsid w:val="6FC17F37"/>
    <w:rsid w:val="70FC2AE5"/>
    <w:rsid w:val="71AB17DC"/>
    <w:rsid w:val="73B23A24"/>
    <w:rsid w:val="767A5A67"/>
    <w:rsid w:val="7744435F"/>
    <w:rsid w:val="77CC5C08"/>
    <w:rsid w:val="79AA09C6"/>
    <w:rsid w:val="7CE25141"/>
    <w:rsid w:val="7D4A60CE"/>
    <w:rsid w:val="7EAD5AD0"/>
    <w:rsid w:val="7EAE60A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jc w:val="center"/>
    </w:pPr>
    <w:rPr>
      <w:rFonts w:eastAsia="微软简标宋"/>
      <w:sz w:val="44"/>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jc w:val="left"/>
    </w:pPr>
    <w:rPr>
      <w:rFonts w:cs="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customStyle="1" w:styleId="16">
    <w:name w:val="正文文本 Char"/>
    <w:basedOn w:val="13"/>
    <w:link w:val="3"/>
    <w:qFormat/>
    <w:uiPriority w:val="0"/>
    <w:rPr>
      <w:rFonts w:eastAsia="微软简标宋"/>
      <w:kern w:val="2"/>
      <w:sz w:val="44"/>
      <w:szCs w:val="24"/>
    </w:rPr>
  </w:style>
  <w:style w:type="character" w:customStyle="1" w:styleId="17">
    <w:name w:val="标题 1 Char"/>
    <w:basedOn w:val="13"/>
    <w:link w:val="2"/>
    <w:qFormat/>
    <w:uiPriority w:val="0"/>
    <w:rPr>
      <w:rFonts w:ascii="Calibri" w:hAnsi="Calibri" w:eastAsia="宋体"/>
      <w:b/>
      <w:bCs/>
      <w:kern w:val="44"/>
      <w:sz w:val="44"/>
      <w:szCs w:val="44"/>
      <w:lang w:val="en-US" w:eastAsia="zh-CN" w:bidi="ar-SA"/>
    </w:rPr>
  </w:style>
  <w:style w:type="character" w:customStyle="1" w:styleId="18">
    <w:name w:val="页脚 Char"/>
    <w:link w:val="8"/>
    <w:qFormat/>
    <w:locked/>
    <w:uiPriority w:val="0"/>
    <w:rPr>
      <w:rFonts w:eastAsia="宋体"/>
      <w:kern w:val="2"/>
      <w:sz w:val="18"/>
      <w:szCs w:val="18"/>
      <w:lang w:val="en-US" w:eastAsia="zh-CN" w:bidi="ar-SA"/>
    </w:rPr>
  </w:style>
  <w:style w:type="paragraph" w:customStyle="1" w:styleId="19">
    <w:name w:val="印发时间"/>
    <w:basedOn w:val="1"/>
    <w:qFormat/>
    <w:uiPriority w:val="0"/>
    <w:pPr>
      <w:jc w:val="right"/>
    </w:pPr>
    <w:rPr>
      <w:rFonts w:eastAsia="仿宋_GB2312"/>
      <w:sz w:val="32"/>
      <w:szCs w:val="20"/>
    </w:rPr>
  </w:style>
  <w:style w:type="paragraph" w:customStyle="1" w:styleId="20">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1">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44"/>
      <w:szCs w:val="44"/>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列出段落1"/>
    <w:basedOn w:val="1"/>
    <w:qFormat/>
    <w:uiPriority w:val="0"/>
    <w:pPr>
      <w:ind w:firstLine="420" w:firstLineChars="200"/>
    </w:pPr>
  </w:style>
  <w:style w:type="paragraph" w:customStyle="1" w:styleId="24">
    <w:name w:val="主题词"/>
    <w:basedOn w:val="1"/>
    <w:qFormat/>
    <w:uiPriority w:val="0"/>
    <w:rPr>
      <w:rFonts w:eastAsia="方正小标宋简体"/>
      <w:b/>
      <w:sz w:val="32"/>
      <w:szCs w:val="20"/>
    </w:rPr>
  </w:style>
  <w:style w:type="paragraph" w:customStyle="1" w:styleId="25">
    <w:name w:val="Char"/>
    <w:basedOn w:val="1"/>
    <w:qFormat/>
    <w:uiPriority w:val="0"/>
    <w:pPr>
      <w:tabs>
        <w:tab w:val="left" w:pos="360"/>
      </w:tabs>
    </w:pPr>
    <w:rPr>
      <w:sz w:val="24"/>
    </w:rPr>
  </w:style>
  <w:style w:type="paragraph" w:customStyle="1" w:styleId="26">
    <w:name w:val="发文机关标识"/>
    <w:basedOn w:val="1"/>
    <w:qFormat/>
    <w:uiPriority w:val="0"/>
    <w:pPr>
      <w:spacing w:line="1400" w:lineRule="exact"/>
      <w:jc w:val="distribute"/>
    </w:pPr>
    <w:rPr>
      <w:rFonts w:eastAsia="方正小标宋简体"/>
      <w:color w:val="FF0000"/>
      <w:spacing w:val="-60"/>
      <w:w w:val="53"/>
      <w:sz w:val="126"/>
      <w:szCs w:val="20"/>
    </w:rPr>
  </w:style>
  <w:style w:type="paragraph" w:customStyle="1" w:styleId="27">
    <w:name w:val="印发机关"/>
    <w:basedOn w:val="1"/>
    <w:qFormat/>
    <w:uiPriority w:val="0"/>
    <w:rPr>
      <w:rFonts w:eastAsia="仿宋_GB2312"/>
      <w:sz w:val="32"/>
      <w:szCs w:val="20"/>
    </w:rPr>
  </w:style>
  <w:style w:type="paragraph" w:styleId="28">
    <w:name w:val="List Paragraph"/>
    <w:basedOn w:val="1"/>
    <w:qFormat/>
    <w:uiPriority w:val="34"/>
    <w:pPr>
      <w:ind w:firstLine="420" w:firstLineChars="200"/>
    </w:p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Pages>
  <Words>3322</Words>
  <Characters>3423</Characters>
  <Lines>17</Lines>
  <Paragraphs>4</Paragraphs>
  <TotalTime>66</TotalTime>
  <ScaleCrop>false</ScaleCrop>
  <LinksUpToDate>false</LinksUpToDate>
  <CharactersWithSpaces>3566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2020-02-21T08:01:00Z</dcterms:created>
  <dc:creator>微软用户</dc:creator>
  <cp:lastModifiedBy>黑豆</cp:lastModifiedBy>
  <cp:lastPrinted>2025-09-01T07:09:00Z</cp:lastPrinted>
  <dcterms:modified xsi:type="dcterms:W3CDTF">2025-09-09T03:12:41Z</dcterms:modified>
  <dc:title>常新社综〔2012〕12号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5CB959E5B8604314AF5FB7D9B73154CE_13</vt:lpwstr>
  </property>
  <property fmtid="{D5CDD505-2E9C-101B-9397-08002B2CF9AE}" pid="4" name="KSOTemplateDocerSaveRecord">
    <vt:lpwstr>eyJoZGlkIjoiODcyM2VkOWNlNDY5NDJkNWZiN2M5NzZhMDliMjgyY2MiLCJ1c2VySWQiOiI1OTkxOTc5OTMifQ==</vt:lpwstr>
  </property>
</Properties>
</file>