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5D72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 w:val="0"/>
          <w:bCs/>
          <w:color w:val="auto"/>
          <w:kern w:val="44"/>
          <w:sz w:val="44"/>
          <w:szCs w:val="44"/>
          <w:highlight w:val="none"/>
          <w:lang w:bidi="ar"/>
        </w:rPr>
      </w:pPr>
      <w:r>
        <w:rPr>
          <w:rFonts w:hint="eastAsia" w:ascii="方正小标宋简体" w:hAnsi="Times New Roman" w:eastAsia="方正小标宋简体" w:cs="方正小标宋简体"/>
          <w:b w:val="0"/>
          <w:bCs/>
          <w:color w:val="auto"/>
          <w:kern w:val="44"/>
          <w:sz w:val="44"/>
          <w:szCs w:val="44"/>
          <w:highlight w:val="none"/>
          <w:lang w:bidi="ar"/>
        </w:rPr>
        <w:t>招标公告</w:t>
      </w:r>
    </w:p>
    <w:p w14:paraId="4B958555">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一、招标条件</w:t>
      </w:r>
      <w:r>
        <w:rPr>
          <w:rFonts w:hint="eastAsia" w:ascii="黑体" w:hAnsi="宋体" w:eastAsia="黑体" w:cs="黑体"/>
          <w:bCs/>
          <w:color w:val="auto"/>
          <w:sz w:val="32"/>
          <w:szCs w:val="32"/>
          <w:highlight w:val="none"/>
          <w:lang w:bidi="ar"/>
        </w:rPr>
        <w:tab/>
      </w:r>
    </w:p>
    <w:p w14:paraId="61463DF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single"/>
          <w:lang w:eastAsia="zh-CN"/>
        </w:rPr>
        <w:t>中瑞（常州）国际合作产业园二期项目</w:t>
      </w:r>
      <w:r>
        <w:rPr>
          <w:rFonts w:hint="eastAsia" w:ascii="仿宋_GB2312" w:hAnsi="仿宋_GB2312" w:eastAsia="仿宋_GB2312" w:cs="仿宋_GB2312"/>
          <w:color w:val="auto"/>
          <w:kern w:val="0"/>
          <w:sz w:val="32"/>
          <w:szCs w:val="32"/>
          <w:highlight w:val="none"/>
        </w:rPr>
        <w:t>已批准建设，招标人为</w:t>
      </w:r>
      <w:r>
        <w:rPr>
          <w:rFonts w:hint="eastAsia" w:ascii="仿宋_GB2312" w:hAnsi="仿宋_GB2312" w:eastAsia="仿宋_GB2312" w:cs="仿宋_GB2312"/>
          <w:color w:val="auto"/>
          <w:sz w:val="32"/>
          <w:szCs w:val="32"/>
          <w:highlight w:val="none"/>
          <w:u w:val="single"/>
          <w:lang w:eastAsia="zh-CN"/>
        </w:rPr>
        <w:t>常州上鸿科技服务有限公司</w:t>
      </w:r>
      <w:r>
        <w:rPr>
          <w:rFonts w:hint="eastAsia" w:ascii="仿宋_GB2312" w:hAnsi="仿宋_GB2312" w:eastAsia="仿宋_GB2312" w:cs="仿宋_GB2312"/>
          <w:color w:val="auto"/>
          <w:kern w:val="0"/>
          <w:sz w:val="32"/>
          <w:szCs w:val="32"/>
          <w:highlight w:val="none"/>
        </w:rPr>
        <w:t>，建设资金来自</w:t>
      </w:r>
      <w:r>
        <w:rPr>
          <w:rFonts w:hint="eastAsia" w:ascii="仿宋_GB2312" w:hAnsi="仿宋_GB2312" w:eastAsia="仿宋_GB2312" w:cs="仿宋_GB2312"/>
          <w:color w:val="auto"/>
          <w:kern w:val="0"/>
          <w:sz w:val="32"/>
          <w:szCs w:val="32"/>
          <w:highlight w:val="none"/>
          <w:u w:val="single"/>
          <w:lang w:val="en-US" w:eastAsia="zh-CN"/>
        </w:rPr>
        <w:t>自筹</w:t>
      </w:r>
      <w:r>
        <w:rPr>
          <w:rFonts w:hint="eastAsia" w:ascii="仿宋_GB2312" w:hAnsi="仿宋_GB2312" w:eastAsia="仿宋_GB2312" w:cs="仿宋_GB2312"/>
          <w:color w:val="auto"/>
          <w:kern w:val="0"/>
          <w:sz w:val="32"/>
          <w:szCs w:val="32"/>
          <w:highlight w:val="none"/>
        </w:rPr>
        <w:t>，项目出资比例为</w:t>
      </w:r>
      <w:r>
        <w:rPr>
          <w:rFonts w:hint="eastAsia" w:ascii="仿宋_GB2312" w:hAnsi="仿宋_GB2312" w:eastAsia="仿宋_GB2312" w:cs="仿宋_GB2312"/>
          <w:color w:val="auto"/>
          <w:kern w:val="0"/>
          <w:sz w:val="32"/>
          <w:szCs w:val="32"/>
          <w:highlight w:val="none"/>
          <w:u w:val="single"/>
        </w:rPr>
        <w:t>国有</w:t>
      </w:r>
      <w:r>
        <w:rPr>
          <w:rFonts w:hint="eastAsia" w:ascii="仿宋_GB2312" w:hAnsi="仿宋_GB2312" w:eastAsia="仿宋_GB2312" w:cs="仿宋_GB2312"/>
          <w:color w:val="auto"/>
          <w:sz w:val="32"/>
          <w:szCs w:val="32"/>
          <w:highlight w:val="none"/>
          <w:u w:val="single"/>
        </w:rPr>
        <w:t>资金</w:t>
      </w:r>
      <w:r>
        <w:rPr>
          <w:rFonts w:hint="eastAsia" w:ascii="仿宋_GB2312" w:hAnsi="仿宋_GB2312" w:eastAsia="仿宋_GB2312" w:cs="仿宋_GB2312"/>
          <w:color w:val="auto"/>
          <w:kern w:val="0"/>
          <w:sz w:val="32"/>
          <w:szCs w:val="32"/>
          <w:highlight w:val="none"/>
          <w:u w:val="single"/>
        </w:rPr>
        <w:t>：100.00 %</w:t>
      </w:r>
      <w:r>
        <w:rPr>
          <w:rFonts w:hint="eastAsia" w:ascii="仿宋_GB2312" w:hAnsi="仿宋_GB2312" w:eastAsia="仿宋_GB2312" w:cs="仿宋_GB2312"/>
          <w:color w:val="auto"/>
          <w:kern w:val="0"/>
          <w:sz w:val="32"/>
          <w:szCs w:val="32"/>
          <w:highlight w:val="none"/>
        </w:rPr>
        <w:t>。项目已具备招标条件，现对该项目</w:t>
      </w:r>
      <w:r>
        <w:rPr>
          <w:rFonts w:hint="eastAsia" w:ascii="仿宋_GB2312" w:hAnsi="仿宋_GB2312" w:eastAsia="仿宋_GB2312" w:cs="仿宋_GB2312"/>
          <w:color w:val="auto"/>
          <w:kern w:val="0"/>
          <w:sz w:val="32"/>
          <w:szCs w:val="32"/>
          <w:highlight w:val="none"/>
          <w:u w:val="single"/>
          <w:lang w:eastAsia="zh-CN"/>
        </w:rPr>
        <w:t>中瑞（常州）国际合作产业园二期项目1#楼三层健身器材采购</w:t>
      </w:r>
      <w:r>
        <w:rPr>
          <w:rFonts w:hint="eastAsia" w:ascii="仿宋_GB2312" w:hAnsi="仿宋_GB2312" w:eastAsia="仿宋_GB2312" w:cs="仿宋_GB2312"/>
          <w:color w:val="auto"/>
          <w:kern w:val="0"/>
          <w:sz w:val="32"/>
          <w:szCs w:val="32"/>
          <w:highlight w:val="none"/>
        </w:rPr>
        <w:t>进行</w:t>
      </w:r>
      <w:r>
        <w:rPr>
          <w:rFonts w:hint="eastAsia" w:ascii="仿宋_GB2312" w:hAnsi="仿宋_GB2312" w:eastAsia="仿宋_GB2312" w:cs="仿宋_GB2312"/>
          <w:color w:val="auto"/>
          <w:kern w:val="0"/>
          <w:sz w:val="32"/>
          <w:szCs w:val="32"/>
          <w:highlight w:val="none"/>
          <w:u w:val="single"/>
        </w:rPr>
        <w:t>公开</w:t>
      </w:r>
      <w:r>
        <w:rPr>
          <w:rFonts w:hint="eastAsia" w:ascii="仿宋_GB2312" w:hAnsi="仿宋_GB2312" w:eastAsia="仿宋_GB2312" w:cs="仿宋_GB2312"/>
          <w:color w:val="auto"/>
          <w:kern w:val="0"/>
          <w:sz w:val="32"/>
          <w:szCs w:val="32"/>
          <w:highlight w:val="none"/>
        </w:rPr>
        <w:t xml:space="preserve">招标，特邀请有兴趣的潜在投标人参加投标。 </w:t>
      </w:r>
    </w:p>
    <w:p w14:paraId="53AEB4A3">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二、项目概况与招标范围</w:t>
      </w:r>
    </w:p>
    <w:p w14:paraId="1E4F078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2.1项目概况</w:t>
      </w:r>
    </w:p>
    <w:p w14:paraId="091FD3C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Cs/>
          <w:color w:val="auto"/>
          <w:sz w:val="32"/>
          <w:szCs w:val="32"/>
          <w:highlight w:val="none"/>
        </w:rPr>
        <w:t>2.1.1建设地点：常州市新北区龙江北路以西、赣江路以北；玉龙路以东、赣江路以北</w:t>
      </w:r>
      <w:r>
        <w:rPr>
          <w:rFonts w:hint="eastAsia" w:ascii="仿宋_GB2312" w:hAnsi="仿宋_GB2312" w:eastAsia="仿宋_GB2312" w:cs="仿宋_GB2312"/>
          <w:color w:val="auto"/>
          <w:kern w:val="0"/>
          <w:sz w:val="32"/>
          <w:szCs w:val="32"/>
          <w:highlight w:val="none"/>
          <w:u w:val="none"/>
        </w:rPr>
        <w:t>。</w:t>
      </w:r>
    </w:p>
    <w:p w14:paraId="3BF284A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2.1.</w:t>
      </w:r>
      <w:r>
        <w:rPr>
          <w:rFonts w:hint="eastAsia" w:ascii="仿宋_GB2312" w:hAnsi="仿宋_GB2312" w:eastAsia="仿宋_GB2312" w:cs="仿宋_GB2312"/>
          <w:bCs/>
          <w:color w:val="auto"/>
          <w:sz w:val="32"/>
          <w:szCs w:val="32"/>
          <w:highlight w:val="none"/>
          <w:u w:val="none"/>
          <w:lang w:val="en-US" w:eastAsia="zh-CN"/>
        </w:rPr>
        <w:t>2</w:t>
      </w:r>
      <w:r>
        <w:rPr>
          <w:rFonts w:hint="eastAsia" w:ascii="仿宋_GB2312" w:hAnsi="仿宋_GB2312" w:eastAsia="仿宋_GB2312" w:cs="仿宋_GB2312"/>
          <w:bCs/>
          <w:color w:val="auto"/>
          <w:sz w:val="32"/>
          <w:szCs w:val="32"/>
          <w:highlight w:val="none"/>
          <w:u w:val="none"/>
        </w:rPr>
        <w:t>本标段合同估算价：</w:t>
      </w:r>
      <w:r>
        <w:rPr>
          <w:rFonts w:hint="eastAsia" w:ascii="仿宋_GB2312" w:hAnsi="仿宋_GB2312" w:eastAsia="仿宋_GB2312" w:cs="仿宋_GB2312"/>
          <w:bCs/>
          <w:color w:val="auto"/>
          <w:sz w:val="32"/>
          <w:szCs w:val="32"/>
          <w:highlight w:val="none"/>
          <w:u w:val="none"/>
          <w:lang w:val="en-US" w:eastAsia="zh-CN"/>
        </w:rPr>
        <w:t>含税价567700</w:t>
      </w:r>
      <w:r>
        <w:rPr>
          <w:rFonts w:hint="eastAsia" w:ascii="仿宋_GB2312" w:hAnsi="仿宋_GB2312" w:eastAsia="仿宋_GB2312" w:cs="仿宋_GB2312"/>
          <w:bCs/>
          <w:color w:val="auto"/>
          <w:sz w:val="32"/>
          <w:szCs w:val="32"/>
          <w:highlight w:val="none"/>
          <w:u w:val="none"/>
          <w:lang w:eastAsia="zh-CN"/>
        </w:rPr>
        <w:t>元；</w:t>
      </w:r>
      <w:r>
        <w:rPr>
          <w:rFonts w:hint="eastAsia" w:ascii="仿宋_GB2312" w:hAnsi="仿宋_GB2312" w:eastAsia="仿宋_GB2312" w:cs="仿宋_GB2312"/>
          <w:bCs/>
          <w:color w:val="auto"/>
          <w:sz w:val="32"/>
          <w:szCs w:val="32"/>
          <w:highlight w:val="none"/>
          <w:u w:val="none"/>
          <w:lang w:val="en-US" w:eastAsia="zh-CN"/>
        </w:rPr>
        <w:t>不含税价502389.38元，税率13%</w:t>
      </w:r>
      <w:r>
        <w:rPr>
          <w:rFonts w:hint="eastAsia" w:ascii="仿宋_GB2312" w:hAnsi="仿宋_GB2312" w:eastAsia="仿宋_GB2312" w:cs="仿宋_GB2312"/>
          <w:bCs/>
          <w:color w:val="auto"/>
          <w:sz w:val="32"/>
          <w:szCs w:val="32"/>
          <w:highlight w:val="none"/>
          <w:u w:val="none"/>
          <w:lang w:eastAsia="zh-CN"/>
        </w:rPr>
        <w:t>。</w:t>
      </w:r>
    </w:p>
    <w:p w14:paraId="23889EE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2.1.</w:t>
      </w:r>
      <w:r>
        <w:rPr>
          <w:rFonts w:hint="eastAsia" w:ascii="仿宋_GB2312" w:hAnsi="仿宋_GB2312" w:eastAsia="仿宋_GB2312" w:cs="仿宋_GB2312"/>
          <w:bCs/>
          <w:color w:val="auto"/>
          <w:sz w:val="32"/>
          <w:szCs w:val="32"/>
          <w:highlight w:val="none"/>
          <w:u w:val="none"/>
          <w:lang w:val="en-US" w:eastAsia="zh-CN"/>
        </w:rPr>
        <w:t>3合同履行期限</w:t>
      </w:r>
      <w:r>
        <w:rPr>
          <w:rFonts w:hint="eastAsia" w:ascii="仿宋_GB2312" w:hAnsi="仿宋_GB2312" w:eastAsia="仿宋_GB2312" w:cs="仿宋_GB2312"/>
          <w:bCs/>
          <w:color w:val="auto"/>
          <w:sz w:val="32"/>
          <w:szCs w:val="32"/>
          <w:highlight w:val="none"/>
          <w:u w:val="none"/>
        </w:rPr>
        <w:t>：合同签订完成并接到</w:t>
      </w:r>
      <w:r>
        <w:rPr>
          <w:rFonts w:hint="eastAsia" w:ascii="仿宋_GB2312" w:hAnsi="仿宋_GB2312" w:eastAsia="仿宋_GB2312" w:cs="仿宋_GB2312"/>
          <w:bCs/>
          <w:color w:val="auto"/>
          <w:sz w:val="32"/>
          <w:szCs w:val="32"/>
          <w:highlight w:val="none"/>
          <w:u w:val="none"/>
          <w:lang w:val="en-US" w:eastAsia="zh-CN"/>
        </w:rPr>
        <w:t>招标</w:t>
      </w:r>
      <w:r>
        <w:rPr>
          <w:rFonts w:hint="eastAsia" w:ascii="仿宋_GB2312" w:hAnsi="仿宋_GB2312" w:eastAsia="仿宋_GB2312" w:cs="仿宋_GB2312"/>
          <w:bCs/>
          <w:color w:val="auto"/>
          <w:sz w:val="32"/>
          <w:szCs w:val="32"/>
          <w:highlight w:val="none"/>
          <w:u w:val="none"/>
        </w:rPr>
        <w:t>人通知后</w:t>
      </w:r>
      <w:r>
        <w:rPr>
          <w:rFonts w:hint="eastAsia" w:ascii="仿宋_GB2312" w:hAnsi="仿宋_GB2312" w:eastAsia="仿宋_GB2312" w:cs="仿宋_GB2312"/>
          <w:bCs/>
          <w:color w:val="auto"/>
          <w:sz w:val="32"/>
          <w:szCs w:val="32"/>
          <w:highlight w:val="none"/>
          <w:u w:val="none"/>
          <w:lang w:val="en-US" w:eastAsia="zh-CN"/>
        </w:rPr>
        <w:t>10</w:t>
      </w:r>
      <w:r>
        <w:rPr>
          <w:rFonts w:hint="eastAsia" w:ascii="仿宋_GB2312" w:hAnsi="仿宋_GB2312" w:eastAsia="仿宋_GB2312" w:cs="仿宋_GB2312"/>
          <w:bCs/>
          <w:color w:val="auto"/>
          <w:sz w:val="32"/>
          <w:szCs w:val="32"/>
          <w:highlight w:val="none"/>
          <w:u w:val="none"/>
        </w:rPr>
        <w:t>天内完成供货及安装调试</w:t>
      </w:r>
      <w:r>
        <w:rPr>
          <w:rFonts w:hint="eastAsia" w:ascii="仿宋_GB2312" w:hAnsi="仿宋_GB2312" w:eastAsia="仿宋_GB2312" w:cs="仿宋_GB2312"/>
          <w:bCs/>
          <w:color w:val="auto"/>
          <w:sz w:val="32"/>
          <w:szCs w:val="32"/>
          <w:highlight w:val="none"/>
          <w:u w:val="none"/>
          <w:lang w:val="en-US" w:eastAsia="zh-CN"/>
        </w:rPr>
        <w:t>。</w:t>
      </w:r>
    </w:p>
    <w:p w14:paraId="745B548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2.2招标范围</w:t>
      </w:r>
      <w:r>
        <w:rPr>
          <w:rFonts w:hint="eastAsia" w:ascii="仿宋_GB2312" w:hAnsi="仿宋_GB2312" w:eastAsia="仿宋_GB2312" w:cs="仿宋_GB2312"/>
          <w:bCs/>
          <w:color w:val="auto"/>
          <w:sz w:val="32"/>
          <w:szCs w:val="32"/>
          <w:highlight w:val="none"/>
          <w:u w:val="none"/>
          <w:lang w:val="en-US" w:eastAsia="zh-CN"/>
        </w:rPr>
        <w:t>：包括但不限于：货物的制造（采购）、设备（包括备品备件、专用工具）、技术资料、设计、运输、装卸、安装、调试、测试、售后服务等，直至通过验收以及质量保修、免费维保等全部工作</w:t>
      </w:r>
      <w:r>
        <w:rPr>
          <w:rFonts w:hint="eastAsia" w:ascii="仿宋_GB2312" w:hAnsi="仿宋_GB2312" w:eastAsia="仿宋_GB2312" w:cs="仿宋_GB2312"/>
          <w:color w:val="auto"/>
          <w:kern w:val="0"/>
          <w:sz w:val="32"/>
          <w:szCs w:val="32"/>
          <w:highlight w:val="none"/>
          <w:u w:val="none"/>
          <w:lang w:val="en-US" w:eastAsia="zh-CN"/>
        </w:rPr>
        <w:t>。</w:t>
      </w:r>
    </w:p>
    <w:p w14:paraId="462BDAE8">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三、投标人资格条件</w:t>
      </w:r>
    </w:p>
    <w:p w14:paraId="240D97A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3.1投标人须具备</w:t>
      </w:r>
      <w:r>
        <w:rPr>
          <w:rFonts w:hint="eastAsia" w:ascii="仿宋_GB2312" w:hAnsi="仿宋_GB2312" w:eastAsia="仿宋_GB2312" w:cs="仿宋_GB2312"/>
          <w:color w:val="auto"/>
          <w:kern w:val="0"/>
          <w:sz w:val="32"/>
          <w:szCs w:val="32"/>
          <w:highlight w:val="none"/>
          <w:u w:val="single"/>
          <w:lang w:val="en-US" w:eastAsia="zh-CN"/>
        </w:rPr>
        <w:t>有效营业执照</w:t>
      </w:r>
      <w:r>
        <w:rPr>
          <w:rFonts w:hint="eastAsia" w:ascii="仿宋_GB2312" w:hAnsi="仿宋_GB2312" w:eastAsia="仿宋_GB2312" w:cs="仿宋_GB2312"/>
          <w:color w:val="auto"/>
          <w:kern w:val="0"/>
          <w:sz w:val="32"/>
          <w:szCs w:val="32"/>
          <w:highlight w:val="none"/>
        </w:rPr>
        <w:t>。</w:t>
      </w:r>
    </w:p>
    <w:p w14:paraId="3AC8E2E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3.2投标人拟派</w:t>
      </w:r>
      <w:r>
        <w:rPr>
          <w:rFonts w:hint="eastAsia" w:ascii="仿宋_GB2312" w:hAnsi="仿宋_GB2312" w:eastAsia="仿宋_GB2312" w:cs="仿宋_GB2312"/>
          <w:color w:val="auto"/>
          <w:kern w:val="0"/>
          <w:sz w:val="32"/>
          <w:szCs w:val="32"/>
          <w:highlight w:val="none"/>
          <w:lang w:val="en-US" w:eastAsia="zh-CN"/>
        </w:rPr>
        <w:t>一名</w:t>
      </w:r>
      <w:r>
        <w:rPr>
          <w:rFonts w:hint="eastAsia" w:ascii="仿宋_GB2312" w:hAnsi="仿宋_GB2312" w:eastAsia="仿宋_GB2312" w:cs="仿宋_GB2312"/>
          <w:color w:val="auto"/>
          <w:kern w:val="0"/>
          <w:sz w:val="32"/>
          <w:szCs w:val="32"/>
          <w:highlight w:val="none"/>
        </w:rPr>
        <w:t>项目负责人。</w:t>
      </w:r>
    </w:p>
    <w:p w14:paraId="2148833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3.3</w:t>
      </w:r>
      <w:r>
        <w:rPr>
          <w:rFonts w:hint="eastAsia" w:ascii="仿宋_GB2312" w:hAnsi="仿宋_GB2312" w:eastAsia="仿宋_GB2312" w:cs="仿宋_GB2312"/>
          <w:color w:val="auto"/>
          <w:kern w:val="0"/>
          <w:sz w:val="32"/>
          <w:szCs w:val="32"/>
          <w:highlight w:val="none"/>
        </w:rPr>
        <w:t>本次招标</w:t>
      </w:r>
      <w:r>
        <w:rPr>
          <w:rFonts w:hint="eastAsia" w:ascii="仿宋_GB2312" w:hAnsi="仿宋_GB2312" w:eastAsia="仿宋_GB2312" w:cs="仿宋_GB2312"/>
          <w:color w:val="auto"/>
          <w:kern w:val="0"/>
          <w:sz w:val="32"/>
          <w:szCs w:val="32"/>
          <w:highlight w:val="none"/>
          <w:u w:val="single"/>
          <w:lang w:val="en-US" w:eastAsia="zh-CN"/>
        </w:rPr>
        <w:t>不</w:t>
      </w:r>
      <w:r>
        <w:rPr>
          <w:rFonts w:hint="eastAsia" w:ascii="仿宋_GB2312" w:hAnsi="仿宋_GB2312" w:eastAsia="仿宋_GB2312" w:cs="仿宋_GB2312"/>
          <w:color w:val="auto"/>
          <w:kern w:val="0"/>
          <w:sz w:val="32"/>
          <w:szCs w:val="32"/>
          <w:highlight w:val="none"/>
          <w:u w:val="single"/>
        </w:rPr>
        <w:t>接受</w:t>
      </w:r>
      <w:r>
        <w:rPr>
          <w:rFonts w:hint="eastAsia" w:ascii="仿宋_GB2312" w:hAnsi="仿宋_GB2312" w:eastAsia="仿宋_GB2312" w:cs="仿宋_GB2312"/>
          <w:color w:val="auto"/>
          <w:kern w:val="0"/>
          <w:sz w:val="32"/>
          <w:szCs w:val="32"/>
          <w:highlight w:val="none"/>
        </w:rPr>
        <w:t>（接受/不接受）联合体投标。</w:t>
      </w:r>
    </w:p>
    <w:p w14:paraId="1553924B">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四、招标文件的获取</w:t>
      </w:r>
    </w:p>
    <w:p w14:paraId="6B72269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4.1招标文件获取时间为：</w:t>
      </w:r>
      <w:r>
        <w:rPr>
          <w:rFonts w:hint="eastAsia" w:ascii="仿宋_GB2312" w:hAnsi="仿宋_GB2312" w:eastAsia="仿宋_GB2312" w:cs="仿宋_GB2312"/>
          <w:color w:val="auto"/>
          <w:kern w:val="0"/>
          <w:sz w:val="32"/>
          <w:szCs w:val="32"/>
          <w:highlight w:val="none"/>
          <w:lang w:eastAsia="zh-CN"/>
        </w:rPr>
        <w:t>2025年</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lang w:eastAsia="zh-CN"/>
        </w:rPr>
        <w:t>日至2025年</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13</w:t>
      </w:r>
      <w:r>
        <w:rPr>
          <w:rFonts w:hint="eastAsia" w:ascii="仿宋_GB2312" w:hAnsi="仿宋_GB2312" w:eastAsia="仿宋_GB2312" w:cs="仿宋_GB2312"/>
          <w:color w:val="auto"/>
          <w:kern w:val="0"/>
          <w:sz w:val="32"/>
          <w:szCs w:val="32"/>
          <w:highlight w:val="none"/>
          <w:lang w:eastAsia="zh-CN"/>
        </w:rPr>
        <w:t>日17：00</w:t>
      </w:r>
      <w:r>
        <w:rPr>
          <w:rFonts w:hint="eastAsia" w:ascii="仿宋_GB2312" w:hAnsi="仿宋_GB2312" w:eastAsia="仿宋_GB2312" w:cs="仿宋_GB2312"/>
          <w:color w:val="auto"/>
          <w:kern w:val="0"/>
          <w:sz w:val="32"/>
          <w:szCs w:val="32"/>
          <w:highlight w:val="none"/>
        </w:rPr>
        <w:t>；</w:t>
      </w:r>
    </w:p>
    <w:p w14:paraId="284E9E5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4.2招标文件获取方式：</w:t>
      </w:r>
    </w:p>
    <w:p w14:paraId="54D9B75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投标人首先应注册成为E交易平台网站会员，详见会员操作指南。</w:t>
      </w:r>
    </w:p>
    <w:p w14:paraId="7FD421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投标人按系统提示交纳相关费用后在规定的报名时间内下载招标文件。</w:t>
      </w:r>
    </w:p>
    <w:p w14:paraId="5A1EE3B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相关费用：</w:t>
      </w:r>
    </w:p>
    <w:p w14:paraId="20DD535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招标文件资料费：人民币300元整。</w:t>
      </w:r>
    </w:p>
    <w:p w14:paraId="11B19CB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招标文件资料费发票由代理机构开具；开票方式：开标后10日内至江苏城建校工程咨询有限公司（清潭路85-2号307财务室）开取发票。开票联系方式：0519-88163189</w:t>
      </w:r>
      <w:r>
        <w:rPr>
          <w:rFonts w:hint="eastAsia" w:ascii="仿宋_GB2312" w:hAnsi="仿宋_GB2312" w:eastAsia="仿宋_GB2312" w:cs="仿宋_GB2312"/>
          <w:color w:val="auto"/>
          <w:kern w:val="0"/>
          <w:sz w:val="32"/>
          <w:szCs w:val="32"/>
          <w:highlight w:val="none"/>
          <w:lang w:eastAsia="zh-CN"/>
        </w:rPr>
        <w:t>。</w:t>
      </w:r>
    </w:p>
    <w:p w14:paraId="757E22D4">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平台服务费：由中标人按E交易系统提示操作。平台服务费收款单位：江苏易交易信息科技有限公司，发票由江苏易交易信息科技有限公司开具。</w:t>
      </w:r>
    </w:p>
    <w:p w14:paraId="462CED5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072FFC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下载者首次</w:t>
      </w:r>
      <w:r>
        <w:rPr>
          <w:rFonts w:hint="eastAsia" w:ascii="仿宋_GB2312" w:hAnsi="仿宋_GB2312" w:eastAsia="仿宋_GB2312" w:cs="仿宋_GB2312"/>
          <w:color w:val="auto"/>
          <w:kern w:val="0"/>
          <w:sz w:val="32"/>
          <w:szCs w:val="32"/>
          <w:highlight w:val="none"/>
          <w:lang w:val="en-US" w:eastAsia="zh-CN"/>
        </w:rPr>
        <w:t>登录</w:t>
      </w:r>
      <w:r>
        <w:rPr>
          <w:rFonts w:hint="eastAsia" w:ascii="仿宋_GB2312" w:hAnsi="仿宋_GB2312" w:eastAsia="仿宋_GB2312" w:cs="仿宋_GB2312"/>
          <w:color w:val="auto"/>
          <w:kern w:val="0"/>
          <w:sz w:val="32"/>
          <w:szCs w:val="32"/>
          <w:highlight w:val="none"/>
        </w:rPr>
        <w:t>平台前，须前往平台免费注册，注册成功且完善相关信息后，可以及时参与平台上所有发布的项目；</w:t>
      </w:r>
    </w:p>
    <w:p w14:paraId="5AACB43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平台网站首页“帮助中心”提供操作手册，下载者可以下载并根据操作手册提示进行注册、登录等操作。平台咨询电话为：400-828-9082。平台会通过短信提醒下载者进行注册、支付、下载等操作；</w:t>
      </w:r>
    </w:p>
    <w:p w14:paraId="7A22440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非因代理机构或平台原因，发票一经开具不予退换。</w:t>
      </w:r>
    </w:p>
    <w:p w14:paraId="754492BD">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五、投标截止时间</w:t>
      </w:r>
    </w:p>
    <w:p w14:paraId="68C155AB">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5.1投标截止时间为：</w:t>
      </w:r>
      <w:r>
        <w:rPr>
          <w:rFonts w:hint="eastAsia" w:ascii="仿宋_GB2312" w:hAnsi="仿宋_GB2312" w:eastAsia="仿宋_GB2312" w:cs="仿宋_GB2312"/>
          <w:bCs/>
          <w:color w:val="auto"/>
          <w:kern w:val="0"/>
          <w:sz w:val="32"/>
          <w:szCs w:val="32"/>
          <w:highlight w:val="none"/>
          <w:u w:val="single"/>
          <w:lang w:eastAsia="zh-CN"/>
        </w:rPr>
        <w:t>2025年</w:t>
      </w:r>
      <w:r>
        <w:rPr>
          <w:rFonts w:hint="eastAsia" w:ascii="仿宋_GB2312" w:hAnsi="仿宋_GB2312" w:eastAsia="仿宋_GB2312" w:cs="仿宋_GB2312"/>
          <w:bCs/>
          <w:color w:val="auto"/>
          <w:kern w:val="0"/>
          <w:sz w:val="32"/>
          <w:szCs w:val="32"/>
          <w:highlight w:val="none"/>
          <w:u w:val="single"/>
          <w:lang w:val="en-US" w:eastAsia="zh-CN"/>
        </w:rPr>
        <w:t>10</w:t>
      </w:r>
      <w:r>
        <w:rPr>
          <w:rFonts w:hint="eastAsia" w:ascii="仿宋_GB2312" w:hAnsi="仿宋_GB2312" w:eastAsia="仿宋_GB2312" w:cs="仿宋_GB2312"/>
          <w:bCs/>
          <w:color w:val="auto"/>
          <w:kern w:val="0"/>
          <w:sz w:val="32"/>
          <w:szCs w:val="32"/>
          <w:highlight w:val="none"/>
          <w:u w:val="single"/>
          <w:lang w:eastAsia="zh-CN"/>
        </w:rPr>
        <w:t>月</w:t>
      </w:r>
      <w:r>
        <w:rPr>
          <w:rFonts w:hint="eastAsia" w:ascii="仿宋_GB2312" w:hAnsi="仿宋_GB2312" w:eastAsia="仿宋_GB2312" w:cs="仿宋_GB2312"/>
          <w:bCs/>
          <w:color w:val="auto"/>
          <w:kern w:val="0"/>
          <w:sz w:val="32"/>
          <w:szCs w:val="32"/>
          <w:highlight w:val="none"/>
          <w:u w:val="single"/>
          <w:lang w:val="en-US" w:eastAsia="zh-CN"/>
        </w:rPr>
        <w:t>29</w:t>
      </w:r>
      <w:r>
        <w:rPr>
          <w:rFonts w:hint="eastAsia" w:ascii="仿宋_GB2312" w:hAnsi="仿宋_GB2312" w:eastAsia="仿宋_GB2312" w:cs="仿宋_GB2312"/>
          <w:bCs/>
          <w:color w:val="auto"/>
          <w:kern w:val="0"/>
          <w:sz w:val="32"/>
          <w:szCs w:val="32"/>
          <w:highlight w:val="none"/>
          <w:u w:val="single"/>
          <w:lang w:eastAsia="zh-CN"/>
        </w:rPr>
        <w:t>日14时</w:t>
      </w:r>
      <w:r>
        <w:rPr>
          <w:rFonts w:hint="eastAsia" w:ascii="仿宋_GB2312" w:hAnsi="仿宋_GB2312" w:eastAsia="仿宋_GB2312" w:cs="仿宋_GB2312"/>
          <w:bCs/>
          <w:color w:val="auto"/>
          <w:kern w:val="0"/>
          <w:sz w:val="32"/>
          <w:szCs w:val="32"/>
          <w:highlight w:val="none"/>
          <w:u w:val="single"/>
          <w:lang w:val="en-US" w:eastAsia="zh-CN"/>
        </w:rPr>
        <w:t>0</w:t>
      </w:r>
      <w:r>
        <w:rPr>
          <w:rFonts w:hint="eastAsia" w:ascii="仿宋_GB2312" w:hAnsi="仿宋_GB2312" w:eastAsia="仿宋_GB2312" w:cs="仿宋_GB2312"/>
          <w:bCs/>
          <w:color w:val="auto"/>
          <w:kern w:val="0"/>
          <w:sz w:val="32"/>
          <w:szCs w:val="32"/>
          <w:highlight w:val="none"/>
          <w:u w:val="single"/>
          <w:lang w:eastAsia="zh-CN"/>
        </w:rPr>
        <w:t>0分（北京时间）</w:t>
      </w:r>
      <w:r>
        <w:rPr>
          <w:rFonts w:hint="eastAsia" w:ascii="仿宋_GB2312" w:hAnsi="仿宋_GB2312" w:eastAsia="仿宋_GB2312" w:cs="仿宋_GB2312"/>
          <w:bCs/>
          <w:color w:val="auto"/>
          <w:kern w:val="0"/>
          <w:sz w:val="32"/>
          <w:szCs w:val="32"/>
          <w:highlight w:val="none"/>
        </w:rPr>
        <w:t>。</w:t>
      </w:r>
    </w:p>
    <w:p w14:paraId="12386A13">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5.2地点：常州市木梳路12号（江苏城乡建设职业学院清潭校区院内2号楼5楼</w:t>
      </w:r>
      <w:r>
        <w:rPr>
          <w:rFonts w:hint="eastAsia" w:ascii="仿宋_GB2312" w:hAnsi="仿宋_GB2312" w:eastAsia="仿宋_GB2312" w:cs="仿宋_GB2312"/>
          <w:bCs/>
          <w:color w:val="auto"/>
          <w:kern w:val="0"/>
          <w:sz w:val="32"/>
          <w:szCs w:val="32"/>
          <w:highlight w:val="none"/>
          <w:lang w:val="en-US" w:eastAsia="zh-CN"/>
        </w:rPr>
        <w:t>开标</w:t>
      </w:r>
      <w:r>
        <w:rPr>
          <w:rFonts w:hint="eastAsia" w:ascii="仿宋_GB2312" w:hAnsi="仿宋_GB2312" w:eastAsia="仿宋_GB2312" w:cs="仿宋_GB2312"/>
          <w:bCs/>
          <w:color w:val="auto"/>
          <w:kern w:val="0"/>
          <w:sz w:val="32"/>
          <w:szCs w:val="32"/>
          <w:highlight w:val="none"/>
        </w:rPr>
        <w:t xml:space="preserve">室）。 </w:t>
      </w:r>
    </w:p>
    <w:p w14:paraId="07BAA67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bCs/>
          <w:color w:val="auto"/>
          <w:sz w:val="32"/>
          <w:szCs w:val="32"/>
          <w:highlight w:val="none"/>
        </w:rPr>
      </w:pPr>
      <w:r>
        <w:rPr>
          <w:rFonts w:hint="eastAsia" w:ascii="黑体" w:hAnsi="宋体" w:eastAsia="黑体" w:cs="黑体"/>
          <w:bCs/>
          <w:color w:val="auto"/>
          <w:sz w:val="32"/>
          <w:szCs w:val="32"/>
          <w:highlight w:val="none"/>
          <w:lang w:bidi="ar"/>
        </w:rPr>
        <w:t>六、资格审查</w:t>
      </w:r>
      <w:r>
        <w:rPr>
          <w:rFonts w:hint="eastAsia" w:ascii="仿宋_GB2312" w:hAnsi="仿宋_GB2312" w:eastAsia="仿宋_GB2312" w:cs="仿宋_GB2312"/>
          <w:b/>
          <w:bCs/>
          <w:color w:val="auto"/>
          <w:sz w:val="32"/>
          <w:szCs w:val="32"/>
          <w:highlight w:val="none"/>
        </w:rPr>
        <w:t xml:space="preserve"> </w:t>
      </w:r>
    </w:p>
    <w:p w14:paraId="0A38234B">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b/>
          <w:color w:val="auto"/>
          <w:kern w:val="0"/>
          <w:sz w:val="32"/>
          <w:szCs w:val="32"/>
          <w:highlight w:val="none"/>
          <w:u w:val="single"/>
        </w:rPr>
        <w:t>资格后审（</w:t>
      </w:r>
      <w:r>
        <w:rPr>
          <w:rFonts w:hint="eastAsia" w:ascii="仿宋_GB2312" w:hAnsi="仿宋_GB2312" w:eastAsia="仿宋_GB2312" w:cs="仿宋_GB2312"/>
          <w:b/>
          <w:color w:val="auto"/>
          <w:kern w:val="0"/>
          <w:sz w:val="32"/>
          <w:szCs w:val="32"/>
          <w:highlight w:val="none"/>
          <w:u w:val="single"/>
          <w:lang w:eastAsia="zh-CN"/>
        </w:rPr>
        <w:t>见面开标</w:t>
      </w:r>
      <w:r>
        <w:rPr>
          <w:rFonts w:hint="eastAsia" w:ascii="仿宋_GB2312" w:hAnsi="仿宋_GB2312" w:eastAsia="仿宋_GB2312" w:cs="仿宋_GB2312"/>
          <w:b/>
          <w:color w:val="auto"/>
          <w:kern w:val="0"/>
          <w:sz w:val="32"/>
          <w:szCs w:val="32"/>
          <w:highlight w:val="none"/>
          <w:u w:val="single"/>
        </w:rPr>
        <w:t>）</w:t>
      </w:r>
      <w:r>
        <w:rPr>
          <w:rFonts w:hint="eastAsia" w:ascii="仿宋_GB2312" w:hAnsi="仿宋_GB2312" w:eastAsia="仿宋_GB2312" w:cs="仿宋_GB2312"/>
          <w:bCs/>
          <w:color w:val="auto"/>
          <w:kern w:val="0"/>
          <w:sz w:val="32"/>
          <w:szCs w:val="32"/>
          <w:highlight w:val="none"/>
        </w:rPr>
        <w:t>方式进行资格审查，资格评审标准详见本招标公告附件一资格审查办法。</w:t>
      </w:r>
    </w:p>
    <w:p w14:paraId="564E2DD6">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七、评标办法</w:t>
      </w:r>
    </w:p>
    <w:p w14:paraId="2405A9C2">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综合评估法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合理低价法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经评审的最低投标价法</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kern w:val="0"/>
          <w:sz w:val="32"/>
          <w:szCs w:val="32"/>
          <w:highlight w:val="none"/>
        </w:rPr>
        <w:t xml:space="preserve">评标标准和方法详见本招标公告附件二。 </w:t>
      </w:r>
    </w:p>
    <w:p w14:paraId="5D4AF001">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八、发布公告的媒介</w:t>
      </w:r>
    </w:p>
    <w:p w14:paraId="42EF3D17">
      <w:pPr>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本次招标公告同时在常州高新区管委会</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新北区人民政府</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网站、E交易平台网站、江苏城建校工程咨询网上发布。</w:t>
      </w:r>
    </w:p>
    <w:p w14:paraId="24EC6271">
      <w:pPr>
        <w:keepNext w:val="0"/>
        <w:keepLines w:val="0"/>
        <w:pageBreakBefore w:val="0"/>
        <w:kinsoku/>
        <w:wordWrap/>
        <w:overflowPunct/>
        <w:topLinePunct w:val="0"/>
        <w:bidi w:val="0"/>
        <w:spacing w:line="560" w:lineRule="exact"/>
        <w:ind w:left="0" w:leftChars="0" w:right="0" w:rightChars="0" w:firstLine="640" w:firstLineChars="200"/>
        <w:rPr>
          <w:rFonts w:ascii="宋体" w:hAnsi="宋体" w:cs="宋体"/>
          <w:color w:val="auto"/>
          <w:kern w:val="0"/>
          <w:sz w:val="24"/>
          <w:highlight w:val="none"/>
        </w:rPr>
      </w:pPr>
      <w:r>
        <w:rPr>
          <w:rFonts w:hint="eastAsia" w:ascii="黑体" w:hAnsi="宋体" w:eastAsia="黑体" w:cs="黑体"/>
          <w:bCs/>
          <w:color w:val="auto"/>
          <w:sz w:val="32"/>
          <w:szCs w:val="32"/>
          <w:highlight w:val="none"/>
          <w:lang w:bidi="ar"/>
        </w:rPr>
        <w:t xml:space="preserve">九、联系方式 </w:t>
      </w:r>
      <w:r>
        <w:rPr>
          <w:rFonts w:hint="eastAsia" w:ascii="宋体" w:hAnsi="宋体" w:cs="宋体"/>
          <w:color w:val="auto"/>
          <w:kern w:val="0"/>
          <w:sz w:val="24"/>
          <w:highlight w:val="none"/>
        </w:rPr>
        <w:t xml:space="preserve">                      </w:t>
      </w:r>
    </w:p>
    <w:tbl>
      <w:tblPr>
        <w:tblStyle w:val="15"/>
        <w:tblW w:w="10031" w:type="dxa"/>
        <w:tblInd w:w="0" w:type="dxa"/>
        <w:tblLayout w:type="autofit"/>
        <w:tblCellMar>
          <w:top w:w="0" w:type="dxa"/>
          <w:left w:w="108" w:type="dxa"/>
          <w:bottom w:w="0" w:type="dxa"/>
          <w:right w:w="108" w:type="dxa"/>
        </w:tblCellMar>
      </w:tblPr>
      <w:tblGrid>
        <w:gridCol w:w="4558"/>
        <w:gridCol w:w="5473"/>
      </w:tblGrid>
      <w:tr w14:paraId="286D51F0">
        <w:tblPrEx>
          <w:tblCellMar>
            <w:top w:w="0" w:type="dxa"/>
            <w:left w:w="108" w:type="dxa"/>
            <w:bottom w:w="0" w:type="dxa"/>
            <w:right w:w="108" w:type="dxa"/>
          </w:tblCellMar>
        </w:tblPrEx>
        <w:trPr>
          <w:trHeight w:val="454" w:hRule="atLeast"/>
        </w:trPr>
        <w:tc>
          <w:tcPr>
            <w:tcW w:w="4558" w:type="dxa"/>
            <w:noWrap w:val="0"/>
            <w:vAlign w:val="top"/>
          </w:tcPr>
          <w:p w14:paraId="7FB8A1B2">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招标人：</w:t>
            </w:r>
            <w:r>
              <w:rPr>
                <w:rFonts w:hint="eastAsia" w:ascii="仿宋_GB2312" w:hAnsi="仿宋_GB2312" w:eastAsia="仿宋_GB2312" w:cs="仿宋_GB2312"/>
                <w:bCs/>
                <w:color w:val="auto"/>
                <w:sz w:val="32"/>
                <w:szCs w:val="32"/>
                <w:highlight w:val="none"/>
                <w:lang w:eastAsia="zh-CN" w:bidi="ar"/>
              </w:rPr>
              <w:t>常州上鸿科技服务有限公司</w:t>
            </w:r>
          </w:p>
        </w:tc>
        <w:tc>
          <w:tcPr>
            <w:tcW w:w="5473" w:type="dxa"/>
            <w:noWrap w:val="0"/>
            <w:vAlign w:val="top"/>
          </w:tcPr>
          <w:p w14:paraId="2C805F66">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招标代理机构：</w:t>
            </w:r>
            <w:r>
              <w:rPr>
                <w:rFonts w:hint="eastAsia" w:ascii="仿宋_GB2312" w:hAnsi="仿宋_GB2312" w:eastAsia="仿宋_GB2312" w:cs="仿宋_GB2312"/>
                <w:bCs/>
                <w:color w:val="auto"/>
                <w:sz w:val="32"/>
                <w:szCs w:val="32"/>
                <w:highlight w:val="none"/>
                <w:lang w:eastAsia="zh-CN" w:bidi="ar"/>
              </w:rPr>
              <w:t>江苏城建校工程咨询有限公司</w:t>
            </w:r>
          </w:p>
        </w:tc>
      </w:tr>
      <w:tr w14:paraId="2CA2EADD">
        <w:tblPrEx>
          <w:tblCellMar>
            <w:top w:w="0" w:type="dxa"/>
            <w:left w:w="108" w:type="dxa"/>
            <w:bottom w:w="0" w:type="dxa"/>
            <w:right w:w="108" w:type="dxa"/>
          </w:tblCellMar>
        </w:tblPrEx>
        <w:trPr>
          <w:trHeight w:val="454" w:hRule="atLeast"/>
        </w:trPr>
        <w:tc>
          <w:tcPr>
            <w:tcW w:w="4558" w:type="dxa"/>
            <w:noWrap w:val="0"/>
            <w:vAlign w:val="top"/>
          </w:tcPr>
          <w:p w14:paraId="3D3658EF">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sz w:val="32"/>
                <w:szCs w:val="32"/>
                <w:highlight w:val="none"/>
                <w:lang w:eastAsia="zh-CN" w:bidi="ar"/>
              </w:rPr>
              <w:t>常州市新北区东海路202号</w:t>
            </w:r>
          </w:p>
        </w:tc>
        <w:tc>
          <w:tcPr>
            <w:tcW w:w="5473" w:type="dxa"/>
            <w:noWrap w:val="0"/>
            <w:vAlign w:val="top"/>
          </w:tcPr>
          <w:p w14:paraId="519885DF">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地址：常州市清潭路85-2号302室</w:t>
            </w:r>
          </w:p>
        </w:tc>
      </w:tr>
      <w:tr w14:paraId="4C431DAB">
        <w:tblPrEx>
          <w:tblCellMar>
            <w:top w:w="0" w:type="dxa"/>
            <w:left w:w="108" w:type="dxa"/>
            <w:bottom w:w="0" w:type="dxa"/>
            <w:right w:w="108" w:type="dxa"/>
          </w:tblCellMar>
        </w:tblPrEx>
        <w:trPr>
          <w:trHeight w:val="467" w:hRule="atLeast"/>
        </w:trPr>
        <w:tc>
          <w:tcPr>
            <w:tcW w:w="4558" w:type="dxa"/>
            <w:noWrap w:val="0"/>
            <w:vAlign w:val="top"/>
          </w:tcPr>
          <w:p w14:paraId="716113D1">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eastAsia="zh-CN" w:bidi="ar"/>
              </w:rPr>
              <w:t>顾女士</w:t>
            </w:r>
          </w:p>
        </w:tc>
        <w:tc>
          <w:tcPr>
            <w:tcW w:w="5473" w:type="dxa"/>
            <w:noWrap w:val="0"/>
            <w:vAlign w:val="top"/>
          </w:tcPr>
          <w:p w14:paraId="3ABC14E6">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联系人：薛工</w:t>
            </w:r>
          </w:p>
        </w:tc>
      </w:tr>
      <w:tr w14:paraId="446F4779">
        <w:tblPrEx>
          <w:tblCellMar>
            <w:top w:w="0" w:type="dxa"/>
            <w:left w:w="108" w:type="dxa"/>
            <w:bottom w:w="0" w:type="dxa"/>
            <w:right w:w="108" w:type="dxa"/>
          </w:tblCellMar>
        </w:tblPrEx>
        <w:trPr>
          <w:trHeight w:val="454" w:hRule="atLeast"/>
        </w:trPr>
        <w:tc>
          <w:tcPr>
            <w:tcW w:w="4558" w:type="dxa"/>
            <w:noWrap w:val="0"/>
            <w:vAlign w:val="top"/>
          </w:tcPr>
          <w:p w14:paraId="1D7D5B40">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eastAsia="zh-CN" w:bidi="ar"/>
              </w:rPr>
              <w:t>0519-85582503</w:t>
            </w:r>
          </w:p>
        </w:tc>
        <w:tc>
          <w:tcPr>
            <w:tcW w:w="5473" w:type="dxa"/>
            <w:noWrap w:val="0"/>
            <w:vAlign w:val="top"/>
          </w:tcPr>
          <w:p w14:paraId="525FE5A2">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val="zh-CN" w:bidi="ar"/>
              </w:rPr>
              <w:t>0519-86908235-8</w:t>
            </w:r>
            <w:r>
              <w:rPr>
                <w:rFonts w:hint="eastAsia" w:ascii="仿宋_GB2312" w:hAnsi="仿宋_GB2312" w:eastAsia="仿宋_GB2312" w:cs="仿宋_GB2312"/>
                <w:bCs/>
                <w:color w:val="auto"/>
                <w:sz w:val="32"/>
                <w:szCs w:val="32"/>
                <w:highlight w:val="none"/>
                <w:lang w:bidi="ar"/>
              </w:rPr>
              <w:t>302</w:t>
            </w:r>
          </w:p>
        </w:tc>
      </w:tr>
    </w:tbl>
    <w:p w14:paraId="75076962">
      <w:pPr>
        <w:keepNext w:val="0"/>
        <w:keepLines w:val="0"/>
        <w:pageBreakBefore w:val="0"/>
        <w:kinsoku/>
        <w:wordWrap/>
        <w:overflowPunct/>
        <w:topLinePunct w:val="0"/>
        <w:bidi w:val="0"/>
        <w:spacing w:line="560" w:lineRule="exact"/>
        <w:ind w:left="0" w:leftChars="0" w:right="0" w:rightChars="0" w:firstLine="562" w:firstLineChars="200"/>
        <w:rPr>
          <w:rFonts w:ascii="宋体" w:hAnsi="宋体" w:cs="Arial"/>
          <w:b/>
          <w:bCs/>
          <w:color w:val="auto"/>
          <w:kern w:val="0"/>
          <w:sz w:val="28"/>
          <w:szCs w:val="28"/>
          <w:highlight w:val="none"/>
        </w:rPr>
      </w:pPr>
    </w:p>
    <w:p w14:paraId="326BA725">
      <w:pPr>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bookmarkStart w:id="0" w:name="_Toc522797139"/>
      <w:bookmarkStart w:id="1" w:name="_Toc32718"/>
      <w:bookmarkStart w:id="2" w:name="_Toc389065130"/>
      <w:r>
        <w:rPr>
          <w:rFonts w:hint="eastAsia" w:ascii="仿宋_GB2312" w:hAnsi="仿宋_GB2312" w:eastAsia="仿宋_GB2312" w:cs="仿宋_GB2312"/>
          <w:bCs/>
          <w:color w:val="auto"/>
          <w:sz w:val="32"/>
          <w:szCs w:val="32"/>
          <w:highlight w:val="none"/>
          <w:lang w:eastAsia="zh-CN" w:bidi="ar"/>
        </w:rPr>
        <w:t>友情提醒：</w:t>
      </w:r>
    </w:p>
    <w:bookmarkEnd w:id="0"/>
    <w:bookmarkEnd w:id="1"/>
    <w:bookmarkEnd w:id="2"/>
    <w:p w14:paraId="3D2B3B1B">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1．信息公布、招投标答疑:常州国家高新区管委会（新北区人民政府）网、</w:t>
      </w:r>
      <w:r>
        <w:rPr>
          <w:rFonts w:hint="eastAsia" w:ascii="仿宋_GB2312" w:hAnsi="仿宋_GB2312" w:eastAsia="仿宋_GB2312" w:cs="仿宋_GB2312"/>
          <w:bCs/>
          <w:color w:val="auto"/>
          <w:sz w:val="32"/>
          <w:szCs w:val="32"/>
          <w:highlight w:val="none"/>
          <w:lang w:bidi="ar"/>
        </w:rPr>
        <w:t>江苏城建校工程咨询网</w:t>
      </w:r>
      <w:r>
        <w:rPr>
          <w:rFonts w:hint="eastAsia" w:ascii="仿宋_GB2312" w:hAnsi="仿宋_GB2312" w:eastAsia="仿宋_GB2312" w:cs="仿宋_GB2312"/>
          <w:bCs/>
          <w:color w:val="auto"/>
          <w:sz w:val="32"/>
          <w:szCs w:val="32"/>
          <w:highlight w:val="none"/>
          <w:lang w:eastAsia="zh-CN" w:bidi="ar"/>
        </w:rPr>
        <w:t>、E交易网。</w:t>
      </w:r>
    </w:p>
    <w:p w14:paraId="6415661A">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２．投标人可在本公告发布网页的后续公告栏内查阅本次招投标的“公告发布、招标文件答疑澄清”等全部相关消息，因未能及时了解相关最新信息所引起的投标失误责任自负。</w:t>
      </w:r>
    </w:p>
    <w:p w14:paraId="0FD9F7CE">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３．投标人对招标公告及文件如有异议请联系招标人或招标代理机构。</w:t>
      </w:r>
    </w:p>
    <w:p w14:paraId="7301529E">
      <w:pPr>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501F14C7">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1</w:t>
      </w:r>
    </w:p>
    <w:p w14:paraId="6434F739">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资格审查办法（资格后审）</w:t>
      </w:r>
    </w:p>
    <w:p w14:paraId="2D22D6A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一、本工程由招标人委托的评标委员会采用</w:t>
      </w:r>
      <w:r>
        <w:rPr>
          <w:rFonts w:hint="eastAsia" w:ascii="黑体" w:hAnsi="宋体" w:eastAsia="黑体" w:cs="黑体"/>
          <w:bCs/>
          <w:color w:val="auto"/>
          <w:sz w:val="32"/>
          <w:szCs w:val="32"/>
          <w:highlight w:val="none"/>
          <w:u w:val="single"/>
          <w:lang w:bidi="ar"/>
        </w:rPr>
        <w:t xml:space="preserve"> 资格后审 </w:t>
      </w:r>
      <w:r>
        <w:rPr>
          <w:rFonts w:hint="eastAsia" w:ascii="黑体" w:hAnsi="宋体" w:eastAsia="黑体" w:cs="黑体"/>
          <w:bCs/>
          <w:color w:val="auto"/>
          <w:sz w:val="32"/>
          <w:szCs w:val="32"/>
          <w:highlight w:val="none"/>
          <w:lang w:bidi="ar"/>
        </w:rPr>
        <w:t>对投标人进行资格审查。</w:t>
      </w:r>
      <w:r>
        <w:rPr>
          <w:rFonts w:hint="eastAsia" w:ascii="仿宋_GB2312" w:hAnsi="仿宋_GB2312" w:eastAsia="仿宋_GB2312" w:cs="仿宋_GB2312"/>
          <w:color w:val="auto"/>
          <w:sz w:val="32"/>
          <w:szCs w:val="32"/>
          <w:highlight w:val="none"/>
        </w:rPr>
        <w:t xml:space="preserve"> </w:t>
      </w:r>
    </w:p>
    <w:p w14:paraId="0D1B3C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二、本工程资审合格条件：</w:t>
      </w:r>
      <w:r>
        <w:rPr>
          <w:rFonts w:hint="eastAsia" w:ascii="仿宋_GB2312" w:hAnsi="仿宋_GB2312" w:eastAsia="仿宋_GB2312" w:cs="仿宋_GB2312"/>
          <w:color w:val="auto"/>
          <w:sz w:val="32"/>
          <w:szCs w:val="32"/>
          <w:highlight w:val="none"/>
        </w:rPr>
        <w:t xml:space="preserve"> </w:t>
      </w:r>
    </w:p>
    <w:p w14:paraId="13F5B6E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1．具有独立签订合同的能力； </w:t>
      </w:r>
    </w:p>
    <w:p w14:paraId="0FE5ED9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2．未处于被责令停业、投标资格被取消状态； </w:t>
      </w:r>
    </w:p>
    <w:p w14:paraId="5AFC770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3．企业没有因骗取中标或者严重违约以及发生重大工程质量、安全生产事故等违法违规问题，被有关部门暂停投标资格并在暂停期内的；</w:t>
      </w:r>
    </w:p>
    <w:p w14:paraId="3AA2824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4．投标文件中的资格审查资料没有失真或者弄虚作假；</w:t>
      </w:r>
    </w:p>
    <w:p w14:paraId="5484D94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须为在中华人民共和国境内注册，能在国内合法提供相应的服务；</w:t>
      </w:r>
    </w:p>
    <w:p w14:paraId="4FF430B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参加政府采购活动前三年内，在经营活动中没有重大违法记录，且未被列入失信被执行人、严重失信主体、重大税收违法失信、政府采购严重违法失信行为记录名单，信用信息以“中国执行信息公开网”</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信用中国</w:t>
      </w:r>
      <w:r>
        <w:rPr>
          <w:rFonts w:hint="eastAsia" w:ascii="仿宋_GB2312" w:hAnsi="仿宋_GB2312" w:eastAsia="仿宋_GB2312" w:cs="仿宋_GB2312"/>
          <w:color w:val="auto"/>
          <w:sz w:val="32"/>
          <w:szCs w:val="32"/>
          <w:highlight w:val="none"/>
          <w:lang w:val="en-US" w:eastAsia="zh-CN"/>
        </w:rPr>
        <w:t>”</w:t>
      </w:r>
      <w:bookmarkStart w:id="3" w:name="_GoBack"/>
      <w:bookmarkEnd w:id="3"/>
      <w:r>
        <w:rPr>
          <w:rFonts w:hint="eastAsia" w:ascii="仿宋_GB2312" w:hAnsi="仿宋_GB2312" w:eastAsia="仿宋_GB2312" w:cs="仿宋_GB2312"/>
          <w:color w:val="auto"/>
          <w:sz w:val="32"/>
          <w:szCs w:val="32"/>
          <w:highlight w:val="none"/>
        </w:rPr>
        <w:t>“中国政府采购网”网站公布为准及“中国裁判文书网”无行贿记录证明；</w:t>
      </w:r>
    </w:p>
    <w:p w14:paraId="449EC50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本次招标</w:t>
      </w:r>
      <w:r>
        <w:rPr>
          <w:rFonts w:hint="eastAsia" w:ascii="仿宋_GB2312" w:hAnsi="仿宋_GB2312" w:eastAsia="仿宋_GB2312" w:cs="仿宋_GB2312"/>
          <w:b/>
          <w:bCs/>
          <w:color w:val="auto"/>
          <w:sz w:val="32"/>
          <w:szCs w:val="32"/>
          <w:highlight w:val="none"/>
          <w:u w:val="single"/>
        </w:rPr>
        <w:t>不接受（</w:t>
      </w:r>
      <w:r>
        <w:rPr>
          <w:rFonts w:hint="eastAsia" w:ascii="仿宋_GB2312" w:hAnsi="仿宋_GB2312" w:eastAsia="仿宋_GB2312" w:cs="仿宋_GB2312"/>
          <w:color w:val="auto"/>
          <w:sz w:val="32"/>
          <w:szCs w:val="32"/>
          <w:highlight w:val="none"/>
        </w:rPr>
        <w:t>接受/不接受）联合体投标；</w:t>
      </w:r>
    </w:p>
    <w:p w14:paraId="2B36D78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．法律、法规及招标文件规定的其他条件</w:t>
      </w:r>
      <w:r>
        <w:rPr>
          <w:rFonts w:hint="eastAsia" w:ascii="仿宋_GB2312" w:hAnsi="仿宋_GB2312" w:eastAsia="仿宋_GB2312" w:cs="仿宋_GB2312"/>
          <w:color w:val="auto"/>
          <w:kern w:val="0"/>
          <w:sz w:val="32"/>
          <w:szCs w:val="32"/>
          <w:highlight w:val="none"/>
        </w:rPr>
        <w:t>。</w:t>
      </w:r>
    </w:p>
    <w:p w14:paraId="61EA3C39">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三、由招标人委托的评标委员会实施对投标人的资格审查。</w:t>
      </w:r>
    </w:p>
    <w:p w14:paraId="016F9C32">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四、资格审查提交资料：</w:t>
      </w:r>
    </w:p>
    <w:p w14:paraId="76DD5330">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企业营业执照（副本）；</w:t>
      </w:r>
    </w:p>
    <w:p w14:paraId="009932E8">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2提供投标人近6个月（自投标之日往前推算）任意1个月的社会保障金缴纳凭证（加盖投标人公章）</w:t>
      </w:r>
      <w:r>
        <w:rPr>
          <w:rFonts w:hint="eastAsia" w:ascii="仿宋_GB2312" w:hAnsi="仿宋_GB2312" w:eastAsia="仿宋_GB2312" w:cs="仿宋_GB2312"/>
          <w:color w:val="auto"/>
          <w:sz w:val="32"/>
          <w:szCs w:val="32"/>
          <w:lang w:eastAsia="zh-CN"/>
        </w:rPr>
        <w:t>；</w:t>
      </w:r>
    </w:p>
    <w:p w14:paraId="0152CE57">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3提供投标人近6个月（自投标之日往前推算）任意1个月的税收缴纳凭证（加盖投标人公章）</w:t>
      </w:r>
      <w:r>
        <w:rPr>
          <w:rFonts w:hint="eastAsia" w:ascii="仿宋_GB2312" w:hAnsi="仿宋_GB2312" w:eastAsia="仿宋_GB2312" w:cs="仿宋_GB2312"/>
          <w:color w:val="auto"/>
          <w:sz w:val="32"/>
          <w:szCs w:val="32"/>
          <w:lang w:eastAsia="zh-CN"/>
        </w:rPr>
        <w:t>；</w:t>
      </w:r>
    </w:p>
    <w:p w14:paraId="62A9F432">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授权委托人本人第二代居民身份证</w:t>
      </w:r>
      <w:r>
        <w:rPr>
          <w:rFonts w:hint="eastAsia" w:ascii="仿宋_GB2312" w:hAnsi="仿宋_GB2312" w:eastAsia="仿宋_GB2312" w:cs="仿宋_GB2312"/>
          <w:color w:val="auto"/>
          <w:sz w:val="32"/>
          <w:szCs w:val="32"/>
          <w:lang w:eastAsia="zh-CN"/>
        </w:rPr>
        <w:t>；</w:t>
      </w:r>
    </w:p>
    <w:p w14:paraId="16E2ADDA">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投标人的法定代表人或被委托人必须携带法定代表人资格书（加盖公章、格式详见</w:t>
      </w:r>
      <w:r>
        <w:rPr>
          <w:rFonts w:hint="eastAsia" w:ascii="仿宋_GB2312" w:hAnsi="仿宋_GB2312" w:eastAsia="仿宋_GB2312" w:cs="仿宋_GB2312"/>
          <w:color w:val="auto"/>
          <w:sz w:val="32"/>
          <w:szCs w:val="32"/>
          <w:lang w:eastAsia="zh-CN"/>
        </w:rPr>
        <w:t>附件三</w:t>
      </w:r>
      <w:r>
        <w:rPr>
          <w:rFonts w:hint="eastAsia" w:ascii="仿宋_GB2312" w:hAnsi="仿宋_GB2312" w:eastAsia="仿宋_GB2312" w:cs="仿宋_GB2312"/>
          <w:color w:val="auto"/>
          <w:sz w:val="32"/>
          <w:szCs w:val="32"/>
        </w:rPr>
        <w:t>）、法定代表人授权委托书（加盖公章、法人签字或盖章、格式详见</w:t>
      </w:r>
      <w:r>
        <w:rPr>
          <w:rFonts w:hint="eastAsia" w:ascii="仿宋_GB2312" w:hAnsi="仿宋_GB2312" w:eastAsia="仿宋_GB2312" w:cs="仿宋_GB2312"/>
          <w:color w:val="auto"/>
          <w:sz w:val="32"/>
          <w:szCs w:val="32"/>
          <w:lang w:eastAsia="zh-CN"/>
        </w:rPr>
        <w:t>附件三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F1679F9">
      <w:pPr>
        <w:pStyle w:val="14"/>
        <w:keepNext w:val="0"/>
        <w:keepLines w:val="0"/>
        <w:pageBreakBefore w:val="0"/>
        <w:kinsoku/>
        <w:wordWrap/>
        <w:overflowPunct/>
        <w:topLinePunct w:val="0"/>
        <w:bidi w:val="0"/>
        <w:spacing w:after="0" w:line="560" w:lineRule="exact"/>
        <w:ind w:left="0" w:leftChars="0"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4.6投标保证金缴款回单；</w:t>
      </w:r>
    </w:p>
    <w:p w14:paraId="01CE1465">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投标人信用承诺书</w:t>
      </w:r>
      <w:r>
        <w:rPr>
          <w:rFonts w:hint="eastAsia" w:ascii="仿宋_GB2312" w:hAnsi="仿宋_GB2312" w:eastAsia="仿宋_GB2312" w:cs="仿宋_GB2312"/>
          <w:color w:val="auto"/>
          <w:sz w:val="32"/>
          <w:szCs w:val="32"/>
          <w:highlight w:val="none"/>
        </w:rPr>
        <w:t>（详见</w:t>
      </w:r>
      <w:r>
        <w:rPr>
          <w:rFonts w:hint="eastAsia" w:ascii="仿宋_GB2312" w:hAnsi="仿宋_GB2312" w:eastAsia="仿宋_GB2312" w:cs="仿宋_GB2312"/>
          <w:color w:val="auto"/>
          <w:sz w:val="32"/>
          <w:szCs w:val="32"/>
          <w:highlight w:val="none"/>
          <w:lang w:eastAsia="zh-CN"/>
        </w:rPr>
        <w:t>附件四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val="en-US" w:eastAsia="zh-CN"/>
        </w:rPr>
        <w:t>；</w:t>
      </w:r>
    </w:p>
    <w:p w14:paraId="07733FB1">
      <w:pPr>
        <w:keepNext w:val="0"/>
        <w:keepLines w:val="0"/>
        <w:pageBreakBefore w:val="0"/>
        <w:widowControl/>
        <w:tabs>
          <w:tab w:val="left" w:pos="1680"/>
        </w:tabs>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4.8资审业绩证明材料</w:t>
      </w:r>
      <w:r>
        <w:rPr>
          <w:rFonts w:hint="eastAsia" w:ascii="仿宋_GB2312" w:hAnsi="仿宋_GB2312" w:eastAsia="仿宋_GB2312" w:cs="仿宋_GB2312"/>
          <w:color w:val="auto"/>
          <w:sz w:val="32"/>
          <w:szCs w:val="32"/>
          <w:highlight w:val="none"/>
        </w:rPr>
        <w:t>。</w:t>
      </w:r>
    </w:p>
    <w:p w14:paraId="047E8EEF">
      <w:pPr>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特别提醒：</w:t>
      </w:r>
    </w:p>
    <w:p w14:paraId="54965617">
      <w:pPr>
        <w:pStyle w:val="30"/>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① 以上所有资料资格审查时必须提供有效复印件二份，复印件必须装订成册并加盖公章，如未提供或提供不全，作资格审查不通过处理，不接受补充资料。报名单位必须对其提供的资料的真实性负责。资审材料需单独装袋、密封（在封袋骑缝密封处加盖企业公章）。   </w:t>
      </w:r>
    </w:p>
    <w:p w14:paraId="6C87CE6F">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②除授权委托人身份证原件不用装袋、密封，其他资格审查资料必须一起装袋、密封（在封袋骑缝密封处加盖企业公章），在资格审查前一次性递交，资格审查截止时间后不再接受补充资料。</w:t>
      </w:r>
    </w:p>
    <w:p w14:paraId="253A6071">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 xml:space="preserve">③在规定时间内未能按上述要求提供以上资料的作资审不合格处理。 </w:t>
      </w:r>
    </w:p>
    <w:p w14:paraId="18B82735">
      <w:pPr>
        <w:keepNext w:val="0"/>
        <w:keepLines w:val="0"/>
        <w:pageBreakBefore w:val="0"/>
        <w:numPr>
          <w:ilvl w:val="0"/>
          <w:numId w:val="0"/>
        </w:numPr>
        <w:kinsoku/>
        <w:wordWrap/>
        <w:overflowPunct/>
        <w:topLinePunct w:val="0"/>
        <w:bidi w:val="0"/>
        <w:adjustRightInd w:val="0"/>
        <w:spacing w:line="560" w:lineRule="exact"/>
        <w:ind w:left="0" w:leftChars="0" w:right="0" w:rightChars="0" w:firstLine="643"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lang w:val="en-US" w:eastAsia="zh-CN" w:bidi="ar-SA"/>
        </w:rPr>
        <w:t>五、开标（包括资格后审）时间、地点：</w:t>
      </w:r>
      <w:r>
        <w:rPr>
          <w:rFonts w:hint="eastAsia" w:ascii="仿宋_GB2312" w:hAnsi="仿宋_GB2312" w:eastAsia="仿宋_GB2312" w:cs="仿宋_GB2312"/>
          <w:color w:val="auto"/>
          <w:sz w:val="32"/>
          <w:szCs w:val="32"/>
          <w:highlight w:val="none"/>
        </w:rPr>
        <w:t>详见招标文件投标人须知。</w:t>
      </w:r>
    </w:p>
    <w:p w14:paraId="73EF53CF">
      <w:pPr>
        <w:pStyle w:val="14"/>
        <w:ind w:firstLine="643" w:firstLineChars="200"/>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593252F7">
      <w:pPr>
        <w:pStyle w:val="14"/>
        <w:ind w:firstLine="640" w:firstLineChars="200"/>
        <w:rPr>
          <w:rFonts w:hint="eastAsia" w:ascii="仿宋_GB2312" w:hAnsi="仿宋_GB2312" w:eastAsia="仿宋_GB2312" w:cs="仿宋_GB2312"/>
          <w:color w:val="auto"/>
          <w:kern w:val="2"/>
          <w:sz w:val="32"/>
          <w:szCs w:val="32"/>
          <w:lang w:val="en-US" w:eastAsia="zh-CN" w:bidi="ar-SA"/>
        </w:rPr>
      </w:pPr>
    </w:p>
    <w:p w14:paraId="7A886476">
      <w:pPr>
        <w:pStyle w:val="14"/>
        <w:numPr>
          <w:ilvl w:val="0"/>
          <w:numId w:val="0"/>
        </w:numPr>
        <w:ind w:right="-2" w:rightChars="-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备注：</w:t>
      </w:r>
    </w:p>
    <w:p w14:paraId="0982F9E3">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信息公布、招标文件（工程量清单、图纸）的下载、招标控制价的下载、招投标答疑：“</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w:t>
      </w:r>
    </w:p>
    <w:p w14:paraId="57172FD9">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本工程所有的资审资料，都必须在有效期内。 </w:t>
      </w:r>
    </w:p>
    <w:p w14:paraId="1FCE30B0">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本工程不满3家投标将重新组织招标。</w:t>
      </w:r>
    </w:p>
    <w:p w14:paraId="6478DBBE">
      <w:pPr>
        <w:bidi w:val="0"/>
        <w:rPr>
          <w:rFonts w:hint="eastAsia" w:ascii="仿宋_GB2312" w:hAnsi="仿宋_GB2312" w:eastAsia="仿宋_GB2312" w:cs="仿宋_GB2312"/>
          <w:color w:val="auto"/>
          <w:sz w:val="32"/>
          <w:szCs w:val="32"/>
          <w:highlight w:val="none"/>
        </w:rPr>
      </w:pPr>
    </w:p>
    <w:p w14:paraId="5EAC9625">
      <w:pPr>
        <w:bidi w:val="0"/>
        <w:jc w:val="left"/>
        <w:rPr>
          <w:rFonts w:hint="eastAsia" w:ascii="仿宋_GB2312" w:hAnsi="仿宋_GB2312" w:eastAsia="黑体"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br w:type="page"/>
      </w: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2</w:t>
      </w:r>
    </w:p>
    <w:p w14:paraId="6394CD07">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eastAsia="zh-CN" w:bidi="ar"/>
        </w:rPr>
      </w:pPr>
      <w:r>
        <w:rPr>
          <w:rFonts w:hint="eastAsia" w:ascii="方正小标宋简体" w:hAnsi="Times New Roman" w:eastAsia="方正小标宋简体" w:cs="方正小标宋简体"/>
          <w:bCs/>
          <w:color w:val="auto"/>
          <w:kern w:val="44"/>
          <w:sz w:val="44"/>
          <w:szCs w:val="44"/>
          <w:highlight w:val="none"/>
          <w:lang w:bidi="ar"/>
        </w:rPr>
        <w:t>评 标 细 则</w:t>
      </w:r>
    </w:p>
    <w:p w14:paraId="346CBCC9">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1、本项目评标采用综合评分法，评标小组在投标响应文件最大限度地满足招标文件中实质性要求前提下，按照招标文件中规定的评标小组评分部分各项因素，独立对每个有效投标人的投标响应文件进行评审。</w:t>
      </w:r>
    </w:p>
    <w:p w14:paraId="60E96CB8">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2、采用综合评分法的，按评审后得分由高到低顺序排列。得分相同的，按投标报价由低到高顺序排列。得分且投标报价相同的，按抽签决定顺序排列。</w:t>
      </w:r>
    </w:p>
    <w:p w14:paraId="739FFA88">
      <w:pPr>
        <w:pStyle w:val="13"/>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二、评分标准：</w:t>
      </w:r>
    </w:p>
    <w:p w14:paraId="2E286D9B">
      <w:pPr>
        <w:pStyle w:val="13"/>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（一）、商务标（</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0分）</w:t>
      </w:r>
    </w:p>
    <w:p w14:paraId="73CB373B">
      <w:pPr>
        <w:pStyle w:val="13"/>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1、本项目招标控制价为：</w:t>
      </w:r>
      <w:r>
        <w:rPr>
          <w:rFonts w:hint="eastAsia" w:ascii="仿宋_GB2312" w:hAnsi="仿宋_GB2312" w:eastAsia="仿宋_GB2312" w:cs="仿宋_GB2312"/>
          <w:color w:val="auto"/>
          <w:sz w:val="32"/>
          <w:szCs w:val="32"/>
          <w:highlight w:val="none"/>
          <w:u w:val="single"/>
          <w:lang w:val="en-US" w:eastAsia="zh-CN"/>
        </w:rPr>
        <w:t>56.77万</w:t>
      </w:r>
      <w:r>
        <w:rPr>
          <w:rFonts w:hint="eastAsia" w:ascii="仿宋_GB2312" w:hAnsi="仿宋_GB2312" w:eastAsia="仿宋_GB2312" w:cs="仿宋_GB2312"/>
          <w:color w:val="auto"/>
          <w:sz w:val="32"/>
          <w:szCs w:val="32"/>
          <w:highlight w:val="none"/>
        </w:rPr>
        <w:t>元。超过招标控制价或未能响应招标文件、招标答疑纪要等有关招标要求的投标文件为无效投标文件。</w:t>
      </w:r>
    </w:p>
    <w:p w14:paraId="1E3187C6">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2、投标报价评审：</w:t>
      </w:r>
    </w:p>
    <w:p w14:paraId="03AA8D49">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满足招标文件要求所有有效投标报价的</w:t>
      </w:r>
      <w:r>
        <w:rPr>
          <w:rFonts w:hint="eastAsia" w:ascii="仿宋_GB2312" w:hAnsi="仿宋_GB2312" w:eastAsia="仿宋_GB2312" w:cs="仿宋_GB2312"/>
          <w:color w:val="auto"/>
          <w:sz w:val="32"/>
          <w:szCs w:val="32"/>
          <w:highlight w:val="none"/>
          <w:lang w:val="en-US" w:eastAsia="zh-CN"/>
        </w:rPr>
        <w:t>最低投标价</w:t>
      </w:r>
      <w:r>
        <w:rPr>
          <w:rFonts w:hint="eastAsia" w:ascii="仿宋_GB2312" w:hAnsi="仿宋_GB2312" w:eastAsia="仿宋_GB2312" w:cs="仿宋_GB2312"/>
          <w:color w:val="auto"/>
          <w:sz w:val="32"/>
          <w:szCs w:val="32"/>
          <w:highlight w:val="none"/>
          <w:lang w:eastAsia="zh-CN"/>
        </w:rPr>
        <w:t>为评标基准价，其价格分为满分。</w:t>
      </w:r>
      <w:r>
        <w:rPr>
          <w:rFonts w:hint="eastAsia" w:ascii="仿宋_GB2312" w:hAnsi="仿宋_GB2312" w:eastAsia="仿宋_GB2312" w:cs="仿宋_GB2312"/>
          <w:color w:val="auto"/>
          <w:sz w:val="32"/>
          <w:szCs w:val="32"/>
          <w:highlight w:val="none"/>
          <w:lang w:val="en-US" w:eastAsia="zh-CN"/>
        </w:rPr>
        <w:t>其他投标人的报价得分按下列公式计算：投标报价得分=（评标基准价/评标价）×30。</w:t>
      </w:r>
    </w:p>
    <w:p w14:paraId="6F685276">
      <w:pPr>
        <w:pStyle w:val="13"/>
        <w:keepNext w:val="0"/>
        <w:keepLines w:val="0"/>
        <w:pageBreakBefore w:val="0"/>
        <w:numPr>
          <w:ilvl w:val="0"/>
          <w:numId w:val="0"/>
        </w:numPr>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lang w:val="en-US" w:eastAsia="zh-CN" w:bidi="ar-SA"/>
        </w:rPr>
        <w:t>（二）</w:t>
      </w:r>
      <w:r>
        <w:rPr>
          <w:rFonts w:hint="eastAsia" w:ascii="仿宋_GB2312" w:hAnsi="仿宋_GB2312" w:eastAsia="仿宋_GB2312" w:cs="仿宋_GB2312"/>
          <w:color w:val="auto"/>
          <w:sz w:val="32"/>
          <w:szCs w:val="32"/>
          <w:highlight w:val="none"/>
          <w:lang w:val="en-US" w:eastAsia="zh-CN"/>
        </w:rPr>
        <w:t>综合实力（45分）</w:t>
      </w:r>
    </w:p>
    <w:p w14:paraId="7A52E15C">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US" w:eastAsia="zh-CN" w:bidi="ar-SA"/>
        </w:rPr>
        <w:t>相关业绩（3分）</w:t>
      </w:r>
    </w:p>
    <w:p w14:paraId="585B8ED8">
      <w:pPr>
        <w:keepNext w:val="0"/>
        <w:keepLines w:val="0"/>
        <w:pageBreakBefore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自2022年1月1日以来（以合同签订时间为准）投标人具有类似项目业绩的，每个业绩得1分，最高得3分。</w:t>
      </w:r>
    </w:p>
    <w:p w14:paraId="657470B8">
      <w:pPr>
        <w:keepNext w:val="0"/>
        <w:keepLines w:val="0"/>
        <w:pageBreakBefore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注：①提供合同复印件加盖投标人公章，否则不得分；</w:t>
      </w:r>
    </w:p>
    <w:p w14:paraId="5119DCAA">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②是否属于同类业绩由评标委员会根据合同的内容、特点等与本项目的类似程度进行认定。</w:t>
      </w:r>
    </w:p>
    <w:p w14:paraId="18560738">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相关证书（5分）</w:t>
      </w:r>
    </w:p>
    <w:p w14:paraId="67F94ABE">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（1）投标人具有有效的质量管理体系认证、环境管理体系认证、信息安全管理体系认证的，每个证书得1分，本项最高得3分。</w:t>
      </w:r>
    </w:p>
    <w:p w14:paraId="3CAF9B39">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（2）投标人的全民健身器材服务能力满足GB/T 34285-2017要求，并经过评价，获得8A级认证证书。提供有效期内的认证证书及在全国认证认可信息公共服务平台的查询截图，得2分。</w:t>
      </w:r>
    </w:p>
    <w:p w14:paraId="4AA3699F">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注：提供证书复印件加盖投标人公章，否则不得分。</w:t>
      </w:r>
    </w:p>
    <w:p w14:paraId="31178C9E">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SA"/>
        </w:rPr>
        <w:t>产品保险（3分）</w:t>
      </w:r>
    </w:p>
    <w:p w14:paraId="5EEC8D09">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所投核心产品购买了产品责任险、意外伤害险、公众责任险且各保险还在有效期内的，每个险种得1分，本项最高得3分。</w:t>
      </w:r>
    </w:p>
    <w:p w14:paraId="3F150173">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注：提供有效保单复印件加盖投标人公章，否则不得分。</w:t>
      </w:r>
    </w:p>
    <w:p w14:paraId="58DB14FD">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4、服务管理系统（4分）</w:t>
      </w:r>
    </w:p>
    <w:p w14:paraId="17A9210B">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投标人能够提供器材售后服务管理系统，系统具有项目管理、场地管理、设备管理、巡查维护管理、报修管理、数据统计分析场地统计、设备统计、巡查统计功能，每个功能得0.5分，本项最高得4分。</w:t>
      </w:r>
    </w:p>
    <w:p w14:paraId="4E2DFC04">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提供以上功能的截图，</w:t>
      </w:r>
      <w:r>
        <w:rPr>
          <w:rFonts w:hint="default" w:ascii="仿宋_GB2312" w:hAnsi="仿宋_GB2312" w:eastAsia="仿宋_GB2312" w:cs="仿宋_GB2312"/>
          <w:color w:val="auto"/>
          <w:kern w:val="0"/>
          <w:sz w:val="32"/>
          <w:szCs w:val="32"/>
          <w:highlight w:val="none"/>
          <w:lang w:val="en-US" w:eastAsia="zh-CN" w:bidi="ar-SA"/>
        </w:rPr>
        <w:t>复印件加盖投标人公章</w:t>
      </w:r>
      <w:r>
        <w:rPr>
          <w:rFonts w:hint="eastAsia" w:ascii="仿宋_GB2312" w:hAnsi="仿宋_GB2312" w:eastAsia="仿宋_GB2312" w:cs="仿宋_GB2312"/>
          <w:color w:val="auto"/>
          <w:kern w:val="0"/>
          <w:sz w:val="32"/>
          <w:szCs w:val="32"/>
          <w:highlight w:val="none"/>
          <w:lang w:val="en-US" w:eastAsia="zh-CN" w:bidi="ar-SA"/>
        </w:rPr>
        <w:t xml:space="preserve">，未按要求提供的不得分。 </w:t>
      </w:r>
    </w:p>
    <w:p w14:paraId="54DCB049">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5、技术偏离（30分）</w:t>
      </w:r>
    </w:p>
    <w:p w14:paraId="061C4AED">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投标人所投产品所有参数完全满足招标文件技术参数及要求的得30分；标注▲的为重要技术参数，每负偏离一项扣1.5分，扣完为止。标▲参数需提供相应的证书/检验检测报告证明技术参数符合性；非标▲参数承诺响应即可，验收时候资料备查。（技术参数详见招标文件第三章）</w:t>
      </w:r>
    </w:p>
    <w:p w14:paraId="4C07C18D">
      <w:pPr>
        <w:pStyle w:val="13"/>
        <w:keepNext w:val="0"/>
        <w:keepLines w:val="0"/>
        <w:pageBreakBefore w:val="0"/>
        <w:numPr>
          <w:ilvl w:val="0"/>
          <w:numId w:val="0"/>
        </w:numPr>
        <w:tabs>
          <w:tab w:val="left" w:pos="1680"/>
        </w:tabs>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lang w:val="en-US" w:eastAsia="zh-CN" w:bidi="ar-SA"/>
        </w:rPr>
        <w:t>（三）</w:t>
      </w:r>
      <w:r>
        <w:rPr>
          <w:rFonts w:hint="eastAsia" w:ascii="仿宋_GB2312" w:hAnsi="仿宋_GB2312" w:eastAsia="仿宋_GB2312" w:cs="仿宋_GB2312"/>
          <w:color w:val="auto"/>
          <w:kern w:val="0"/>
          <w:sz w:val="32"/>
          <w:szCs w:val="32"/>
          <w:highlight w:val="none"/>
          <w:lang w:val="en-US" w:eastAsia="zh-CN" w:bidi="ar-SA"/>
        </w:rPr>
        <w:t>技术方案（25分）</w:t>
      </w:r>
    </w:p>
    <w:tbl>
      <w:tblPr>
        <w:tblStyle w:val="15"/>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34"/>
        <w:gridCol w:w="7371"/>
      </w:tblGrid>
      <w:tr w14:paraId="7141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568" w:type="dxa"/>
            <w:vMerge w:val="restart"/>
            <w:vAlign w:val="center"/>
          </w:tcPr>
          <w:p w14:paraId="4AF71AF8">
            <w:pPr>
              <w:pStyle w:val="10"/>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cs="仿宋_GB2312"/>
                <w:color w:val="auto"/>
                <w:kern w:val="0"/>
                <w:sz w:val="32"/>
                <w:szCs w:val="32"/>
                <w:highlight w:val="none"/>
                <w:lang w:val="en-US" w:eastAsia="zh-CN" w:bidi="ar-SA"/>
              </w:rPr>
              <w:t>1</w:t>
            </w:r>
          </w:p>
        </w:tc>
        <w:tc>
          <w:tcPr>
            <w:tcW w:w="1134" w:type="dxa"/>
            <w:vMerge w:val="restart"/>
            <w:vAlign w:val="center"/>
          </w:tcPr>
          <w:p w14:paraId="47FA2294">
            <w:pPr>
              <w:pStyle w:val="10"/>
              <w:keepNext w:val="0"/>
              <w:keepLines w:val="0"/>
              <w:pageBreakBefore w:val="0"/>
              <w:widowControl w:val="0"/>
              <w:kinsoku/>
              <w:wordWrap/>
              <w:overflowPunct/>
              <w:topLinePunct w:val="0"/>
              <w:autoSpaceDE/>
              <w:autoSpaceDN/>
              <w:bidi w:val="0"/>
              <w:adjustRightInd w:val="0"/>
              <w:snapToGrid w:val="0"/>
              <w:spacing w:line="240" w:lineRule="auto"/>
              <w:ind w:firstLine="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实施方案（12分）</w:t>
            </w:r>
          </w:p>
        </w:tc>
        <w:tc>
          <w:tcPr>
            <w:tcW w:w="7371" w:type="dxa"/>
            <w:vAlign w:val="center"/>
          </w:tcPr>
          <w:p w14:paraId="0BEF9E8C">
            <w:pPr>
              <w:pStyle w:val="10"/>
              <w:keepNext w:val="0"/>
              <w:keepLines w:val="0"/>
              <w:pageBreakBefore w:val="0"/>
              <w:widowControl w:val="0"/>
              <w:kinsoku/>
              <w:wordWrap/>
              <w:overflowPunct/>
              <w:topLinePunct w:val="0"/>
              <w:autoSpaceDE/>
              <w:autoSpaceDN/>
              <w:bidi w:val="0"/>
              <w:adjustRightInd w:val="0"/>
              <w:snapToGrid w:val="0"/>
              <w:spacing w:line="240" w:lineRule="auto"/>
              <w:ind w:firstLine="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投标人针对本次采购项目制定的详细实施方案（包括但不限于整体规划设计、供货准备、项目实施时间进度、关键技术解决方案、包装、运输等），根据方案是否条例清晰、前后逻辑一致、具有实际可操作性、与采购需求的吻合程度等，由评委根据对应分值进行打分。</w:t>
            </w:r>
          </w:p>
          <w:p w14:paraId="1D1FFBFB">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内容完整，具有全面性、针对性得4分；</w:t>
            </w:r>
          </w:p>
          <w:p w14:paraId="40014FE0">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内容基本完整，描述基本全面的得3分；</w:t>
            </w:r>
          </w:p>
          <w:p w14:paraId="4C3E4A33">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内容基本完整，描述较简单，有细微瑕疵的得2分；</w:t>
            </w:r>
          </w:p>
          <w:p w14:paraId="40EC22E9">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内容不完整，描述不完善、存在较多错误得1分。</w:t>
            </w:r>
          </w:p>
          <w:p w14:paraId="69A5EA39">
            <w:pPr>
              <w:pStyle w:val="10"/>
              <w:keepNext w:val="0"/>
              <w:keepLines w:val="0"/>
              <w:pageBreakBefore w:val="0"/>
              <w:widowControl w:val="0"/>
              <w:kinsoku/>
              <w:wordWrap/>
              <w:overflowPunct/>
              <w:topLinePunct w:val="0"/>
              <w:autoSpaceDE/>
              <w:autoSpaceDN/>
              <w:bidi w:val="0"/>
              <w:adjustRightInd w:val="0"/>
              <w:snapToGrid w:val="0"/>
              <w:spacing w:line="240" w:lineRule="auto"/>
              <w:ind w:firstLine="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内容缺项的不得分。</w:t>
            </w:r>
          </w:p>
        </w:tc>
      </w:tr>
      <w:tr w14:paraId="4F93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8" w:type="dxa"/>
            <w:vMerge w:val="continue"/>
            <w:vAlign w:val="center"/>
          </w:tcPr>
          <w:p w14:paraId="458E758E">
            <w:pPr>
              <w:pStyle w:val="10"/>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仿宋_GB2312" w:hAnsi="仿宋_GB2312" w:eastAsia="仿宋_GB2312" w:cs="仿宋_GB2312"/>
                <w:color w:val="auto"/>
                <w:kern w:val="0"/>
                <w:sz w:val="32"/>
                <w:szCs w:val="32"/>
                <w:highlight w:val="none"/>
                <w:lang w:val="en-US" w:eastAsia="zh-CN" w:bidi="ar-SA"/>
              </w:rPr>
            </w:pPr>
          </w:p>
        </w:tc>
        <w:tc>
          <w:tcPr>
            <w:tcW w:w="1134" w:type="dxa"/>
            <w:vMerge w:val="continue"/>
            <w:vAlign w:val="center"/>
          </w:tcPr>
          <w:p w14:paraId="063A2BD5">
            <w:pPr>
              <w:pStyle w:val="10"/>
              <w:keepNext w:val="0"/>
              <w:keepLines w:val="0"/>
              <w:pageBreakBefore w:val="0"/>
              <w:widowControl w:val="0"/>
              <w:kinsoku/>
              <w:wordWrap/>
              <w:overflowPunct/>
              <w:topLinePunct w:val="0"/>
              <w:autoSpaceDE/>
              <w:autoSpaceDN/>
              <w:bidi w:val="0"/>
              <w:adjustRightInd w:val="0"/>
              <w:snapToGrid w:val="0"/>
              <w:spacing w:line="360" w:lineRule="auto"/>
              <w:ind w:firstLine="0"/>
              <w:rPr>
                <w:rFonts w:hint="eastAsia" w:ascii="仿宋_GB2312" w:hAnsi="仿宋_GB2312" w:eastAsia="仿宋_GB2312" w:cs="仿宋_GB2312"/>
                <w:color w:val="auto"/>
                <w:kern w:val="0"/>
                <w:sz w:val="32"/>
                <w:szCs w:val="32"/>
                <w:highlight w:val="none"/>
                <w:lang w:val="en-US" w:eastAsia="zh-CN" w:bidi="ar-SA"/>
              </w:rPr>
            </w:pPr>
          </w:p>
        </w:tc>
        <w:tc>
          <w:tcPr>
            <w:tcW w:w="7371" w:type="dxa"/>
            <w:vAlign w:val="center"/>
          </w:tcPr>
          <w:p w14:paraId="233CDBBE">
            <w:pPr>
              <w:pStyle w:val="10"/>
              <w:keepNext w:val="0"/>
              <w:keepLines w:val="0"/>
              <w:pageBreakBefore w:val="0"/>
              <w:widowControl w:val="0"/>
              <w:kinsoku/>
              <w:wordWrap/>
              <w:overflowPunct/>
              <w:topLinePunct w:val="0"/>
              <w:autoSpaceDE/>
              <w:autoSpaceDN/>
              <w:bidi w:val="0"/>
              <w:adjustRightInd w:val="0"/>
              <w:snapToGrid w:val="0"/>
              <w:spacing w:line="240" w:lineRule="auto"/>
              <w:ind w:firstLine="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培训方案：</w:t>
            </w:r>
            <w:r>
              <w:rPr>
                <w:rFonts w:hint="eastAsia" w:ascii="仿宋_GB2312" w:hAnsi="仿宋_GB2312" w:eastAsia="仿宋_GB2312" w:cs="仿宋_GB2312"/>
                <w:color w:val="auto"/>
                <w:kern w:val="0"/>
                <w:sz w:val="32"/>
                <w:szCs w:val="32"/>
                <w:highlight w:val="none"/>
                <w:lang w:val="zh-CN" w:eastAsia="zh-CN" w:bidi="ar-SA"/>
              </w:rPr>
              <w:t>包括但不限于提供</w:t>
            </w:r>
            <w:r>
              <w:rPr>
                <w:rFonts w:hint="eastAsia" w:ascii="仿宋_GB2312" w:hAnsi="仿宋_GB2312" w:eastAsia="仿宋_GB2312" w:cs="仿宋_GB2312"/>
                <w:color w:val="auto"/>
                <w:kern w:val="0"/>
                <w:sz w:val="32"/>
                <w:szCs w:val="32"/>
                <w:highlight w:val="none"/>
                <w:lang w:val="en-US" w:eastAsia="zh-CN" w:bidi="ar-SA"/>
              </w:rPr>
              <w:t>产品使用</w:t>
            </w:r>
            <w:r>
              <w:rPr>
                <w:rFonts w:hint="eastAsia" w:ascii="仿宋_GB2312" w:hAnsi="仿宋_GB2312" w:eastAsia="仿宋_GB2312" w:cs="仿宋_GB2312"/>
                <w:color w:val="auto"/>
                <w:kern w:val="0"/>
                <w:sz w:val="32"/>
                <w:szCs w:val="32"/>
                <w:highlight w:val="none"/>
                <w:lang w:val="zh-CN" w:eastAsia="zh-CN" w:bidi="ar-SA"/>
              </w:rPr>
              <w:t>培训及提供其他形式培训的情况，具体至培训次数、方式、内容、地点、时间、准备资料、承诺达到的效果等，</w:t>
            </w:r>
            <w:r>
              <w:rPr>
                <w:rFonts w:hint="eastAsia" w:ascii="仿宋_GB2312" w:hAnsi="仿宋_GB2312" w:eastAsia="仿宋_GB2312" w:cs="仿宋_GB2312"/>
                <w:color w:val="auto"/>
                <w:kern w:val="0"/>
                <w:sz w:val="32"/>
                <w:szCs w:val="32"/>
                <w:highlight w:val="none"/>
                <w:lang w:val="en-US" w:eastAsia="zh-CN" w:bidi="ar-SA"/>
              </w:rPr>
              <w:t>由评委根据对应分值进行打分。</w:t>
            </w:r>
          </w:p>
          <w:p w14:paraId="1E3CB870">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内容完整，具有全面性、针对性得4分；</w:t>
            </w:r>
          </w:p>
          <w:p w14:paraId="5625FD34">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内容基本完整，描述基本全面的得3分；</w:t>
            </w:r>
          </w:p>
          <w:p w14:paraId="4B021368">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内容基本完整，描述较简单，有细微瑕疵的得2分；</w:t>
            </w:r>
          </w:p>
          <w:p w14:paraId="1D90DD7B">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内容不完整，描述不完善、存在较多错误得1分。</w:t>
            </w:r>
          </w:p>
          <w:p w14:paraId="7C80BF50">
            <w:pPr>
              <w:pStyle w:val="10"/>
              <w:keepNext w:val="0"/>
              <w:keepLines w:val="0"/>
              <w:pageBreakBefore w:val="0"/>
              <w:widowControl w:val="0"/>
              <w:kinsoku/>
              <w:wordWrap/>
              <w:overflowPunct/>
              <w:topLinePunct w:val="0"/>
              <w:autoSpaceDE/>
              <w:autoSpaceDN/>
              <w:bidi w:val="0"/>
              <w:adjustRightInd w:val="0"/>
              <w:snapToGrid w:val="0"/>
              <w:spacing w:line="240" w:lineRule="auto"/>
              <w:ind w:firstLine="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内容缺项的不得分。</w:t>
            </w:r>
          </w:p>
        </w:tc>
      </w:tr>
      <w:tr w14:paraId="3029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8" w:type="dxa"/>
            <w:vMerge w:val="continue"/>
            <w:vAlign w:val="center"/>
          </w:tcPr>
          <w:p w14:paraId="6F376C62">
            <w:pPr>
              <w:pStyle w:val="10"/>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仿宋_GB2312" w:hAnsi="仿宋_GB2312" w:eastAsia="仿宋_GB2312" w:cs="仿宋_GB2312"/>
                <w:color w:val="auto"/>
                <w:kern w:val="0"/>
                <w:sz w:val="32"/>
                <w:szCs w:val="32"/>
                <w:highlight w:val="none"/>
                <w:lang w:val="en-US" w:eastAsia="zh-CN" w:bidi="ar-SA"/>
              </w:rPr>
            </w:pPr>
          </w:p>
        </w:tc>
        <w:tc>
          <w:tcPr>
            <w:tcW w:w="1134" w:type="dxa"/>
            <w:vMerge w:val="continue"/>
            <w:vAlign w:val="center"/>
          </w:tcPr>
          <w:p w14:paraId="456C8FB6">
            <w:pPr>
              <w:pStyle w:val="10"/>
              <w:keepNext w:val="0"/>
              <w:keepLines w:val="0"/>
              <w:pageBreakBefore w:val="0"/>
              <w:widowControl w:val="0"/>
              <w:kinsoku/>
              <w:wordWrap/>
              <w:overflowPunct/>
              <w:topLinePunct w:val="0"/>
              <w:autoSpaceDE/>
              <w:autoSpaceDN/>
              <w:bidi w:val="0"/>
              <w:adjustRightInd w:val="0"/>
              <w:snapToGrid w:val="0"/>
              <w:spacing w:line="360" w:lineRule="auto"/>
              <w:ind w:firstLine="0"/>
              <w:rPr>
                <w:rFonts w:hint="eastAsia" w:ascii="仿宋_GB2312" w:hAnsi="仿宋_GB2312" w:eastAsia="仿宋_GB2312" w:cs="仿宋_GB2312"/>
                <w:color w:val="auto"/>
                <w:kern w:val="0"/>
                <w:sz w:val="32"/>
                <w:szCs w:val="32"/>
                <w:highlight w:val="none"/>
                <w:lang w:val="en-US" w:eastAsia="zh-CN" w:bidi="ar-SA"/>
              </w:rPr>
            </w:pPr>
          </w:p>
        </w:tc>
        <w:tc>
          <w:tcPr>
            <w:tcW w:w="7371" w:type="dxa"/>
            <w:vAlign w:val="center"/>
          </w:tcPr>
          <w:p w14:paraId="49B88E93">
            <w:pPr>
              <w:pStyle w:val="10"/>
              <w:keepNext w:val="0"/>
              <w:keepLines w:val="0"/>
              <w:pageBreakBefore w:val="0"/>
              <w:widowControl w:val="0"/>
              <w:kinsoku/>
              <w:wordWrap/>
              <w:overflowPunct/>
              <w:topLinePunct w:val="0"/>
              <w:autoSpaceDE/>
              <w:autoSpaceDN/>
              <w:bidi w:val="0"/>
              <w:adjustRightInd w:val="0"/>
              <w:snapToGrid w:val="0"/>
              <w:spacing w:line="240" w:lineRule="auto"/>
              <w:ind w:firstLine="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zh-CN" w:eastAsia="zh-CN" w:bidi="ar-SA"/>
              </w:rPr>
              <w:t>根据</w:t>
            </w:r>
            <w:r>
              <w:rPr>
                <w:rFonts w:hint="eastAsia" w:ascii="仿宋_GB2312" w:hAnsi="仿宋_GB2312" w:eastAsia="仿宋_GB2312" w:cs="仿宋_GB2312"/>
                <w:color w:val="auto"/>
                <w:kern w:val="0"/>
                <w:sz w:val="32"/>
                <w:szCs w:val="32"/>
                <w:highlight w:val="none"/>
                <w:lang w:val="en-US" w:eastAsia="zh-CN" w:bidi="ar-SA"/>
              </w:rPr>
              <w:t>投标人对本项目质量和工期的保障措施以及</w:t>
            </w:r>
            <w:r>
              <w:rPr>
                <w:rFonts w:hint="eastAsia" w:ascii="仿宋_GB2312" w:hAnsi="仿宋_GB2312" w:eastAsia="仿宋_GB2312" w:cs="仿宋_GB2312"/>
                <w:color w:val="auto"/>
                <w:kern w:val="0"/>
                <w:sz w:val="32"/>
                <w:szCs w:val="32"/>
                <w:highlight w:val="none"/>
                <w:lang w:val="zh-CN" w:eastAsia="zh-CN" w:bidi="ar-SA"/>
              </w:rPr>
              <w:t>对项目实施过程中可能遇到的突发情况的预估</w:t>
            </w:r>
            <w:r>
              <w:rPr>
                <w:rFonts w:hint="eastAsia" w:ascii="仿宋_GB2312" w:hAnsi="仿宋_GB2312" w:eastAsia="仿宋_GB2312" w:cs="仿宋_GB2312"/>
                <w:color w:val="auto"/>
                <w:kern w:val="0"/>
                <w:sz w:val="32"/>
                <w:szCs w:val="32"/>
                <w:highlight w:val="none"/>
                <w:lang w:val="en-US" w:eastAsia="zh-CN" w:bidi="ar-SA"/>
              </w:rPr>
              <w:t>和</w:t>
            </w:r>
            <w:r>
              <w:rPr>
                <w:rFonts w:hint="eastAsia" w:ascii="仿宋_GB2312" w:hAnsi="仿宋_GB2312" w:eastAsia="仿宋_GB2312" w:cs="仿宋_GB2312"/>
                <w:color w:val="auto"/>
                <w:kern w:val="0"/>
                <w:sz w:val="32"/>
                <w:szCs w:val="32"/>
                <w:highlight w:val="none"/>
                <w:lang w:val="zh-CN" w:eastAsia="zh-CN" w:bidi="ar-SA"/>
              </w:rPr>
              <w:t>应对措施的针对性、合理性、可操作性等，</w:t>
            </w:r>
            <w:r>
              <w:rPr>
                <w:rFonts w:hint="eastAsia" w:ascii="仿宋_GB2312" w:hAnsi="仿宋_GB2312" w:eastAsia="仿宋_GB2312" w:cs="仿宋_GB2312"/>
                <w:color w:val="auto"/>
                <w:kern w:val="0"/>
                <w:sz w:val="32"/>
                <w:szCs w:val="32"/>
                <w:highlight w:val="none"/>
                <w:lang w:val="en-US" w:eastAsia="zh-CN" w:bidi="ar-SA"/>
              </w:rPr>
              <w:t>由评委根据对应分值进行打分。</w:t>
            </w:r>
          </w:p>
          <w:p w14:paraId="2D1AEF3D">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内容完整，具有全面性、针对性得4分；</w:t>
            </w:r>
          </w:p>
          <w:p w14:paraId="13850833">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内容基本完整，描述基本全面的得3分；</w:t>
            </w:r>
          </w:p>
          <w:p w14:paraId="0ECD4598">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内容基本完整，描述较简单，有细微瑕疵的得2分；</w:t>
            </w:r>
          </w:p>
          <w:p w14:paraId="21F59D00">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内容不完整，描述不完善、存在较多错误得1分。</w:t>
            </w:r>
          </w:p>
          <w:p w14:paraId="7F558D07">
            <w:pPr>
              <w:pStyle w:val="10"/>
              <w:keepNext w:val="0"/>
              <w:keepLines w:val="0"/>
              <w:pageBreakBefore w:val="0"/>
              <w:widowControl w:val="0"/>
              <w:kinsoku/>
              <w:wordWrap/>
              <w:overflowPunct/>
              <w:topLinePunct w:val="0"/>
              <w:autoSpaceDE/>
              <w:autoSpaceDN/>
              <w:bidi w:val="0"/>
              <w:adjustRightInd w:val="0"/>
              <w:snapToGrid w:val="0"/>
              <w:spacing w:line="240" w:lineRule="auto"/>
              <w:ind w:firstLine="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内容缺项的不得分。</w:t>
            </w:r>
          </w:p>
        </w:tc>
      </w:tr>
      <w:tr w14:paraId="468A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3CB1B54F">
            <w:pPr>
              <w:pStyle w:val="10"/>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cs="仿宋_GB2312"/>
                <w:color w:val="auto"/>
                <w:kern w:val="0"/>
                <w:sz w:val="32"/>
                <w:szCs w:val="32"/>
                <w:highlight w:val="none"/>
                <w:lang w:val="en-US" w:eastAsia="zh-CN" w:bidi="ar-SA"/>
              </w:rPr>
              <w:t>2</w:t>
            </w:r>
          </w:p>
        </w:tc>
        <w:tc>
          <w:tcPr>
            <w:tcW w:w="1134" w:type="dxa"/>
            <w:vAlign w:val="center"/>
          </w:tcPr>
          <w:p w14:paraId="31379DA6">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eastAsia="zh-CN" w:bidi="ar-SA"/>
              </w:rPr>
              <w:t>人员安排（</w:t>
            </w:r>
            <w:r>
              <w:rPr>
                <w:rFonts w:hint="eastAsia" w:ascii="仿宋_GB2312" w:hAnsi="仿宋_GB2312" w:eastAsia="仿宋_GB2312" w:cs="仿宋_GB2312"/>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zh-CN" w:eastAsia="zh-CN" w:bidi="ar-SA"/>
              </w:rPr>
              <w:t>分）</w:t>
            </w:r>
          </w:p>
        </w:tc>
        <w:tc>
          <w:tcPr>
            <w:tcW w:w="7371" w:type="dxa"/>
            <w:vAlign w:val="center"/>
          </w:tcPr>
          <w:p w14:paraId="3A7B730A">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eastAsia="zh-CN" w:bidi="ar-SA"/>
              </w:rPr>
              <w:t>根据投标人拟投入本项目的团队人员数量（团队人员数量及岗位配置合理性）、经验（团队人员职称、技术能力总体水平）等方面，由评委根据对应分值进行打分。</w:t>
            </w:r>
          </w:p>
          <w:p w14:paraId="1850B69D">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内容完整，具有全面性、针对性得2分；</w:t>
            </w:r>
          </w:p>
          <w:p w14:paraId="0EDD182A">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内容基本完整，描述基本全面的得1.5分；</w:t>
            </w:r>
          </w:p>
          <w:p w14:paraId="5F8EB163">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内容基本完整，描述较简单，有细微瑕疵的得1分；</w:t>
            </w:r>
          </w:p>
          <w:p w14:paraId="77DC2834">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内容不完整，描述不完善、存在较多错误得0.5分。</w:t>
            </w:r>
          </w:p>
          <w:p w14:paraId="6E6D4B0D">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en-US" w:eastAsia="zh-CN" w:bidi="ar-SA"/>
              </w:rPr>
              <w:t>内容缺项的不得分。</w:t>
            </w:r>
          </w:p>
          <w:p w14:paraId="17E6D49C">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eastAsia="zh-CN" w:bidi="ar-SA"/>
              </w:rPr>
              <w:t>人员的相关证书和在职证明材料（如社保证明或劳动合同等），未按要求提供的相应扣分处理。</w:t>
            </w:r>
          </w:p>
        </w:tc>
      </w:tr>
      <w:tr w14:paraId="1A23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2B9E943C">
            <w:pPr>
              <w:pStyle w:val="10"/>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cs="仿宋_GB2312"/>
                <w:color w:val="auto"/>
                <w:kern w:val="0"/>
                <w:sz w:val="32"/>
                <w:szCs w:val="32"/>
                <w:highlight w:val="none"/>
                <w:lang w:val="en-US" w:eastAsia="zh-CN" w:bidi="ar-SA"/>
              </w:rPr>
              <w:t>3</w:t>
            </w:r>
          </w:p>
        </w:tc>
        <w:tc>
          <w:tcPr>
            <w:tcW w:w="1134" w:type="dxa"/>
            <w:vAlign w:val="center"/>
          </w:tcPr>
          <w:p w14:paraId="74DA242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进度计划（2分）</w:t>
            </w:r>
          </w:p>
        </w:tc>
        <w:tc>
          <w:tcPr>
            <w:tcW w:w="7371" w:type="dxa"/>
            <w:vAlign w:val="center"/>
          </w:tcPr>
          <w:p w14:paraId="6B5206F8">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根据投标人的进度承诺是否符合采购需求的要求，是否能够按期完成实施、上线运行、验收等，由评委根据对应分值进行打分。</w:t>
            </w:r>
          </w:p>
          <w:p w14:paraId="57C91870">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内容完整，具有全面性、针对性得2分；</w:t>
            </w:r>
          </w:p>
          <w:p w14:paraId="03C8116D">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内容基本完整，描述基本全面的得1.5分；</w:t>
            </w:r>
          </w:p>
          <w:p w14:paraId="3AB11E57">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内容基本完整，描述较简单，有细微瑕疵的得1分；</w:t>
            </w:r>
          </w:p>
          <w:p w14:paraId="19483BC9">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内容不完整，描述不完善、存在较多错误得0.5分。</w:t>
            </w:r>
          </w:p>
          <w:p w14:paraId="3709FFD0">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内容缺项的不得分。</w:t>
            </w:r>
          </w:p>
        </w:tc>
      </w:tr>
      <w:tr w14:paraId="6D8E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25C18643">
            <w:pPr>
              <w:pStyle w:val="10"/>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cs="仿宋_GB2312"/>
                <w:color w:val="auto"/>
                <w:kern w:val="0"/>
                <w:sz w:val="32"/>
                <w:szCs w:val="32"/>
                <w:highlight w:val="none"/>
                <w:lang w:val="en-US" w:eastAsia="zh-CN" w:bidi="ar-SA"/>
              </w:rPr>
              <w:t>4</w:t>
            </w:r>
          </w:p>
        </w:tc>
        <w:tc>
          <w:tcPr>
            <w:tcW w:w="1134" w:type="dxa"/>
            <w:vAlign w:val="center"/>
          </w:tcPr>
          <w:p w14:paraId="261B08DB">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安装调试（2分）</w:t>
            </w:r>
          </w:p>
        </w:tc>
        <w:tc>
          <w:tcPr>
            <w:tcW w:w="7371" w:type="dxa"/>
            <w:vAlign w:val="center"/>
          </w:tcPr>
          <w:p w14:paraId="49A4DF75">
            <w:pPr>
              <w:pStyle w:val="9"/>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根据投标人提供的安装调试方案，是否具有科学性、合理性、规范性、可实施性等，由评委根据对应分值进行打分。</w:t>
            </w:r>
          </w:p>
          <w:p w14:paraId="2A9DFADE">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内容完整，具有全面性、针对性得2分；</w:t>
            </w:r>
          </w:p>
          <w:p w14:paraId="333914DA">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内容基本完整，描述基本全面的得1.5分；</w:t>
            </w:r>
          </w:p>
          <w:p w14:paraId="5B86B303">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内容基本完整，描述较简单，有细微瑕疵的得1分；</w:t>
            </w:r>
          </w:p>
          <w:p w14:paraId="2B25AB17">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内容不完整，描述不完善、存在较多错误得0.5分。</w:t>
            </w:r>
          </w:p>
          <w:p w14:paraId="4C9D1F70">
            <w:pPr>
              <w:pStyle w:val="9"/>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内容缺项的不得分。</w:t>
            </w:r>
          </w:p>
        </w:tc>
      </w:tr>
      <w:tr w14:paraId="3F03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19783ED">
            <w:pPr>
              <w:pStyle w:val="10"/>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cs="仿宋_GB2312"/>
                <w:color w:val="auto"/>
                <w:kern w:val="0"/>
                <w:sz w:val="32"/>
                <w:szCs w:val="32"/>
                <w:highlight w:val="none"/>
                <w:lang w:val="en-US" w:eastAsia="zh-CN" w:bidi="ar-SA"/>
              </w:rPr>
              <w:t>5</w:t>
            </w:r>
          </w:p>
        </w:tc>
        <w:tc>
          <w:tcPr>
            <w:tcW w:w="1134" w:type="dxa"/>
            <w:vAlign w:val="center"/>
          </w:tcPr>
          <w:p w14:paraId="63F6D229">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质保及养护（2分）</w:t>
            </w:r>
          </w:p>
        </w:tc>
        <w:tc>
          <w:tcPr>
            <w:tcW w:w="7371" w:type="dxa"/>
            <w:vAlign w:val="center"/>
          </w:tcPr>
          <w:p w14:paraId="14D2DCC3">
            <w:pPr>
              <w:pStyle w:val="9"/>
              <w:keepNext w:val="0"/>
              <w:keepLines w:val="0"/>
              <w:pageBreakBefore w:val="0"/>
              <w:widowControl w:val="0"/>
              <w:kinsoku/>
              <w:wordWrap/>
              <w:overflowPunct/>
              <w:topLinePunct w:val="0"/>
              <w:autoSpaceDE/>
              <w:autoSpaceDN/>
              <w:bidi w:val="0"/>
              <w:adjustRightInd w:val="0"/>
              <w:snapToGrid w:val="0"/>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质保期内，投标人承诺对设备免费保养和检查，保养2次/年得2分；其余不得分。</w:t>
            </w:r>
          </w:p>
        </w:tc>
      </w:tr>
      <w:tr w14:paraId="5EF2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68" w:type="dxa"/>
            <w:vMerge w:val="restart"/>
            <w:vAlign w:val="center"/>
          </w:tcPr>
          <w:p w14:paraId="04E63EE4">
            <w:pPr>
              <w:pStyle w:val="10"/>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cs="仿宋_GB2312"/>
                <w:color w:val="auto"/>
                <w:kern w:val="0"/>
                <w:sz w:val="32"/>
                <w:szCs w:val="32"/>
                <w:highlight w:val="none"/>
                <w:lang w:val="en-US" w:eastAsia="zh-CN" w:bidi="ar-SA"/>
              </w:rPr>
              <w:t>6</w:t>
            </w:r>
          </w:p>
        </w:tc>
        <w:tc>
          <w:tcPr>
            <w:tcW w:w="1134" w:type="dxa"/>
            <w:vMerge w:val="restart"/>
            <w:vAlign w:val="center"/>
          </w:tcPr>
          <w:p w14:paraId="130E6812">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售后服务（5分）</w:t>
            </w:r>
          </w:p>
        </w:tc>
        <w:tc>
          <w:tcPr>
            <w:tcW w:w="7371" w:type="dxa"/>
            <w:vAlign w:val="center"/>
          </w:tcPr>
          <w:p w14:paraId="08092EB8">
            <w:pPr>
              <w:pStyle w:val="9"/>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投标人针对本项目提供详细的售后服务方案，质保期内的响应速度、到达现场服务能力、结果反馈时间、售后服务保障及售后服务机构的综合实力等，由评委根据对应分值进行打分。</w:t>
            </w:r>
          </w:p>
          <w:p w14:paraId="30467E2B">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内容完整，具有全面性、针对性得3分；</w:t>
            </w:r>
          </w:p>
          <w:p w14:paraId="0F9C327E">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内容基本完整，描述基本全面的得2分；</w:t>
            </w:r>
          </w:p>
          <w:p w14:paraId="2DA13CBA">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内容基本完整，描述较简单，有细微瑕疵的得1分；</w:t>
            </w:r>
          </w:p>
          <w:p w14:paraId="3C2146C9">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内容不完整，描述不完善、存在较多错误得0.5分。</w:t>
            </w:r>
          </w:p>
          <w:p w14:paraId="1715B318">
            <w:pPr>
              <w:pStyle w:val="9"/>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内容缺项的不得分。</w:t>
            </w:r>
          </w:p>
        </w:tc>
      </w:tr>
      <w:tr w14:paraId="20F9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68" w:type="dxa"/>
            <w:vMerge w:val="continue"/>
            <w:vAlign w:val="center"/>
          </w:tcPr>
          <w:p w14:paraId="52E7609E">
            <w:pPr>
              <w:pStyle w:val="10"/>
              <w:keepNext w:val="0"/>
              <w:keepLines w:val="0"/>
              <w:pageBreakBefore w:val="0"/>
              <w:widowControl w:val="0"/>
              <w:kinsoku/>
              <w:wordWrap/>
              <w:overflowPunct/>
              <w:topLinePunct w:val="0"/>
              <w:autoSpaceDE/>
              <w:autoSpaceDN/>
              <w:bidi w:val="0"/>
              <w:adjustRightInd w:val="0"/>
              <w:snapToGrid w:val="0"/>
              <w:spacing w:line="360" w:lineRule="auto"/>
              <w:ind w:firstLine="0"/>
              <w:jc w:val="center"/>
              <w:rPr>
                <w:rFonts w:hint="eastAsia" w:ascii="宋体" w:hAnsi="宋体" w:eastAsia="宋体" w:cs="仿宋_GB2312"/>
                <w:szCs w:val="24"/>
              </w:rPr>
            </w:pPr>
          </w:p>
        </w:tc>
        <w:tc>
          <w:tcPr>
            <w:tcW w:w="1134" w:type="dxa"/>
            <w:vMerge w:val="continue"/>
            <w:vAlign w:val="center"/>
          </w:tcPr>
          <w:p w14:paraId="1F3A15B5">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cs="仿宋_GB2312"/>
                <w:b/>
                <w:sz w:val="24"/>
                <w:szCs w:val="24"/>
              </w:rPr>
            </w:pPr>
          </w:p>
        </w:tc>
        <w:tc>
          <w:tcPr>
            <w:tcW w:w="7371" w:type="dxa"/>
            <w:vAlign w:val="center"/>
          </w:tcPr>
          <w:p w14:paraId="5A922A9F">
            <w:pPr>
              <w:pStyle w:val="9"/>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投标人针对本项目质保期满后，提出实质性的质量保障方案，根据质量保障方案的实质性响应情况,由评委根据对应分值进行打分。</w:t>
            </w:r>
          </w:p>
          <w:p w14:paraId="1340FFE6">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内容完整，具有全面性、针对性得2分；</w:t>
            </w:r>
          </w:p>
          <w:p w14:paraId="2C9F397B">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内容基本完整，描述基本全面的得1.5分；</w:t>
            </w:r>
          </w:p>
          <w:p w14:paraId="1F7556CD">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内容基本完整，描述较简单，有细微瑕疵的得1分；</w:t>
            </w:r>
          </w:p>
          <w:p w14:paraId="10CE4938">
            <w:pPr>
              <w:keepNext w:val="0"/>
              <w:keepLines w:val="0"/>
              <w:pageBreakBefore w:val="0"/>
              <w:widowControl w:val="0"/>
              <w:kinsoku/>
              <w:wordWrap/>
              <w:overflowPunct/>
              <w:topLinePunct w:val="0"/>
              <w:autoSpaceDE/>
              <w:autoSpaceDN/>
              <w:bidi w:val="0"/>
              <w:adjustRightInd w:val="0"/>
              <w:snapToGrid w:val="0"/>
              <w:textAlignment w:val="cente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内容不完整，描述不完善、存在较多错误得0.5分。</w:t>
            </w:r>
          </w:p>
          <w:p w14:paraId="2497A0E0">
            <w:pPr>
              <w:pStyle w:val="9"/>
              <w:keepNext w:val="0"/>
              <w:keepLines w:val="0"/>
              <w:pageBreakBefore w:val="0"/>
              <w:widowControl w:val="0"/>
              <w:kinsoku/>
              <w:wordWrap/>
              <w:overflowPunct/>
              <w:topLinePunct w:val="0"/>
              <w:autoSpaceDE/>
              <w:autoSpaceDN/>
              <w:bidi w:val="0"/>
              <w:adjustRightInd w:val="0"/>
              <w:snapToGrid w:val="0"/>
              <w:rPr>
                <w:rFonts w:hint="eastAsia" w:hAnsi="宋体" w:cs="仿宋_GB2312"/>
                <w:sz w:val="24"/>
                <w:szCs w:val="24"/>
              </w:rPr>
            </w:pPr>
            <w:r>
              <w:rPr>
                <w:rFonts w:hint="eastAsia" w:ascii="仿宋_GB2312" w:hAnsi="仿宋_GB2312" w:eastAsia="仿宋_GB2312" w:cs="仿宋_GB2312"/>
                <w:color w:val="auto"/>
                <w:kern w:val="0"/>
                <w:sz w:val="32"/>
                <w:szCs w:val="32"/>
                <w:highlight w:val="none"/>
                <w:lang w:val="en-US" w:eastAsia="zh-CN" w:bidi="ar-SA"/>
              </w:rPr>
              <w:t>内容缺项的不得分。</w:t>
            </w:r>
          </w:p>
        </w:tc>
      </w:tr>
      <w:tr w14:paraId="416A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73" w:type="dxa"/>
            <w:gridSpan w:val="3"/>
            <w:vAlign w:val="center"/>
          </w:tcPr>
          <w:p w14:paraId="155D0C12">
            <w:pPr>
              <w:pStyle w:val="9"/>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1、技术方案评分说明：</w:t>
            </w:r>
          </w:p>
          <w:p w14:paraId="45E5546D">
            <w:pPr>
              <w:pStyle w:val="9"/>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①技术方案由评委独立打分，各项评审要点由评委直接打分。</w:t>
            </w:r>
          </w:p>
          <w:p w14:paraId="1285CD38">
            <w:pPr>
              <w:pStyle w:val="9"/>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②技术方案总得分将所有技术标评委评分汇总平均后的得分为其得分。（若出现小数点则通过四舍五入保留到小数点后两位）</w:t>
            </w:r>
          </w:p>
        </w:tc>
      </w:tr>
    </w:tbl>
    <w:p w14:paraId="74D61360">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定标办法</w:t>
      </w:r>
    </w:p>
    <w:p w14:paraId="30DAC129">
      <w:pPr>
        <w:pStyle w:val="13"/>
        <w:keepNext w:val="0"/>
        <w:keepLines w:val="0"/>
        <w:pageBreakBefore w:val="0"/>
        <w:tabs>
          <w:tab w:val="left" w:pos="1680"/>
        </w:tabs>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上述各项得分相加即为投标人评标总分。评标总分最高者为第一中标候选人，其次为第二中标候选人，以此类推，若最终累计评标得分相同的，按技术方案得分高低确定投标人排名前后。若最终累计评标得分相同，技术方案得分也相同，按投标报价低的排名靠前确定投标人排序；若最终累计评标得分相同，技术方案得分也相同，投标报价也相同的，则由招标人代表根据</w:t>
      </w:r>
      <w:r>
        <w:rPr>
          <w:rFonts w:hint="eastAsia" w:ascii="仿宋_GB2312" w:hAnsi="仿宋_GB2312" w:eastAsia="仿宋_GB2312" w:cs="仿宋_GB2312"/>
          <w:color w:val="auto"/>
          <w:sz w:val="32"/>
          <w:szCs w:val="32"/>
          <w:highlight w:val="none"/>
          <w:lang w:val="en-US" w:eastAsia="zh-CN"/>
        </w:rPr>
        <w:t>签到表</w:t>
      </w:r>
      <w:r>
        <w:rPr>
          <w:rFonts w:hint="eastAsia" w:ascii="仿宋_GB2312" w:hAnsi="仿宋_GB2312" w:eastAsia="仿宋_GB2312" w:cs="仿宋_GB2312"/>
          <w:color w:val="auto"/>
          <w:sz w:val="32"/>
          <w:szCs w:val="32"/>
          <w:highlight w:val="none"/>
          <w:lang w:eastAsia="zh-CN"/>
        </w:rPr>
        <w:t>顺序</w:t>
      </w:r>
      <w:r>
        <w:rPr>
          <w:rFonts w:hint="eastAsia" w:ascii="仿宋_GB2312" w:hAnsi="仿宋_GB2312" w:eastAsia="仿宋_GB2312" w:cs="仿宋_GB2312"/>
          <w:color w:val="auto"/>
          <w:sz w:val="32"/>
          <w:szCs w:val="32"/>
          <w:highlight w:val="none"/>
          <w:lang w:val="en-US" w:eastAsia="zh-CN"/>
        </w:rPr>
        <w:t>现场</w:t>
      </w:r>
      <w:r>
        <w:rPr>
          <w:rFonts w:hint="eastAsia" w:ascii="仿宋_GB2312" w:hAnsi="仿宋_GB2312" w:eastAsia="仿宋_GB2312" w:cs="仿宋_GB2312"/>
          <w:color w:val="auto"/>
          <w:sz w:val="32"/>
          <w:szCs w:val="32"/>
          <w:highlight w:val="none"/>
          <w:lang w:eastAsia="zh-CN"/>
        </w:rPr>
        <w:t>抽签确定中标候选人排序</w:t>
      </w:r>
      <w:r>
        <w:rPr>
          <w:rFonts w:hint="eastAsia" w:ascii="仿宋_GB2312" w:hAnsi="仿宋_GB2312" w:eastAsia="仿宋_GB2312" w:cs="仿宋_GB2312"/>
          <w:color w:val="auto"/>
          <w:sz w:val="32"/>
          <w:szCs w:val="32"/>
          <w:highlight w:val="none"/>
        </w:rPr>
        <w:t>。</w:t>
      </w:r>
    </w:p>
    <w:p w14:paraId="5D794EF8">
      <w:pPr>
        <w:keepNext w:val="0"/>
        <w:keepLines w:val="0"/>
        <w:pageBreakBefore w:val="0"/>
        <w:tabs>
          <w:tab w:val="left" w:pos="1680"/>
        </w:tabs>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29740CBA">
      <w:pPr>
        <w:keepNext w:val="0"/>
        <w:keepLines w:val="0"/>
        <w:pageBreakBefore w:val="0"/>
        <w:tabs>
          <w:tab w:val="left" w:pos="1680"/>
        </w:tabs>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注意事项：</w:t>
      </w:r>
    </w:p>
    <w:p w14:paraId="13C69211">
      <w:pPr>
        <w:keepNext w:val="0"/>
        <w:keepLines w:val="0"/>
        <w:pageBreakBefore w:val="0"/>
        <w:widowControl w:val="0"/>
        <w:tabs>
          <w:tab w:val="left" w:pos="1680"/>
        </w:tabs>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１．</w:t>
      </w:r>
      <w:r>
        <w:rPr>
          <w:rFonts w:hint="eastAsia" w:ascii="仿宋_GB2312" w:hAnsi="仿宋_GB2312" w:eastAsia="仿宋_GB2312" w:cs="仿宋_GB2312"/>
          <w:color w:val="auto"/>
          <w:sz w:val="32"/>
          <w:szCs w:val="32"/>
          <w:highlight w:val="none"/>
        </w:rPr>
        <w:t xml:space="preserve">一旦发现中标候选单位的投标建造师已有在建或已另有工程中标的，则取消其中标候选人资格，同时按相关法律法规处罚。 </w:t>
      </w:r>
    </w:p>
    <w:p w14:paraId="1E69637D">
      <w:pPr>
        <w:keepNext w:val="0"/>
        <w:keepLines w:val="0"/>
        <w:pageBreakBefore w:val="0"/>
        <w:widowControl w:val="0"/>
        <w:tabs>
          <w:tab w:val="left" w:pos="1680"/>
        </w:tabs>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２．</w:t>
      </w:r>
      <w:r>
        <w:rPr>
          <w:rFonts w:hint="eastAsia" w:ascii="仿宋_GB2312" w:hAnsi="仿宋_GB2312" w:eastAsia="仿宋_GB2312" w:cs="仿宋_GB2312"/>
          <w:color w:val="auto"/>
          <w:sz w:val="32"/>
          <w:szCs w:val="32"/>
          <w:highlight w:val="none"/>
        </w:rPr>
        <w:t xml:space="preserve">一旦发现中标单位存在非法转包、转让、挂靠等行为的， 将依法进行处理 ，给招标人造成损失的，依法承担赔偿责任。 </w:t>
      </w:r>
    </w:p>
    <w:p w14:paraId="58AC5D1F">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３．</w:t>
      </w:r>
      <w:r>
        <w:rPr>
          <w:rFonts w:hint="eastAsia" w:ascii="仿宋_GB2312" w:hAnsi="仿宋_GB2312" w:eastAsia="仿宋_GB2312" w:cs="仿宋_GB2312"/>
          <w:color w:val="auto"/>
          <w:sz w:val="32"/>
          <w:szCs w:val="32"/>
          <w:highlight w:val="none"/>
        </w:rPr>
        <w:t>本工程招标公告中的评标细则与招标文件中的评标细则不一致时，以招标公告中的评标细则为准</w:t>
      </w:r>
      <w:r>
        <w:rPr>
          <w:rFonts w:hint="eastAsia" w:ascii="仿宋_GB2312" w:hAnsi="仿宋_GB2312" w:eastAsia="仿宋_GB2312" w:cs="仿宋_GB2312"/>
          <w:color w:val="auto"/>
          <w:sz w:val="32"/>
          <w:szCs w:val="32"/>
        </w:rPr>
        <w:t>。</w:t>
      </w:r>
    </w:p>
    <w:p w14:paraId="406527F0">
      <w:pPr>
        <w:keepNext w:val="0"/>
        <w:keepLines w:val="0"/>
        <w:pageBreakBefore w:val="0"/>
        <w:widowControl w:val="0"/>
        <w:tabs>
          <w:tab w:val="left" w:pos="540"/>
          <w:tab w:val="left" w:pos="720"/>
          <w:tab w:val="left" w:pos="900"/>
          <w:tab w:val="left" w:pos="1080"/>
        </w:tabs>
        <w:kinsoku/>
        <w:wordWrap/>
        <w:overflowPunct/>
        <w:topLinePunct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sectPr>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pPr>
    </w:p>
    <w:p w14:paraId="67E3E2B8">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3</w:t>
      </w:r>
    </w:p>
    <w:p w14:paraId="3EECCC27">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rPr>
      </w:pPr>
    </w:p>
    <w:p w14:paraId="14EDD8F5">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法定代表人资格书</w:t>
      </w:r>
    </w:p>
    <w:p w14:paraId="7E1DB027">
      <w:pPr>
        <w:pStyle w:val="9"/>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w:t>
      </w:r>
    </w:p>
    <w:p w14:paraId="0B5A705C">
      <w:pPr>
        <w:pStyle w:val="9"/>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14:paraId="34B42C37">
      <w:pPr>
        <w:pStyle w:val="9"/>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             性别：          年龄：          职务：</w:t>
      </w:r>
    </w:p>
    <w:p w14:paraId="7DD4B2CB">
      <w:pPr>
        <w:pStyle w:val="9"/>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的法定代表人。为施工、竣工和保修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的工程，签署上述工程的报名材料、资审材料、投标文件、进行合同谈判、签署合同和处理与之有关的一切事务。</w:t>
      </w:r>
    </w:p>
    <w:p w14:paraId="05EF9F01">
      <w:pPr>
        <w:pStyle w:val="9"/>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2909BFD2">
      <w:pPr>
        <w:pStyle w:val="9"/>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113FF05B">
      <w:pPr>
        <w:pStyle w:val="9"/>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0E6A9EC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5359309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4933950" cy="2882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41187F43">
                            <w:pPr>
                              <w:rPr>
                                <w:b/>
                              </w:rPr>
                            </w:pPr>
                            <w:r>
                              <w:rPr>
                                <w:rFonts w:hint="eastAsia"/>
                                <w:b/>
                              </w:rPr>
                              <w:t>（此处为法定代表人身份证复印件粘贴处，未提供复印件的视为无效身份证明）</w:t>
                            </w:r>
                          </w:p>
                          <w:p w14:paraId="16741D64"/>
                        </w:txbxContent>
                      </wps:txbx>
                      <wps:bodyPr upright="1"/>
                    </wps:wsp>
                  </a:graphicData>
                </a:graphic>
              </wp:anchor>
            </w:drawing>
          </mc:Choice>
          <mc:Fallback>
            <w:pict>
              <v:shape id="_x0000_s1026" o:spid="_x0000_s1026" o:spt="202" type="#_x0000_t202" style="position:absolute;left:0pt;margin-left:18.2pt;margin-top:20.35pt;height:227pt;width:388.5pt;z-index:251659264;mso-width-relative:page;mso-height-relative:page;" filled="f" stroked="t" coordsize="21600,21600" o:gfxdata="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mJ731gAAAAkBAAAPAAAAAAAAAAEAIAAA&#10;ACIAAABkcnMvZG93bnJldi54bWxQSwECFAAUAAAACACHTuJAGUz52A4CAAAcBAAADgAAAAAAAAAB&#10;ACAAAAAlAQAAZHJzL2Uyb0RvYy54bWxQSwUGAAAAAAYABgBZAQAApQUAAAAA&#10;">
                <v:fill on="f" focussize="0,0"/>
                <v:stroke color="#000000" joinstyle="miter"/>
                <v:imagedata o:title=""/>
                <o:lock v:ext="edit" aspectratio="f"/>
                <v:textbox>
                  <w:txbxContent>
                    <w:p w14:paraId="41187F43">
                      <w:pPr>
                        <w:rPr>
                          <w:b/>
                        </w:rPr>
                      </w:pPr>
                      <w:r>
                        <w:rPr>
                          <w:rFonts w:hint="eastAsia"/>
                          <w:b/>
                        </w:rPr>
                        <w:t>（此处为法定代表人身份证复印件粘贴处，未提供复印件的视为无效身份证明）</w:t>
                      </w:r>
                    </w:p>
                    <w:p w14:paraId="16741D64"/>
                  </w:txbxContent>
                </v:textbox>
              </v:shape>
            </w:pict>
          </mc:Fallback>
        </mc:AlternateContent>
      </w:r>
    </w:p>
    <w:p w14:paraId="50127DD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6C2D516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7455A67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5230B12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31DB741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63AE49B2">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br w:type="page"/>
      </w:r>
      <w:r>
        <w:rPr>
          <w:rFonts w:hint="eastAsia" w:ascii="方正小标宋简体" w:hAnsi="Times New Roman" w:eastAsia="方正小标宋简体" w:cs="方正小标宋简体"/>
          <w:bCs/>
          <w:color w:val="auto"/>
          <w:kern w:val="44"/>
          <w:sz w:val="44"/>
          <w:szCs w:val="44"/>
          <w:highlight w:val="none"/>
          <w:lang w:bidi="ar"/>
        </w:rPr>
        <w:t>授权委托书</w:t>
      </w:r>
    </w:p>
    <w:p w14:paraId="47556DA7">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（姓名）为我公司代理人，参加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（招标人）的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工程的投标活动。代理人在报名、资审、开标、评标、合同谈判过程中所签署的一切文件和处理与之有关的一切事务，我均予以承认。</w:t>
      </w:r>
    </w:p>
    <w:p w14:paraId="420C5615">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代理人无转委权。特此委托。</w:t>
      </w:r>
    </w:p>
    <w:p w14:paraId="38A15DA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     性别：    出生日期：</w:t>
      </w:r>
    </w:p>
    <w:p w14:paraId="08AA43DB">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       部门：    职务：</w:t>
      </w:r>
    </w:p>
    <w:p w14:paraId="18D0F0A2">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45AC1DF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p>
    <w:p w14:paraId="0A543072">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40A43DE1">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4933950" cy="2330450"/>
                <wp:effectExtent l="4445" t="4445" r="14605" b="12065"/>
                <wp:wrapNone/>
                <wp:docPr id="5" name="文本框 5"/>
                <wp:cNvGraphicFramePr/>
                <a:graphic xmlns:a="http://schemas.openxmlformats.org/drawingml/2006/main">
                  <a:graphicData uri="http://schemas.microsoft.com/office/word/2010/wordprocessingShape">
                    <wps:wsp>
                      <wps:cNvSpPr txBox="1"/>
                      <wps:spPr>
                        <a:xfrm>
                          <a:off x="0" y="0"/>
                          <a:ext cx="4933950" cy="2330450"/>
                        </a:xfrm>
                        <a:prstGeom prst="rect">
                          <a:avLst/>
                        </a:prstGeom>
                        <a:noFill/>
                        <a:ln w="9525" cap="flat" cmpd="sng">
                          <a:solidFill>
                            <a:srgbClr val="000000"/>
                          </a:solidFill>
                          <a:prstDash val="solid"/>
                          <a:miter/>
                          <a:headEnd type="none" w="med" len="med"/>
                          <a:tailEnd type="none" w="med" len="med"/>
                        </a:ln>
                        <a:effectLst/>
                      </wps:spPr>
                      <wps:txbx>
                        <w:txbxContent>
                          <w:p w14:paraId="352C301D">
                            <w:pPr>
                              <w:rPr>
                                <w:b/>
                              </w:rPr>
                            </w:pPr>
                            <w:r>
                              <w:rPr>
                                <w:rFonts w:hint="eastAsia"/>
                                <w:b/>
                              </w:rPr>
                              <w:t>（此处为被委托人身份证复印件粘贴处，未提供复印件的视为无效身份证明）</w:t>
                            </w:r>
                          </w:p>
                          <w:p w14:paraId="099E6201"/>
                        </w:txbxContent>
                      </wps:txbx>
                      <wps:bodyPr upright="1"/>
                    </wps:wsp>
                  </a:graphicData>
                </a:graphic>
              </wp:anchor>
            </w:drawing>
          </mc:Choice>
          <mc:Fallback>
            <w:pict>
              <v:shape id="_x0000_s1026" o:spid="_x0000_s1026" o:spt="202" type="#_x0000_t202" style="position:absolute;left:0pt;margin-left:26.95pt;margin-top:15.5pt;height:183.5pt;width:388.5pt;z-index:251660288;mso-width-relative:page;mso-height-relative:page;" filled="f" stroked="t" coordsize="21600,21600" o:gfxdata="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gffzTAAAACQEAAA8AAAAAAAAAAQAgAAAAIgAAAGRy&#10;cy9kb3ducmV2LnhtbFBLAQIUABQAAAAIAIdO4kDQ6uo9CgIAABwEAAAOAAAAAAAAAAEAIAAAACIB&#10;AABkcnMvZTJvRG9jLnhtbFBLBQYAAAAABgAGAFkBAACeBQAAAAA=&#10;">
                <v:fill on="f" focussize="0,0"/>
                <v:stroke color="#000000" joinstyle="miter"/>
                <v:imagedata o:title=""/>
                <o:lock v:ext="edit" aspectratio="f"/>
                <v:textbox>
                  <w:txbxContent>
                    <w:p w14:paraId="352C301D">
                      <w:pPr>
                        <w:rPr>
                          <w:b/>
                        </w:rPr>
                      </w:pPr>
                      <w:r>
                        <w:rPr>
                          <w:rFonts w:hint="eastAsia"/>
                          <w:b/>
                        </w:rPr>
                        <w:t>（此处为被委托人身份证复印件粘贴处，未提供复印件的视为无效身份证明）</w:t>
                      </w:r>
                    </w:p>
                    <w:p w14:paraId="099E6201"/>
                  </w:txbxContent>
                </v:textbox>
              </v:shape>
            </w:pict>
          </mc:Fallback>
        </mc:AlternateContent>
      </w:r>
    </w:p>
    <w:p w14:paraId="2AA13E6F">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64FC59A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5CD355F5">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011C627A">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2744572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08C31327">
      <w:pPr>
        <w:keepNext w:val="0"/>
        <w:keepLines w:val="0"/>
        <w:pageBreakBefore w:val="0"/>
        <w:tabs>
          <w:tab w:val="left" w:pos="0"/>
          <w:tab w:val="left" w:pos="993"/>
          <w:tab w:val="left" w:pos="1134"/>
        </w:tabs>
        <w:kinsoku/>
        <w:wordWrap/>
        <w:overflowPunct/>
        <w:topLinePunct w:val="0"/>
        <w:bidi w:val="0"/>
        <w:adjustRightInd w:val="0"/>
        <w:snapToGrid w:val="0"/>
        <w:spacing w:line="560" w:lineRule="exact"/>
        <w:ind w:left="0" w:leftChars="0" w:right="0" w:rightChars="0" w:firstLine="643" w:firstLineChars="200"/>
        <w:rPr>
          <w:rFonts w:hint="eastAsia" w:ascii="仿宋_GB2312" w:hAnsi="仿宋_GB2312" w:eastAsia="仿宋_GB2312" w:cs="仿宋_GB2312"/>
          <w:b/>
          <w:color w:val="auto"/>
          <w:sz w:val="32"/>
          <w:szCs w:val="32"/>
        </w:rPr>
      </w:pPr>
    </w:p>
    <w:p w14:paraId="03C4FD1E">
      <w:pPr>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52A12847">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bidi="ar"/>
        </w:rPr>
        <w:sectPr>
          <w:headerReference r:id="rId6" w:type="default"/>
          <w:footerReference r:id="rId7" w:type="default"/>
          <w:pgSz w:w="11906" w:h="16838"/>
          <w:pgMar w:top="1928" w:right="1361" w:bottom="2154" w:left="1474" w:header="851" w:footer="992" w:gutter="0"/>
          <w:pgNumType w:fmt="numberInDash"/>
          <w:cols w:space="0" w:num="1"/>
          <w:docGrid w:type="lines" w:linePitch="312" w:charSpace="0"/>
        </w:sectPr>
      </w:pPr>
    </w:p>
    <w:p w14:paraId="644F7BA6">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4</w:t>
      </w:r>
    </w:p>
    <w:p w14:paraId="6F3FD4E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投标人信用承诺书</w:t>
      </w:r>
    </w:p>
    <w:p w14:paraId="05FA9390">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本单位及法定代表人，清楚知晓并参与本项目的招投标活动，并作出承诺如下：</w:t>
      </w:r>
    </w:p>
    <w:p w14:paraId="16DF6A9D">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一、遵循公开、公平、公正和诚实信用的原则，依法依规参与本项目招投标活动。</w:t>
      </w:r>
    </w:p>
    <w:p w14:paraId="78300E9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二、严格按照本次招标文件中的投标人资格要求提供相应投标资料，并在</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中录入的所有企业信息和上传的企业资料都是真实、有效、准确且合法的，没有弄虚作假的情形。</w:t>
      </w:r>
    </w:p>
    <w:p w14:paraId="6A5C51A1">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三、在参与本项目招标投标活动中，不存在任何围标串标活动，也不存在以他人名义投标的行为。</w:t>
      </w:r>
    </w:p>
    <w:p w14:paraId="01A5960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、在参与本项目招投标活动中，若投标人或项目负责人为失信被执行人的，自愿放弃本次投标资格。</w:t>
      </w:r>
    </w:p>
    <w:p w14:paraId="40E00A1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、正确履行法律法规规定的投标人权利和义务，遵纪守法，清正廉洁，不徇私枉法，服从建设等行政主管部门监管，接受社会监督。</w:t>
      </w:r>
    </w:p>
    <w:p w14:paraId="30CEA936">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2505E318">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本承诺书一经签订即作为中标合同的组成部分，对本单位参与本项目招投标活动的行为具有法律约束力。 </w:t>
      </w:r>
    </w:p>
    <w:p w14:paraId="329CC087">
      <w:pPr>
        <w:keepNext w:val="0"/>
        <w:keepLines w:val="0"/>
        <w:pageBreakBefore w:val="0"/>
        <w:kinsoku/>
        <w:wordWrap/>
        <w:overflowPunct/>
        <w:topLinePunct w:val="0"/>
        <w:bidi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投标人（盖章）：</w:t>
      </w:r>
    </w:p>
    <w:p w14:paraId="4206B067">
      <w:pPr>
        <w:keepNext w:val="0"/>
        <w:keepLines w:val="0"/>
        <w:pageBreakBefore w:val="0"/>
        <w:kinsoku/>
        <w:wordWrap/>
        <w:overflowPunct/>
        <w:topLinePunct w:val="0"/>
        <w:bidi w:val="0"/>
        <w:snapToGrid w:val="0"/>
        <w:spacing w:line="560" w:lineRule="exact"/>
        <w:ind w:left="0" w:leftChars="0" w:right="0" w:rightChars="0"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w:t>
      </w:r>
    </w:p>
    <w:p w14:paraId="3262F17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453CD32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FE6A1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0C474D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00AEB7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1805E7D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04AE43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5A9AAEBB">
      <w:pPr>
        <w:keepNext w:val="0"/>
        <w:keepLines w:val="0"/>
        <w:pageBreakBefore w:val="0"/>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rPr>
      </w:pPr>
    </w:p>
    <w:p w14:paraId="2047592D">
      <w:pPr>
        <w:keepNext w:val="0"/>
        <w:keepLines w:val="0"/>
        <w:pageBreakBefore w:val="0"/>
        <w:kinsoku/>
        <w:wordWrap/>
        <w:overflowPunct/>
        <w:topLinePunct w:val="0"/>
        <w:autoSpaceDE w:val="0"/>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p>
    <w:p w14:paraId="7055284A">
      <w:pPr>
        <w:keepNext w:val="0"/>
        <w:keepLines w:val="0"/>
        <w:pageBreakBefore w:val="0"/>
        <w:kinsoku/>
        <w:wordWrap/>
        <w:overflowPunct/>
        <w:topLinePunct w:val="0"/>
        <w:autoSpaceDE w:val="0"/>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p>
    <w:p w14:paraId="7AF596E8">
      <w:pPr>
        <w:keepNext w:val="0"/>
        <w:keepLines w:val="0"/>
        <w:pageBreakBefore w:val="0"/>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p>
    <w:sectPr>
      <w:pgSz w:w="11906" w:h="16838"/>
      <w:pgMar w:top="1928" w:right="1361" w:bottom="215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E737C1-F4D6-469A-BEEF-242C85876451}"/>
  </w:font>
  <w:font w:name="黑体">
    <w:panose1 w:val="02010609060101010101"/>
    <w:charset w:val="86"/>
    <w:family w:val="auto"/>
    <w:pitch w:val="default"/>
    <w:sig w:usb0="800002BF" w:usb1="38CF7CFA" w:usb2="00000016" w:usb3="00000000" w:csb0="00040001" w:csb1="00000000"/>
    <w:embedRegular r:id="rId2" w:fontKey="{14BCBC62-4ED9-461B-AE51-9BECD4155B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C04A7418-4FDC-45D2-8C78-4E3452B4D1F4}"/>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4" w:fontKey="{25D52C2D-086A-48B8-96C7-0BB38B0797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22C0B">
    <w:pPr>
      <w:pStyle w:val="11"/>
      <w:framePr w:wrap="around" w:vAnchor="text" w:hAnchor="margin" w:xAlign="center" w:y="2"/>
      <w:rPr>
        <w:rStyle w:val="18"/>
      </w:rPr>
    </w:pPr>
    <w:r>
      <w:fldChar w:fldCharType="begin"/>
    </w:r>
    <w:r>
      <w:rPr>
        <w:rStyle w:val="18"/>
      </w:rPr>
      <w:instrText xml:space="preserve">PAGE  </w:instrText>
    </w:r>
    <w:r>
      <w:fldChar w:fldCharType="separate"/>
    </w:r>
    <w:r>
      <w:rPr>
        <w:rStyle w:val="18"/>
      </w:rPr>
      <w:t>2</w:t>
    </w:r>
    <w:r>
      <w:fldChar w:fldCharType="end"/>
    </w:r>
  </w:p>
  <w:p w14:paraId="02241E0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1BFE">
    <w:pPr>
      <w:pStyle w:val="11"/>
      <w:framePr w:wrap="around" w:vAnchor="text" w:hAnchor="margin" w:xAlign="center" w:y="2"/>
      <w:rPr>
        <w:rStyle w:val="18"/>
      </w:rPr>
    </w:pPr>
    <w:r>
      <w:fldChar w:fldCharType="begin"/>
    </w:r>
    <w:r>
      <w:rPr>
        <w:rStyle w:val="18"/>
      </w:rPr>
      <w:instrText xml:space="preserve">PAGE  </w:instrText>
    </w:r>
    <w:r>
      <w:fldChar w:fldCharType="end"/>
    </w:r>
  </w:p>
  <w:p w14:paraId="09819ED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79E1">
    <w:pPr>
      <w:pStyle w:val="11"/>
      <w:ind w:firstLine="360"/>
    </w:pPr>
    <w:r>
      <mc:AlternateContent>
        <mc:Choice Requires="wps">
          <w:drawing>
            <wp:anchor distT="0" distB="0" distL="114300" distR="114300" simplePos="0" relativeHeight="251659264" behindDoc="0" locked="0" layoutInCell="1" allowOverlap="1">
              <wp:simplePos x="0" y="0"/>
              <wp:positionH relativeFrom="margin">
                <wp:posOffset>2546985</wp:posOffset>
              </wp:positionH>
              <wp:positionV relativeFrom="paragraph">
                <wp:posOffset>-130810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7BD48">
                          <w:pPr>
                            <w:pStyle w:val="11"/>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5pt;margin-top:-10.3pt;height:22.2pt;width:47.45pt;mso-position-horizontal-relative:margin;z-index:251659264;mso-width-relative:page;mso-height-relative:page;" filled="f" stroked="f" coordsize="21600,21600" o:gfxdata="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kdzZ2QAAAAoBAAAPAAAAAAAAAAEAIAAAACIAAABkcnMvZG93bnJldi54bWxQ&#10;SwECFAAUAAAACACHTuJAvS1t1C8CAABVBAAADgAAAAAAAAABACAAAAAoAQAAZHJzL2Uyb0RvYy54&#10;bWxQSwUGAAAAAAYABgBZAQAAyQUAAAAA&#10;">
              <v:fill on="f" focussize="0,0"/>
              <v:stroke on="f" weight="0.5pt"/>
              <v:imagedata o:title=""/>
              <o:lock v:ext="edit" aspectratio="f"/>
              <v:textbox inset="0mm,0mm,0mm,0mm">
                <w:txbxContent>
                  <w:p w14:paraId="3E57BD48">
                    <w:pPr>
                      <w:pStyle w:val="11"/>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52F1">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CA5D">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DJhOGQyNjk0MWY4MjFkYWRjODc3ZmY5YzM2OGQifQ=="/>
  </w:docVars>
  <w:rsids>
    <w:rsidRoot w:val="4E7A625A"/>
    <w:rsid w:val="00A01A0A"/>
    <w:rsid w:val="00B51FAF"/>
    <w:rsid w:val="00C220B7"/>
    <w:rsid w:val="00F0589F"/>
    <w:rsid w:val="013851DA"/>
    <w:rsid w:val="01722330"/>
    <w:rsid w:val="018E14F6"/>
    <w:rsid w:val="01BE1198"/>
    <w:rsid w:val="029137FA"/>
    <w:rsid w:val="03647853"/>
    <w:rsid w:val="03BF0421"/>
    <w:rsid w:val="054144F3"/>
    <w:rsid w:val="05CB4E38"/>
    <w:rsid w:val="06033F82"/>
    <w:rsid w:val="06236B88"/>
    <w:rsid w:val="06690735"/>
    <w:rsid w:val="068E3768"/>
    <w:rsid w:val="06940536"/>
    <w:rsid w:val="073C3880"/>
    <w:rsid w:val="07A429B7"/>
    <w:rsid w:val="088A1ADE"/>
    <w:rsid w:val="08AD2EF4"/>
    <w:rsid w:val="08CC4A1B"/>
    <w:rsid w:val="090048DC"/>
    <w:rsid w:val="0A305844"/>
    <w:rsid w:val="0AC63F81"/>
    <w:rsid w:val="0AE6373E"/>
    <w:rsid w:val="0B0E106E"/>
    <w:rsid w:val="0BBE4019"/>
    <w:rsid w:val="0BE52875"/>
    <w:rsid w:val="0C10591B"/>
    <w:rsid w:val="0C7B72F6"/>
    <w:rsid w:val="0D106492"/>
    <w:rsid w:val="0D631FA5"/>
    <w:rsid w:val="0E96630C"/>
    <w:rsid w:val="0EC31B94"/>
    <w:rsid w:val="0F362BEE"/>
    <w:rsid w:val="100D367B"/>
    <w:rsid w:val="10495085"/>
    <w:rsid w:val="104E3A8F"/>
    <w:rsid w:val="105E7254"/>
    <w:rsid w:val="10623011"/>
    <w:rsid w:val="113B44EC"/>
    <w:rsid w:val="11B81FE1"/>
    <w:rsid w:val="12396644"/>
    <w:rsid w:val="128E19A9"/>
    <w:rsid w:val="13B33406"/>
    <w:rsid w:val="13BF3DBE"/>
    <w:rsid w:val="1407618A"/>
    <w:rsid w:val="140A17A1"/>
    <w:rsid w:val="141E6E98"/>
    <w:rsid w:val="154D25EA"/>
    <w:rsid w:val="157C2289"/>
    <w:rsid w:val="1586742B"/>
    <w:rsid w:val="15FE656C"/>
    <w:rsid w:val="161964C6"/>
    <w:rsid w:val="168D7598"/>
    <w:rsid w:val="17251F02"/>
    <w:rsid w:val="178F5078"/>
    <w:rsid w:val="191507FE"/>
    <w:rsid w:val="19514188"/>
    <w:rsid w:val="19694374"/>
    <w:rsid w:val="1A734CF7"/>
    <w:rsid w:val="1B213295"/>
    <w:rsid w:val="1B4A3ACE"/>
    <w:rsid w:val="1B4C2CD0"/>
    <w:rsid w:val="1B565763"/>
    <w:rsid w:val="1C391C39"/>
    <w:rsid w:val="1C3D736A"/>
    <w:rsid w:val="1CB117C2"/>
    <w:rsid w:val="1CD84695"/>
    <w:rsid w:val="1D777799"/>
    <w:rsid w:val="1DD65CC8"/>
    <w:rsid w:val="1E170592"/>
    <w:rsid w:val="1E56319D"/>
    <w:rsid w:val="1E8E44D8"/>
    <w:rsid w:val="1F163E84"/>
    <w:rsid w:val="1F325180"/>
    <w:rsid w:val="1F8343DB"/>
    <w:rsid w:val="20396400"/>
    <w:rsid w:val="20480747"/>
    <w:rsid w:val="2164555B"/>
    <w:rsid w:val="21675FC1"/>
    <w:rsid w:val="218B0B78"/>
    <w:rsid w:val="219C367C"/>
    <w:rsid w:val="21CF060D"/>
    <w:rsid w:val="21DD7533"/>
    <w:rsid w:val="21FD729B"/>
    <w:rsid w:val="220B1557"/>
    <w:rsid w:val="228B1CFF"/>
    <w:rsid w:val="22993263"/>
    <w:rsid w:val="233E65F0"/>
    <w:rsid w:val="24A7216D"/>
    <w:rsid w:val="24AA7A3F"/>
    <w:rsid w:val="24B56E14"/>
    <w:rsid w:val="24BB4C9A"/>
    <w:rsid w:val="25CA2B30"/>
    <w:rsid w:val="269F1681"/>
    <w:rsid w:val="26B618CC"/>
    <w:rsid w:val="26BF5E53"/>
    <w:rsid w:val="27DE2FC0"/>
    <w:rsid w:val="281B5EC4"/>
    <w:rsid w:val="28CA01D8"/>
    <w:rsid w:val="294778C2"/>
    <w:rsid w:val="2A614A98"/>
    <w:rsid w:val="2C201920"/>
    <w:rsid w:val="2C244FA1"/>
    <w:rsid w:val="2C6142AE"/>
    <w:rsid w:val="2CCF4C96"/>
    <w:rsid w:val="2E002091"/>
    <w:rsid w:val="2E417D09"/>
    <w:rsid w:val="2EA3406A"/>
    <w:rsid w:val="2F124E51"/>
    <w:rsid w:val="2F4733FE"/>
    <w:rsid w:val="2F913390"/>
    <w:rsid w:val="2FBD0A5E"/>
    <w:rsid w:val="2FDD5D63"/>
    <w:rsid w:val="2FE619F1"/>
    <w:rsid w:val="30731155"/>
    <w:rsid w:val="326A4F13"/>
    <w:rsid w:val="33081F33"/>
    <w:rsid w:val="33D32CCC"/>
    <w:rsid w:val="34B453BB"/>
    <w:rsid w:val="34FD1935"/>
    <w:rsid w:val="35EE3516"/>
    <w:rsid w:val="36E92893"/>
    <w:rsid w:val="378160EC"/>
    <w:rsid w:val="384977AD"/>
    <w:rsid w:val="38F17347"/>
    <w:rsid w:val="39CB40BB"/>
    <w:rsid w:val="3B0730EF"/>
    <w:rsid w:val="3C187033"/>
    <w:rsid w:val="3CFD4441"/>
    <w:rsid w:val="3DDE0DD4"/>
    <w:rsid w:val="3DF8713D"/>
    <w:rsid w:val="3E0A4B97"/>
    <w:rsid w:val="3EA9688B"/>
    <w:rsid w:val="3EBA0082"/>
    <w:rsid w:val="3EC54862"/>
    <w:rsid w:val="3EFD02AE"/>
    <w:rsid w:val="3F6F2FB1"/>
    <w:rsid w:val="3FB0357B"/>
    <w:rsid w:val="3FE24949"/>
    <w:rsid w:val="40774C14"/>
    <w:rsid w:val="40C96D27"/>
    <w:rsid w:val="410200B3"/>
    <w:rsid w:val="425158A3"/>
    <w:rsid w:val="42AC759A"/>
    <w:rsid w:val="42C002CF"/>
    <w:rsid w:val="44FA347A"/>
    <w:rsid w:val="45290F50"/>
    <w:rsid w:val="452B1BAF"/>
    <w:rsid w:val="45812155"/>
    <w:rsid w:val="463C0801"/>
    <w:rsid w:val="47946B03"/>
    <w:rsid w:val="48193586"/>
    <w:rsid w:val="484D176C"/>
    <w:rsid w:val="48BB0626"/>
    <w:rsid w:val="48E00E00"/>
    <w:rsid w:val="48F32012"/>
    <w:rsid w:val="4A7919BE"/>
    <w:rsid w:val="4A7B65EB"/>
    <w:rsid w:val="4B7230B4"/>
    <w:rsid w:val="4B751DCD"/>
    <w:rsid w:val="4D1865A3"/>
    <w:rsid w:val="4E3E6DEE"/>
    <w:rsid w:val="4E7A625A"/>
    <w:rsid w:val="4EAF1B55"/>
    <w:rsid w:val="4EDD74E8"/>
    <w:rsid w:val="4F020368"/>
    <w:rsid w:val="4F80608F"/>
    <w:rsid w:val="4FC43323"/>
    <w:rsid w:val="503572C0"/>
    <w:rsid w:val="511757F2"/>
    <w:rsid w:val="511D4F82"/>
    <w:rsid w:val="51B3364F"/>
    <w:rsid w:val="53A62E82"/>
    <w:rsid w:val="553F163A"/>
    <w:rsid w:val="553F2BAD"/>
    <w:rsid w:val="55850EFA"/>
    <w:rsid w:val="55AD03B6"/>
    <w:rsid w:val="566B3D9C"/>
    <w:rsid w:val="574D580D"/>
    <w:rsid w:val="57DA1D5C"/>
    <w:rsid w:val="57DD440B"/>
    <w:rsid w:val="57F24E68"/>
    <w:rsid w:val="58BB30A2"/>
    <w:rsid w:val="58EF4377"/>
    <w:rsid w:val="58F447C2"/>
    <w:rsid w:val="594E12AA"/>
    <w:rsid w:val="59537B91"/>
    <w:rsid w:val="5966217F"/>
    <w:rsid w:val="59C15A6E"/>
    <w:rsid w:val="59DF6834"/>
    <w:rsid w:val="59F2097D"/>
    <w:rsid w:val="5A186745"/>
    <w:rsid w:val="5AB3021C"/>
    <w:rsid w:val="5B432946"/>
    <w:rsid w:val="5B822E9D"/>
    <w:rsid w:val="5BD73D3B"/>
    <w:rsid w:val="5C1473E0"/>
    <w:rsid w:val="5E137A36"/>
    <w:rsid w:val="5E5553C7"/>
    <w:rsid w:val="607C3927"/>
    <w:rsid w:val="612B684E"/>
    <w:rsid w:val="61527712"/>
    <w:rsid w:val="63176E75"/>
    <w:rsid w:val="637A5646"/>
    <w:rsid w:val="639A01CB"/>
    <w:rsid w:val="63F4603A"/>
    <w:rsid w:val="63FA4B54"/>
    <w:rsid w:val="64093F70"/>
    <w:rsid w:val="651346D9"/>
    <w:rsid w:val="65923B91"/>
    <w:rsid w:val="65F14AFE"/>
    <w:rsid w:val="66017F6E"/>
    <w:rsid w:val="66D90E30"/>
    <w:rsid w:val="67A30CC4"/>
    <w:rsid w:val="68110444"/>
    <w:rsid w:val="68352BB8"/>
    <w:rsid w:val="68551FC8"/>
    <w:rsid w:val="68AB6990"/>
    <w:rsid w:val="69173724"/>
    <w:rsid w:val="6AA40BD1"/>
    <w:rsid w:val="6BEB5FCA"/>
    <w:rsid w:val="6BFA3EFD"/>
    <w:rsid w:val="6C895281"/>
    <w:rsid w:val="6CBF479C"/>
    <w:rsid w:val="6E2C2368"/>
    <w:rsid w:val="6EE63F95"/>
    <w:rsid w:val="6F257305"/>
    <w:rsid w:val="700D4DA4"/>
    <w:rsid w:val="70162D6E"/>
    <w:rsid w:val="704045D3"/>
    <w:rsid w:val="70E76A1A"/>
    <w:rsid w:val="71726A12"/>
    <w:rsid w:val="72223297"/>
    <w:rsid w:val="73B75D5F"/>
    <w:rsid w:val="73E0463F"/>
    <w:rsid w:val="73EC5E1A"/>
    <w:rsid w:val="74231ACE"/>
    <w:rsid w:val="748553D3"/>
    <w:rsid w:val="76527987"/>
    <w:rsid w:val="773E295A"/>
    <w:rsid w:val="77721E8E"/>
    <w:rsid w:val="77B57F4F"/>
    <w:rsid w:val="77D15D7E"/>
    <w:rsid w:val="78091B5E"/>
    <w:rsid w:val="783B658D"/>
    <w:rsid w:val="78AD248D"/>
    <w:rsid w:val="7A4C17D5"/>
    <w:rsid w:val="7C5C47A0"/>
    <w:rsid w:val="7C865339"/>
    <w:rsid w:val="7C907F65"/>
    <w:rsid w:val="7C98391B"/>
    <w:rsid w:val="7D64046A"/>
    <w:rsid w:val="7D8A04D8"/>
    <w:rsid w:val="7DC26768"/>
    <w:rsid w:val="7E5D61B0"/>
    <w:rsid w:val="7EB70070"/>
    <w:rsid w:val="7EB8677B"/>
    <w:rsid w:val="7FA97DB0"/>
    <w:rsid w:val="7FC71EF0"/>
    <w:rsid w:val="7FFA3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0" w:after="20" w:line="415" w:lineRule="auto"/>
      <w:outlineLvl w:val="2"/>
    </w:pPr>
    <w:rPr>
      <w:rFonts w:ascii="Calibri" w:hAnsi="Calibri" w:eastAsia="黑体" w:cs="Calibri"/>
      <w:bCs/>
      <w:kern w:val="0"/>
      <w:sz w:val="24"/>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annotation text"/>
    <w:basedOn w:val="1"/>
    <w:qFormat/>
    <w:uiPriority w:val="0"/>
    <w:pPr>
      <w:jc w:val="left"/>
    </w:pPr>
  </w:style>
  <w:style w:type="paragraph" w:styleId="6">
    <w:name w:val="Body Text"/>
    <w:basedOn w:val="1"/>
    <w:next w:val="1"/>
    <w:autoRedefine/>
    <w:qFormat/>
    <w:uiPriority w:val="0"/>
    <w:pPr>
      <w:spacing w:after="100" w:line="440" w:lineRule="exact"/>
      <w:ind w:right="-2" w:rightChars="-1"/>
    </w:pPr>
    <w:rPr>
      <w:rFonts w:ascii="宋体" w:hAnsi="宋体"/>
      <w:sz w:val="28"/>
    </w:rPr>
  </w:style>
  <w:style w:type="paragraph" w:styleId="7">
    <w:name w:val="Body Text Indent"/>
    <w:basedOn w:val="1"/>
    <w:next w:val="8"/>
    <w:autoRedefine/>
    <w:qFormat/>
    <w:uiPriority w:val="0"/>
    <w:pPr>
      <w:spacing w:line="360" w:lineRule="auto"/>
      <w:ind w:firstLine="570"/>
    </w:pPr>
    <w:rPr>
      <w:sz w:val="24"/>
    </w:rPr>
  </w:style>
  <w:style w:type="paragraph" w:styleId="8">
    <w:name w:val="Body Text First Indent 2"/>
    <w:basedOn w:val="1"/>
    <w:next w:val="1"/>
    <w:autoRedefine/>
    <w:qFormat/>
    <w:uiPriority w:val="99"/>
    <w:pPr>
      <w:spacing w:after="120"/>
      <w:ind w:left="420" w:leftChars="200" w:firstLine="420"/>
    </w:pPr>
    <w:rPr>
      <w:color w:val="000000"/>
      <w:sz w:val="20"/>
    </w:rPr>
  </w:style>
  <w:style w:type="paragraph" w:styleId="9">
    <w:name w:val="Plain Text"/>
    <w:basedOn w:val="1"/>
    <w:qFormat/>
    <w:uiPriority w:val="0"/>
    <w:rPr>
      <w:rFonts w:ascii="宋体" w:hAnsi="Courier New"/>
      <w:szCs w:val="24"/>
    </w:rPr>
  </w:style>
  <w:style w:type="paragraph" w:styleId="10">
    <w:name w:val="Body Text Indent 2"/>
    <w:basedOn w:val="1"/>
    <w:qFormat/>
    <w:uiPriority w:val="0"/>
    <w:pPr>
      <w:snapToGrid w:val="0"/>
      <w:spacing w:line="400" w:lineRule="exact"/>
      <w:ind w:firstLine="480"/>
    </w:pPr>
    <w:rPr>
      <w:rFonts w:eastAsia="仿宋_GB2312"/>
      <w:sz w:val="24"/>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6"/>
    <w:autoRedefine/>
    <w:qFormat/>
    <w:uiPriority w:val="0"/>
    <w:pPr>
      <w:ind w:firstLine="420" w:firstLineChars="100"/>
    </w:pPr>
  </w:style>
  <w:style w:type="character" w:styleId="17">
    <w:name w:val="Strong"/>
    <w:basedOn w:val="16"/>
    <w:autoRedefine/>
    <w:qFormat/>
    <w:uiPriority w:val="22"/>
    <w:rPr>
      <w:b/>
      <w:bCs/>
    </w:rPr>
  </w:style>
  <w:style w:type="character" w:styleId="18">
    <w:name w:val="page number"/>
    <w:qFormat/>
    <w:uiPriority w:val="0"/>
  </w:style>
  <w:style w:type="character" w:styleId="19">
    <w:name w:val="FollowedHyperlink"/>
    <w:basedOn w:val="16"/>
    <w:qFormat/>
    <w:uiPriority w:val="0"/>
    <w:rPr>
      <w:color w:val="800080"/>
      <w:u w:val="none"/>
    </w:rPr>
  </w:style>
  <w:style w:type="character" w:styleId="20">
    <w:name w:val="Emphasis"/>
    <w:basedOn w:val="16"/>
    <w:qFormat/>
    <w:uiPriority w:val="0"/>
  </w:style>
  <w:style w:type="character" w:styleId="21">
    <w:name w:val="HTML Definition"/>
    <w:basedOn w:val="16"/>
    <w:qFormat/>
    <w:uiPriority w:val="0"/>
  </w:style>
  <w:style w:type="character" w:styleId="22">
    <w:name w:val="HTML Typewriter"/>
    <w:basedOn w:val="16"/>
    <w:qFormat/>
    <w:uiPriority w:val="0"/>
    <w:rPr>
      <w:rFonts w:hint="default" w:ascii="monospace" w:hAnsi="monospace" w:eastAsia="monospace" w:cs="monospace"/>
      <w:sz w:val="20"/>
    </w:rPr>
  </w:style>
  <w:style w:type="character" w:styleId="23">
    <w:name w:val="HTML Acronym"/>
    <w:basedOn w:val="16"/>
    <w:qFormat/>
    <w:uiPriority w:val="0"/>
  </w:style>
  <w:style w:type="character" w:styleId="24">
    <w:name w:val="HTML Variable"/>
    <w:basedOn w:val="16"/>
    <w:qFormat/>
    <w:uiPriority w:val="0"/>
  </w:style>
  <w:style w:type="character" w:styleId="25">
    <w:name w:val="Hyperlink"/>
    <w:basedOn w:val="16"/>
    <w:autoRedefine/>
    <w:qFormat/>
    <w:uiPriority w:val="0"/>
    <w:rPr>
      <w:color w:val="0000FF"/>
      <w:u w:val="single"/>
    </w:rPr>
  </w:style>
  <w:style w:type="character" w:styleId="26">
    <w:name w:val="HTML Code"/>
    <w:basedOn w:val="16"/>
    <w:qFormat/>
    <w:uiPriority w:val="0"/>
    <w:rPr>
      <w:rFonts w:hint="default" w:ascii="monospace" w:hAnsi="monospace" w:eastAsia="monospace" w:cs="monospace"/>
      <w:sz w:val="20"/>
    </w:rPr>
  </w:style>
  <w:style w:type="character" w:styleId="27">
    <w:name w:val="HTML Cite"/>
    <w:basedOn w:val="16"/>
    <w:qFormat/>
    <w:uiPriority w:val="0"/>
  </w:style>
  <w:style w:type="character" w:styleId="28">
    <w:name w:val="HTML Keyboard"/>
    <w:basedOn w:val="16"/>
    <w:qFormat/>
    <w:uiPriority w:val="0"/>
    <w:rPr>
      <w:rFonts w:hint="default" w:ascii="monospace" w:hAnsi="monospace" w:eastAsia="monospace" w:cs="monospace"/>
      <w:sz w:val="20"/>
    </w:rPr>
  </w:style>
  <w:style w:type="character" w:styleId="29">
    <w:name w:val="HTML Sample"/>
    <w:basedOn w:val="16"/>
    <w:qFormat/>
    <w:uiPriority w:val="0"/>
    <w:rPr>
      <w:rFonts w:ascii="monospace" w:hAnsi="monospace" w:eastAsia="monospace" w:cs="monospace"/>
    </w:rPr>
  </w:style>
  <w:style w:type="paragraph" w:customStyle="1" w:styleId="30">
    <w:name w:val="p0"/>
    <w:basedOn w:val="1"/>
    <w:qFormat/>
    <w:uiPriority w:val="0"/>
    <w:pPr>
      <w:widowControl/>
    </w:pPr>
    <w:rPr>
      <w:rFonts w:ascii="Calibri" w:hAnsi="Calibri" w:cs="宋体"/>
      <w:kern w:val="0"/>
      <w:szCs w:val="21"/>
    </w:rPr>
  </w:style>
  <w:style w:type="character" w:customStyle="1" w:styleId="31">
    <w:name w:val="hour_am"/>
    <w:basedOn w:val="16"/>
    <w:qFormat/>
    <w:uiPriority w:val="0"/>
  </w:style>
  <w:style w:type="character" w:customStyle="1" w:styleId="32">
    <w:name w:val="old"/>
    <w:basedOn w:val="16"/>
    <w:qFormat/>
    <w:uiPriority w:val="0"/>
    <w:rPr>
      <w:color w:val="999999"/>
    </w:rPr>
  </w:style>
  <w:style w:type="character" w:customStyle="1" w:styleId="33">
    <w:name w:val="hover"/>
    <w:basedOn w:val="16"/>
    <w:qFormat/>
    <w:uiPriority w:val="0"/>
    <w:rPr>
      <w:shd w:val="clear" w:fill="EEEEEE"/>
    </w:rPr>
  </w:style>
  <w:style w:type="character" w:customStyle="1" w:styleId="34">
    <w:name w:val="glyphicon"/>
    <w:basedOn w:val="16"/>
    <w:qFormat/>
    <w:uiPriority w:val="0"/>
  </w:style>
  <w:style w:type="character" w:customStyle="1" w:styleId="35">
    <w:name w:val="hour_pm"/>
    <w:basedOn w:val="16"/>
    <w:qFormat/>
    <w:uiPriority w:val="0"/>
  </w:style>
  <w:style w:type="character" w:customStyle="1" w:styleId="36">
    <w:name w:val="layui-layer-tabnow"/>
    <w:basedOn w:val="16"/>
    <w:qFormat/>
    <w:uiPriority w:val="0"/>
    <w:rPr>
      <w:bdr w:val="single" w:color="CCCCCC" w:sz="6" w:space="0"/>
      <w:shd w:val="clear" w:fill="FFFFFF"/>
    </w:rPr>
  </w:style>
  <w:style w:type="character" w:customStyle="1" w:styleId="37">
    <w:name w:val="first-child"/>
    <w:basedOn w:val="16"/>
    <w:qFormat/>
    <w:uiPriority w:val="0"/>
  </w:style>
  <w:style w:type="character" w:customStyle="1" w:styleId="38">
    <w:name w:val="hover2"/>
    <w:basedOn w:val="16"/>
    <w:qFormat/>
    <w:uiPriority w:val="0"/>
    <w:rPr>
      <w:shd w:val="clear" w:fill="EEEEEE"/>
    </w:rPr>
  </w:style>
  <w:style w:type="paragraph" w:customStyle="1" w:styleId="39">
    <w:name w:val="无间隔_0_1"/>
    <w:basedOn w:val="1"/>
    <w:autoRedefine/>
    <w:qFormat/>
    <w:uiPriority w:val="0"/>
    <w:pPr>
      <w:jc w:val="center"/>
    </w:pPr>
    <w:rPr>
      <w:rFonts w:ascii="Times New Roman" w:hAnsi="Times New Roman" w:eastAsia="黑体" w:cs="Times New Roman"/>
      <w:sz w:val="30"/>
      <w:szCs w:val="30"/>
    </w:rPr>
  </w:style>
  <w:style w:type="paragraph" w:customStyle="1" w:styleId="40">
    <w:name w:val="正文_2_0"/>
    <w:basedOn w:val="1"/>
    <w:autoRedefine/>
    <w:qFormat/>
    <w:uiPriority w:val="0"/>
    <w:rPr>
      <w:rFonts w:ascii="Arial" w:hAnsi="Arial" w:eastAsia="宋体" w:cs="Arial"/>
      <w:szCs w:val="21"/>
    </w:rPr>
  </w:style>
  <w:style w:type="paragraph" w:customStyle="1" w:styleId="41">
    <w:name w:val="Body text|1"/>
    <w:basedOn w:val="1"/>
    <w:qFormat/>
    <w:uiPriority w:val="0"/>
    <w:pPr>
      <w:widowControl w:val="0"/>
      <w:shd w:val="clear" w:color="auto" w:fill="auto"/>
      <w:spacing w:line="439" w:lineRule="auto"/>
      <w:ind w:firstLine="400"/>
    </w:pPr>
    <w:rPr>
      <w:rFonts w:ascii="宋体" w:hAnsi="宋体" w:eastAsia="宋体" w:cs="宋体"/>
      <w:sz w:val="22"/>
      <w:szCs w:val="22"/>
      <w:u w:val="none"/>
      <w:shd w:val="clear" w:color="auto" w:fill="auto"/>
      <w:lang w:val="zh-TW" w:eastAsia="zh-TW" w:bidi="zh-TW"/>
    </w:rPr>
  </w:style>
  <w:style w:type="character" w:customStyle="1" w:styleId="42">
    <w:name w:val="NormalCharacter"/>
    <w:qFormat/>
    <w:uiPriority w:val="0"/>
    <w:rPr>
      <w:rFonts w:ascii="Times New Roman" w:hAnsi="Times New Roman" w:eastAsia="宋体" w:cs="Times New Roman"/>
      <w:kern w:val="2"/>
      <w:sz w:val="21"/>
      <w:lang w:val="en-US" w:eastAsia="zh-CN" w:bidi="ar-SA"/>
    </w:rPr>
  </w:style>
  <w:style w:type="paragraph" w:styleId="43">
    <w:name w:val="No Spacing"/>
    <w:basedOn w:val="1"/>
    <w:autoRedefine/>
    <w:qFormat/>
    <w:uiPriority w:val="0"/>
    <w:rPr>
      <w:rFonts w:ascii="Times New Roman" w:hAnsi="Times New Roman" w:eastAsia="宋体" w:cs="Times New Roman"/>
      <w:szCs w:val="21"/>
    </w:rPr>
  </w:style>
  <w:style w:type="paragraph" w:customStyle="1" w:styleId="44">
    <w:name w:val="Table Paragraph"/>
    <w:basedOn w:val="1"/>
    <w:qFormat/>
    <w:uiPriority w:val="1"/>
    <w:pPr>
      <w:autoSpaceDE w:val="0"/>
      <w:autoSpaceDN w:val="0"/>
      <w:adjustRightInd w:val="0"/>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6275</Words>
  <Characters>6483</Characters>
  <Lines>19</Lines>
  <Paragraphs>5</Paragraphs>
  <TotalTime>11</TotalTime>
  <ScaleCrop>false</ScaleCrop>
  <LinksUpToDate>false</LinksUpToDate>
  <CharactersWithSpaces>6733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2024-01-31T19:09:00Z</dcterms:created>
  <dc:creator>糖果</dc:creator>
  <cp:lastModifiedBy>刘潍</cp:lastModifiedBy>
  <dcterms:modified xsi:type="dcterms:W3CDTF">2025-09-30T06:16:24Z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3104AC934417451D95506F2877CBE8BF_13</vt:lpwstr>
  </property>
  <property fmtid="{D5CDD505-2E9C-101B-9397-08002B2CF9AE}" pid="4" name="KSOTemplateDocerSaveRecord">
    <vt:lpwstr>eyJoZGlkIjoiYTAzYjdhNThhZDczNjE0ZDMzYjkzMWU3ZGYyZGU1ODQiLCJ1c2VySWQiOiIzNzkyODY0MjUifQ==</vt:lpwstr>
  </property>
</Properties>
</file>