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5D72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常州市建设工程招标公告</w:t>
      </w:r>
    </w:p>
    <w:p w14:paraId="4B958555">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一、招标条件</w:t>
      </w:r>
      <w:r>
        <w:rPr>
          <w:rFonts w:hint="eastAsia" w:ascii="黑体" w:hAnsi="宋体" w:eastAsia="黑体" w:cs="黑体"/>
          <w:bCs/>
          <w:color w:val="auto"/>
          <w:sz w:val="32"/>
          <w:szCs w:val="32"/>
          <w:highlight w:val="none"/>
          <w:lang w:bidi="ar"/>
        </w:rPr>
        <w:tab/>
      </w:r>
    </w:p>
    <w:p w14:paraId="61463DF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u w:val="single"/>
          <w:lang w:eastAsia="zh-CN"/>
        </w:rPr>
        <w:t>国电至西夏墅主管线零星维修改造</w:t>
      </w:r>
      <w:r>
        <w:rPr>
          <w:rFonts w:hint="eastAsia" w:ascii="仿宋_GB2312" w:hAnsi="仿宋_GB2312" w:eastAsia="仿宋_GB2312" w:cs="仿宋_GB2312"/>
          <w:color w:val="auto"/>
          <w:kern w:val="0"/>
          <w:sz w:val="32"/>
          <w:szCs w:val="32"/>
          <w:highlight w:val="none"/>
        </w:rPr>
        <w:t>已批准建设，招标人为</w:t>
      </w:r>
      <w:r>
        <w:rPr>
          <w:rFonts w:hint="eastAsia" w:ascii="仿宋_GB2312" w:hAnsi="仿宋_GB2312" w:eastAsia="仿宋_GB2312" w:cs="仿宋_GB2312"/>
          <w:color w:val="auto"/>
          <w:sz w:val="32"/>
          <w:szCs w:val="32"/>
          <w:highlight w:val="none"/>
          <w:u w:val="single"/>
          <w:lang w:eastAsia="zh-CN"/>
        </w:rPr>
        <w:t>常州滨江供热管网有限公司</w:t>
      </w:r>
      <w:r>
        <w:rPr>
          <w:rFonts w:hint="eastAsia" w:ascii="仿宋_GB2312" w:hAnsi="仿宋_GB2312" w:eastAsia="仿宋_GB2312" w:cs="仿宋_GB2312"/>
          <w:color w:val="auto"/>
          <w:kern w:val="0"/>
          <w:sz w:val="32"/>
          <w:szCs w:val="32"/>
          <w:highlight w:val="none"/>
        </w:rPr>
        <w:t>，建设资金来自</w:t>
      </w:r>
      <w:r>
        <w:rPr>
          <w:rFonts w:hint="eastAsia" w:ascii="仿宋_GB2312" w:hAnsi="仿宋_GB2312" w:eastAsia="仿宋_GB2312" w:cs="仿宋_GB2312"/>
          <w:color w:val="auto"/>
          <w:kern w:val="0"/>
          <w:sz w:val="32"/>
          <w:szCs w:val="32"/>
          <w:highlight w:val="none"/>
          <w:u w:val="single"/>
          <w:lang w:val="en-US" w:eastAsia="zh-CN"/>
        </w:rPr>
        <w:t>自筹</w:t>
      </w:r>
      <w:r>
        <w:rPr>
          <w:rFonts w:hint="eastAsia" w:ascii="仿宋_GB2312" w:hAnsi="仿宋_GB2312" w:eastAsia="仿宋_GB2312" w:cs="仿宋_GB2312"/>
          <w:color w:val="auto"/>
          <w:kern w:val="0"/>
          <w:sz w:val="32"/>
          <w:szCs w:val="32"/>
          <w:highlight w:val="none"/>
        </w:rPr>
        <w:t>，项目出资比例为</w:t>
      </w:r>
      <w:r>
        <w:rPr>
          <w:rFonts w:hint="eastAsia" w:ascii="仿宋_GB2312" w:hAnsi="仿宋_GB2312" w:eastAsia="仿宋_GB2312" w:cs="仿宋_GB2312"/>
          <w:color w:val="auto"/>
          <w:kern w:val="0"/>
          <w:sz w:val="32"/>
          <w:szCs w:val="32"/>
          <w:highlight w:val="none"/>
          <w:u w:val="single"/>
        </w:rPr>
        <w:t>国有</w:t>
      </w:r>
      <w:r>
        <w:rPr>
          <w:rFonts w:hint="eastAsia" w:ascii="仿宋_GB2312" w:hAnsi="仿宋_GB2312" w:eastAsia="仿宋_GB2312" w:cs="仿宋_GB2312"/>
          <w:color w:val="auto"/>
          <w:sz w:val="32"/>
          <w:szCs w:val="32"/>
          <w:highlight w:val="none"/>
          <w:u w:val="single"/>
        </w:rPr>
        <w:t>资金</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kern w:val="0"/>
          <w:sz w:val="32"/>
          <w:szCs w:val="32"/>
          <w:highlight w:val="none"/>
          <w:u w:val="single"/>
        </w:rPr>
        <w:t>100.00 %</w:t>
      </w:r>
      <w:r>
        <w:rPr>
          <w:rFonts w:hint="eastAsia" w:ascii="仿宋_GB2312" w:hAnsi="仿宋_GB2312" w:eastAsia="仿宋_GB2312" w:cs="仿宋_GB2312"/>
          <w:color w:val="auto"/>
          <w:kern w:val="0"/>
          <w:sz w:val="32"/>
          <w:szCs w:val="32"/>
          <w:highlight w:val="none"/>
        </w:rPr>
        <w:t>。项目已具备招标条件，现对该项目</w:t>
      </w:r>
      <w:r>
        <w:rPr>
          <w:rFonts w:hint="eastAsia" w:ascii="仿宋_GB2312" w:hAnsi="仿宋_GB2312" w:eastAsia="仿宋_GB2312" w:cs="仿宋_GB2312"/>
          <w:color w:val="auto"/>
          <w:kern w:val="0"/>
          <w:sz w:val="32"/>
          <w:szCs w:val="32"/>
          <w:highlight w:val="none"/>
          <w:u w:val="single"/>
          <w:lang w:eastAsia="zh-CN"/>
        </w:rPr>
        <w:t xml:space="preserve">国电至西夏墅主管线零星维修改造 </w:t>
      </w:r>
      <w:r>
        <w:rPr>
          <w:rFonts w:hint="eastAsia" w:ascii="仿宋_GB2312" w:hAnsi="仿宋_GB2312" w:eastAsia="仿宋_GB2312" w:cs="仿宋_GB2312"/>
          <w:color w:val="auto"/>
          <w:kern w:val="0"/>
          <w:sz w:val="32"/>
          <w:szCs w:val="32"/>
          <w:highlight w:val="none"/>
        </w:rPr>
        <w:t>施工进行</w:t>
      </w:r>
      <w:r>
        <w:rPr>
          <w:rFonts w:hint="eastAsia" w:ascii="仿宋_GB2312" w:hAnsi="仿宋_GB2312" w:eastAsia="仿宋_GB2312" w:cs="仿宋_GB2312"/>
          <w:color w:val="auto"/>
          <w:kern w:val="0"/>
          <w:sz w:val="32"/>
          <w:szCs w:val="32"/>
          <w:highlight w:val="none"/>
          <w:u w:val="single"/>
        </w:rPr>
        <w:t>公开</w:t>
      </w:r>
      <w:r>
        <w:rPr>
          <w:rFonts w:hint="eastAsia" w:ascii="仿宋_GB2312" w:hAnsi="仿宋_GB2312" w:eastAsia="仿宋_GB2312" w:cs="仿宋_GB2312"/>
          <w:color w:val="auto"/>
          <w:kern w:val="0"/>
          <w:sz w:val="32"/>
          <w:szCs w:val="32"/>
          <w:highlight w:val="none"/>
        </w:rPr>
        <w:t>招标，特邀请有兴趣的潜在投标人参加投标。</w:t>
      </w:r>
    </w:p>
    <w:p w14:paraId="53AEB4A3">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二、项目概况与招标范围</w:t>
      </w:r>
    </w:p>
    <w:p w14:paraId="1E4F078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2.1项目概况</w:t>
      </w:r>
      <w:bookmarkStart w:id="3" w:name="_GoBack"/>
      <w:bookmarkEnd w:id="3"/>
    </w:p>
    <w:p w14:paraId="091FD3C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rPr>
        <w:t>2.1.1建设地点</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常州市新北区</w:t>
      </w:r>
      <w:r>
        <w:rPr>
          <w:rFonts w:hint="eastAsia" w:ascii="仿宋_GB2312" w:hAnsi="仿宋_GB2312" w:eastAsia="仿宋_GB2312" w:cs="仿宋_GB2312"/>
          <w:color w:val="auto"/>
          <w:kern w:val="0"/>
          <w:sz w:val="32"/>
          <w:szCs w:val="32"/>
          <w:highlight w:val="none"/>
          <w:u w:val="none"/>
        </w:rPr>
        <w:t>。</w:t>
      </w:r>
    </w:p>
    <w:p w14:paraId="5ADB9BF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2.1.2建设规模</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对国电至西夏墅主管线进行零星维修改造。</w:t>
      </w:r>
    </w:p>
    <w:p w14:paraId="3BF284A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color w:val="auto"/>
          <w:sz w:val="32"/>
          <w:szCs w:val="32"/>
          <w:highlight w:val="none"/>
          <w:u w:val="none"/>
        </w:rPr>
        <w:t>2.1.3本标段合同估算价</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750370.21</w:t>
      </w:r>
      <w:r>
        <w:rPr>
          <w:rFonts w:hint="eastAsia" w:ascii="仿宋_GB2312" w:hAnsi="仿宋_GB2312" w:eastAsia="仿宋_GB2312" w:cs="仿宋_GB2312"/>
          <w:bCs/>
          <w:color w:val="auto"/>
          <w:sz w:val="32"/>
          <w:szCs w:val="32"/>
          <w:highlight w:val="none"/>
          <w:u w:val="none"/>
          <w:lang w:eastAsia="zh-CN"/>
        </w:rPr>
        <w:t>元</w:t>
      </w:r>
    </w:p>
    <w:p w14:paraId="4DF76077">
      <w:pPr>
        <w:keepNext w:val="0"/>
        <w:keepLines w:val="0"/>
        <w:pageBreakBefore w:val="0"/>
        <w:kinsoku/>
        <w:wordWrap/>
        <w:overflowPunct/>
        <w:topLinePunct w:val="0"/>
        <w:bidi w:val="0"/>
        <w:spacing w:line="560" w:lineRule="exact"/>
        <w:ind w:left="0" w:leftChars="0" w:right="0" w:rightChars="0" w:firstLine="640" w:firstLineChars="200"/>
        <w:rPr>
          <w:rFonts w:hint="default"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2.1.4工期要求</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lang w:val="en-US" w:eastAsia="zh-CN"/>
        </w:rPr>
        <w:t>7</w:t>
      </w:r>
      <w:r>
        <w:rPr>
          <w:rFonts w:hint="eastAsia" w:ascii="仿宋_GB2312" w:hAnsi="仿宋_GB2312" w:eastAsia="仿宋_GB2312" w:cs="仿宋_GB2312"/>
          <w:bCs/>
          <w:color w:val="auto"/>
          <w:sz w:val="32"/>
          <w:szCs w:val="32"/>
          <w:highlight w:val="none"/>
          <w:u w:val="none"/>
          <w:lang w:eastAsia="zh-CN"/>
        </w:rPr>
        <w:t>日历天。</w:t>
      </w:r>
      <w:r>
        <w:rPr>
          <w:rFonts w:hint="eastAsia" w:ascii="仿宋_GB2312" w:hAnsi="仿宋_GB2312" w:eastAsia="仿宋_GB2312" w:cs="仿宋_GB2312"/>
          <w:bCs/>
          <w:color w:val="auto"/>
          <w:sz w:val="32"/>
          <w:szCs w:val="32"/>
          <w:highlight w:val="none"/>
          <w:u w:val="none"/>
          <w:lang w:val="en-US" w:eastAsia="zh-CN"/>
        </w:rPr>
        <w:t>【暂定2026年2月10日停汽24小时】（开工时间以甲方通知为准，</w:t>
      </w:r>
      <w:r>
        <w:rPr>
          <w:rFonts w:hint="eastAsia" w:ascii="仿宋_GB2312" w:hAnsi="仿宋_GB2312" w:eastAsia="仿宋_GB2312" w:cs="仿宋_GB2312"/>
          <w:bCs/>
          <w:color w:val="auto"/>
          <w:sz w:val="32"/>
          <w:szCs w:val="32"/>
          <w:highlight w:val="none"/>
          <w:u w:val="none"/>
          <w:lang w:eastAsia="zh-CN"/>
        </w:rPr>
        <w:t>不包含绿化恢复</w:t>
      </w:r>
      <w:r>
        <w:rPr>
          <w:rFonts w:hint="eastAsia" w:ascii="仿宋_GB2312" w:hAnsi="仿宋_GB2312" w:eastAsia="仿宋_GB2312" w:cs="仿宋_GB2312"/>
          <w:bCs/>
          <w:color w:val="auto"/>
          <w:sz w:val="32"/>
          <w:szCs w:val="32"/>
          <w:highlight w:val="none"/>
          <w:u w:val="none"/>
          <w:lang w:val="en-US" w:eastAsia="zh-CN"/>
        </w:rPr>
        <w:t>工期，</w:t>
      </w:r>
      <w:r>
        <w:rPr>
          <w:rFonts w:hint="eastAsia" w:ascii="仿宋_GB2312" w:hAnsi="仿宋_GB2312" w:eastAsia="仿宋_GB2312" w:cs="仿宋_GB2312"/>
          <w:bCs/>
          <w:color w:val="auto"/>
          <w:sz w:val="32"/>
          <w:szCs w:val="32"/>
          <w:highlight w:val="none"/>
          <w:u w:val="none"/>
          <w:lang w:eastAsia="zh-CN"/>
        </w:rPr>
        <w:t>绿化恢复</w:t>
      </w:r>
      <w:r>
        <w:rPr>
          <w:rFonts w:hint="eastAsia" w:ascii="仿宋_GB2312" w:hAnsi="仿宋_GB2312" w:eastAsia="仿宋_GB2312" w:cs="仿宋_GB2312"/>
          <w:bCs/>
          <w:color w:val="auto"/>
          <w:sz w:val="32"/>
          <w:szCs w:val="32"/>
          <w:highlight w:val="none"/>
          <w:u w:val="none"/>
          <w:lang w:val="en-US" w:eastAsia="zh-CN"/>
        </w:rPr>
        <w:t>工期满足甲方要求）。</w:t>
      </w:r>
    </w:p>
    <w:p w14:paraId="7AB04FB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2.1.5其他</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w:t>
      </w:r>
    </w:p>
    <w:p w14:paraId="745B548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highlight w:val="none"/>
          <w:u w:val="none"/>
        </w:rPr>
        <w:t>2.2招标范围</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图纸及</w:t>
      </w:r>
      <w:r>
        <w:rPr>
          <w:rFonts w:hint="eastAsia" w:ascii="仿宋_GB2312" w:hAnsi="仿宋_GB2312" w:eastAsia="仿宋_GB2312" w:cs="仿宋_GB2312"/>
          <w:color w:val="auto"/>
          <w:sz w:val="32"/>
          <w:szCs w:val="32"/>
          <w:highlight w:val="none"/>
          <w:u w:val="none"/>
        </w:rPr>
        <w:t>工程量清单（含编制说明）范围内全部工程</w:t>
      </w:r>
      <w:r>
        <w:rPr>
          <w:rFonts w:hint="eastAsia" w:ascii="仿宋_GB2312" w:hAnsi="仿宋_GB2312" w:eastAsia="仿宋_GB2312" w:cs="仿宋_GB2312"/>
          <w:bCs/>
          <w:color w:val="auto"/>
          <w:sz w:val="32"/>
          <w:szCs w:val="32"/>
          <w:highlight w:val="none"/>
          <w:u w:val="none"/>
        </w:rPr>
        <w:t>。</w:t>
      </w:r>
    </w:p>
    <w:p w14:paraId="462BDAE8">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三、投标人资格条件</w:t>
      </w:r>
    </w:p>
    <w:p w14:paraId="240D97A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3.1投标人须具备</w:t>
      </w:r>
      <w:r>
        <w:rPr>
          <w:rFonts w:hint="eastAsia" w:ascii="仿宋_GB2312" w:hAnsi="仿宋_GB2312" w:eastAsia="仿宋_GB2312" w:cs="仿宋_GB2312"/>
          <w:color w:val="auto"/>
          <w:kern w:val="0"/>
          <w:sz w:val="32"/>
          <w:szCs w:val="32"/>
          <w:highlight w:val="none"/>
          <w:u w:val="single"/>
        </w:rPr>
        <w:t>①市政公用工程施工总承包</w:t>
      </w:r>
      <w:r>
        <w:rPr>
          <w:rFonts w:hint="eastAsia" w:ascii="仿宋_GB2312" w:hAnsi="仿宋_GB2312" w:eastAsia="仿宋_GB2312" w:cs="仿宋_GB2312"/>
          <w:color w:val="auto"/>
          <w:kern w:val="0"/>
          <w:sz w:val="32"/>
          <w:szCs w:val="32"/>
          <w:highlight w:val="none"/>
          <w:u w:val="single"/>
          <w:lang w:val="en-US" w:eastAsia="zh-CN"/>
        </w:rPr>
        <w:t>二</w:t>
      </w:r>
      <w:r>
        <w:rPr>
          <w:rFonts w:hint="eastAsia" w:ascii="仿宋_GB2312" w:hAnsi="仿宋_GB2312" w:eastAsia="仿宋_GB2312" w:cs="仿宋_GB2312"/>
          <w:color w:val="auto"/>
          <w:kern w:val="0"/>
          <w:sz w:val="32"/>
          <w:szCs w:val="32"/>
          <w:highlight w:val="none"/>
          <w:u w:val="single"/>
        </w:rPr>
        <w:t>级及以上且具有②有效期内的《中华人民共和国特种设备安装改造维修（修理）许可证（压力管道）》GB2或GB2（1）或GB2（2）；或《中华人民共和国特种设备生产许可证》（许可级别GB2或GB2（1）或GB2（2））（资质）</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rPr>
        <w:t>并在人员、设备、资金等方面具有相应的施工能力。</w:t>
      </w:r>
    </w:p>
    <w:p w14:paraId="3AC8E2E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3.2投标人拟派项目负责人须具备</w:t>
      </w:r>
      <w:r>
        <w:rPr>
          <w:rFonts w:hint="eastAsia" w:ascii="仿宋_GB2312" w:hAnsi="仿宋_GB2312" w:eastAsia="仿宋_GB2312" w:cs="仿宋_GB2312"/>
          <w:b w:val="0"/>
          <w:bCs w:val="0"/>
          <w:color w:val="auto"/>
          <w:kern w:val="0"/>
          <w:sz w:val="32"/>
          <w:szCs w:val="32"/>
          <w:highlight w:val="none"/>
          <w:u w:val="single"/>
          <w:lang w:eastAsia="zh-CN"/>
        </w:rPr>
        <w:t>市政公用工程</w:t>
      </w:r>
      <w:r>
        <w:rPr>
          <w:rFonts w:hint="eastAsia" w:ascii="仿宋_GB2312" w:hAnsi="仿宋_GB2312" w:eastAsia="仿宋_GB2312" w:cs="仿宋_GB2312"/>
          <w:b w:val="0"/>
          <w:bCs w:val="0"/>
          <w:color w:val="auto"/>
          <w:kern w:val="0"/>
          <w:sz w:val="32"/>
          <w:szCs w:val="32"/>
          <w:highlight w:val="none"/>
          <w:u w:val="single"/>
          <w:lang w:val="en-US" w:eastAsia="zh-CN"/>
        </w:rPr>
        <w:t>一</w:t>
      </w:r>
      <w:r>
        <w:rPr>
          <w:rFonts w:hint="eastAsia" w:ascii="仿宋_GB2312" w:hAnsi="仿宋_GB2312" w:eastAsia="仿宋_GB2312" w:cs="仿宋_GB2312"/>
          <w:b w:val="0"/>
          <w:bCs w:val="0"/>
          <w:color w:val="auto"/>
          <w:kern w:val="0"/>
          <w:sz w:val="32"/>
          <w:szCs w:val="32"/>
          <w:highlight w:val="none"/>
          <w:u w:val="single"/>
          <w:lang w:eastAsia="zh-CN"/>
        </w:rPr>
        <w:t>级注册建造师</w:t>
      </w:r>
      <w:r>
        <w:rPr>
          <w:rFonts w:hint="eastAsia" w:ascii="仿宋_GB2312" w:hAnsi="仿宋_GB2312" w:eastAsia="仿宋_GB2312" w:cs="仿宋_GB2312"/>
          <w:color w:val="auto"/>
          <w:kern w:val="0"/>
          <w:sz w:val="32"/>
          <w:szCs w:val="32"/>
          <w:highlight w:val="none"/>
        </w:rPr>
        <w:t>（资格）。</w:t>
      </w:r>
    </w:p>
    <w:p w14:paraId="2148833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本次招标</w:t>
      </w:r>
      <w:r>
        <w:rPr>
          <w:rFonts w:hint="eastAsia" w:ascii="仿宋_GB2312" w:hAnsi="仿宋_GB2312" w:eastAsia="仿宋_GB2312" w:cs="仿宋_GB2312"/>
          <w:color w:val="auto"/>
          <w:kern w:val="0"/>
          <w:sz w:val="32"/>
          <w:szCs w:val="32"/>
          <w:highlight w:val="none"/>
          <w:u w:val="single"/>
        </w:rPr>
        <w:t>接受</w:t>
      </w:r>
      <w:r>
        <w:rPr>
          <w:rFonts w:hint="eastAsia" w:ascii="仿宋_GB2312" w:hAnsi="仿宋_GB2312" w:eastAsia="仿宋_GB2312" w:cs="仿宋_GB2312"/>
          <w:color w:val="auto"/>
          <w:kern w:val="0"/>
          <w:sz w:val="32"/>
          <w:szCs w:val="32"/>
          <w:highlight w:val="none"/>
        </w:rPr>
        <w:t>（接受/不接受）联合体投标。联合体投标的，应满足下列要求</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kern w:val="0"/>
          <w:sz w:val="32"/>
          <w:szCs w:val="32"/>
          <w:highlight w:val="none"/>
          <w:u w:val="single"/>
        </w:rPr>
        <w:t>①必须确定“市政公用工程施工总承包”单位为联合体主办单位（牵头人），且报名建造师及被委托人必须为主办单位（牵头人）相关人员。②组成联合体后，联合体各方不得再以自己的名义在本项目中单独投标、不得同时参加两个或两个以上的联合体投标，否则将取消所有涉及单位的投标报名资格。（联合体协议书格式详见附件）</w:t>
      </w:r>
    </w:p>
    <w:p w14:paraId="1553924B">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四、招标文件的获取</w:t>
      </w:r>
    </w:p>
    <w:p w14:paraId="6B72269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4.1招标文件获取时间为</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kern w:val="0"/>
          <w:sz w:val="32"/>
          <w:szCs w:val="32"/>
          <w:highlight w:val="none"/>
          <w:lang w:eastAsia="zh-CN"/>
        </w:rPr>
        <w:t>2025年</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19</w:t>
      </w:r>
      <w:r>
        <w:rPr>
          <w:rFonts w:hint="eastAsia" w:ascii="仿宋_GB2312" w:hAnsi="仿宋_GB2312" w:eastAsia="仿宋_GB2312" w:cs="仿宋_GB2312"/>
          <w:color w:val="auto"/>
          <w:kern w:val="0"/>
          <w:sz w:val="32"/>
          <w:szCs w:val="32"/>
          <w:highlight w:val="none"/>
          <w:lang w:eastAsia="zh-CN"/>
        </w:rPr>
        <w:t>日至2025年</w:t>
      </w: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lang w:eastAsia="zh-CN"/>
        </w:rPr>
        <w:t>月</w:t>
      </w:r>
      <w:r>
        <w:rPr>
          <w:rFonts w:hint="eastAsia" w:ascii="仿宋_GB2312" w:hAnsi="仿宋_GB2312" w:eastAsia="仿宋_GB2312" w:cs="仿宋_GB2312"/>
          <w:color w:val="auto"/>
          <w:kern w:val="0"/>
          <w:sz w:val="32"/>
          <w:szCs w:val="32"/>
          <w:highlight w:val="none"/>
          <w:lang w:val="en-US" w:eastAsia="zh-CN"/>
        </w:rPr>
        <w:t>26</w:t>
      </w:r>
      <w:r>
        <w:rPr>
          <w:rFonts w:hint="eastAsia" w:ascii="仿宋_GB2312" w:hAnsi="仿宋_GB2312" w:eastAsia="仿宋_GB2312" w:cs="仿宋_GB2312"/>
          <w:color w:val="auto"/>
          <w:kern w:val="0"/>
          <w:sz w:val="32"/>
          <w:szCs w:val="32"/>
          <w:highlight w:val="none"/>
          <w:lang w:eastAsia="zh-CN"/>
        </w:rPr>
        <w:t>日17</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kern w:val="0"/>
          <w:sz w:val="32"/>
          <w:szCs w:val="32"/>
          <w:highlight w:val="none"/>
          <w:lang w:eastAsia="zh-CN"/>
        </w:rPr>
        <w:t>00</w:t>
      </w:r>
      <w:r>
        <w:rPr>
          <w:rFonts w:hint="eastAsia" w:ascii="仿宋_GB2312" w:hAnsi="仿宋_GB2312" w:eastAsia="仿宋_GB2312" w:cs="仿宋_GB2312"/>
          <w:color w:val="auto"/>
          <w:kern w:val="0"/>
          <w:sz w:val="32"/>
          <w:szCs w:val="32"/>
          <w:highlight w:val="none"/>
        </w:rPr>
        <w:t>；</w:t>
      </w:r>
    </w:p>
    <w:p w14:paraId="284E9E5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4.2招标文件获取方式</w:t>
      </w:r>
      <w:r>
        <w:rPr>
          <w:rFonts w:hint="eastAsia" w:ascii="仿宋_GB2312" w:hAnsi="仿宋_GB2312" w:eastAsia="仿宋_GB2312" w:cs="仿宋_GB2312"/>
          <w:bCs/>
          <w:color w:val="auto"/>
          <w:sz w:val="32"/>
          <w:szCs w:val="32"/>
          <w:highlight w:val="none"/>
          <w:u w:val="none"/>
          <w:lang w:eastAsia="zh-CN"/>
        </w:rPr>
        <w:t>：</w:t>
      </w:r>
    </w:p>
    <w:p w14:paraId="54D9B750">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投标人首先应注册成为E交易平台网站会员，详见会员操作指南。</w:t>
      </w:r>
    </w:p>
    <w:p w14:paraId="7FD4216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投标人按系统提示交纳相关费用后在规定的报名时间内下载招标文件。</w:t>
      </w:r>
    </w:p>
    <w:p w14:paraId="5A1EE3B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相关费用</w:t>
      </w:r>
      <w:r>
        <w:rPr>
          <w:rFonts w:hint="eastAsia" w:ascii="仿宋_GB2312" w:hAnsi="仿宋_GB2312" w:eastAsia="仿宋_GB2312" w:cs="仿宋_GB2312"/>
          <w:bCs/>
          <w:color w:val="auto"/>
          <w:sz w:val="32"/>
          <w:szCs w:val="32"/>
          <w:highlight w:val="none"/>
          <w:u w:val="none"/>
          <w:lang w:eastAsia="zh-CN"/>
        </w:rPr>
        <w:t>：</w:t>
      </w:r>
    </w:p>
    <w:p w14:paraId="20DD535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招标文件资料费</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kern w:val="0"/>
          <w:sz w:val="32"/>
          <w:szCs w:val="32"/>
          <w:highlight w:val="none"/>
        </w:rPr>
        <w:t>人民币300元整。</w:t>
      </w:r>
    </w:p>
    <w:p w14:paraId="11B19CB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招标文件资料费发票由代理机构开具；开票方式</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kern w:val="0"/>
          <w:sz w:val="32"/>
          <w:szCs w:val="32"/>
          <w:highlight w:val="none"/>
        </w:rPr>
        <w:t>开标后10日内开</w:t>
      </w:r>
      <w:r>
        <w:rPr>
          <w:rFonts w:hint="eastAsia" w:ascii="仿宋_GB2312" w:hAnsi="仿宋_GB2312" w:eastAsia="仿宋_GB2312" w:cs="仿宋_GB2312"/>
          <w:color w:val="auto"/>
          <w:kern w:val="0"/>
          <w:sz w:val="32"/>
          <w:szCs w:val="32"/>
          <w:highlight w:val="none"/>
          <w:lang w:val="en-US" w:eastAsia="zh-CN"/>
        </w:rPr>
        <w:t>具</w:t>
      </w:r>
      <w:r>
        <w:rPr>
          <w:rFonts w:hint="eastAsia" w:ascii="仿宋_GB2312" w:hAnsi="仿宋_GB2312" w:eastAsia="仿宋_GB2312" w:cs="仿宋_GB2312"/>
          <w:color w:val="auto"/>
          <w:kern w:val="0"/>
          <w:sz w:val="32"/>
          <w:szCs w:val="32"/>
          <w:highlight w:val="none"/>
        </w:rPr>
        <w:t>发票。开票联系方式0519-</w:t>
      </w:r>
      <w:r>
        <w:rPr>
          <w:rFonts w:hint="eastAsia" w:ascii="仿宋_GB2312" w:hAnsi="仿宋_GB2312" w:eastAsia="仿宋_GB2312" w:cs="仿宋_GB2312"/>
          <w:color w:val="auto"/>
          <w:kern w:val="0"/>
          <w:sz w:val="32"/>
          <w:szCs w:val="32"/>
          <w:highlight w:val="none"/>
          <w:lang w:eastAsia="zh-CN"/>
        </w:rPr>
        <w:t>89891660。</w:t>
      </w:r>
    </w:p>
    <w:p w14:paraId="757E22D4">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平台服务费</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kern w:val="0"/>
          <w:sz w:val="32"/>
          <w:szCs w:val="32"/>
          <w:highlight w:val="none"/>
        </w:rPr>
        <w:t>由中标人按E交易系统提示操作。平台服务费收款单位</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kern w:val="0"/>
          <w:sz w:val="32"/>
          <w:szCs w:val="32"/>
          <w:highlight w:val="none"/>
        </w:rPr>
        <w:t>江苏易交易信息科技有限公司，发票由江苏易交易信息科技有限公司开具。</w:t>
      </w:r>
    </w:p>
    <w:p w14:paraId="462CED52">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r>
        <w:rPr>
          <w:rFonts w:hint="eastAsia" w:ascii="仿宋_GB2312" w:hAnsi="仿宋_GB2312" w:eastAsia="仿宋_GB2312" w:cs="仿宋_GB2312"/>
          <w:bCs/>
          <w:color w:val="auto"/>
          <w:sz w:val="32"/>
          <w:szCs w:val="32"/>
          <w:highlight w:val="none"/>
          <w:u w:val="none"/>
          <w:lang w:eastAsia="zh-CN"/>
        </w:rPr>
        <w:t>：</w:t>
      </w:r>
    </w:p>
    <w:p w14:paraId="072FF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下载者首次登陆平台前，须前往平台免费注册，注册成功且完善相关信息后，可以及时参与平台上所有发布的项目；</w:t>
      </w:r>
    </w:p>
    <w:p w14:paraId="5AACB43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平台网站首页“帮助中心”提供操作手册，下载者可以下载并根据操作手册提示进行注册、登录等操作。平台咨询电话为</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color w:val="auto"/>
          <w:kern w:val="0"/>
          <w:sz w:val="32"/>
          <w:szCs w:val="32"/>
          <w:highlight w:val="none"/>
        </w:rPr>
        <w:t>400-828-9082。平台会通过短信提醒下载者进行注册、支付、下载等操作；</w:t>
      </w:r>
    </w:p>
    <w:p w14:paraId="7A224403">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非因代理机构或平台原因，发票一经开具不予退换。</w:t>
      </w:r>
    </w:p>
    <w:p w14:paraId="754492BD">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五、投标截止时间</w:t>
      </w:r>
    </w:p>
    <w:p w14:paraId="68C155A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5.1投标截止时间为</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kern w:val="0"/>
          <w:sz w:val="32"/>
          <w:szCs w:val="32"/>
          <w:highlight w:val="none"/>
          <w:u w:val="single"/>
          <w:lang w:eastAsia="zh-CN"/>
        </w:rPr>
        <w:t>2025年</w:t>
      </w:r>
      <w:r>
        <w:rPr>
          <w:rFonts w:hint="eastAsia" w:ascii="仿宋_GB2312" w:hAnsi="仿宋_GB2312" w:eastAsia="仿宋_GB2312" w:cs="仿宋_GB2312"/>
          <w:bCs/>
          <w:color w:val="auto"/>
          <w:kern w:val="0"/>
          <w:sz w:val="32"/>
          <w:szCs w:val="32"/>
          <w:highlight w:val="none"/>
          <w:u w:val="single"/>
          <w:lang w:val="en-US" w:eastAsia="zh-CN"/>
        </w:rPr>
        <w:t>12</w:t>
      </w:r>
      <w:r>
        <w:rPr>
          <w:rFonts w:hint="eastAsia" w:ascii="仿宋_GB2312" w:hAnsi="仿宋_GB2312" w:eastAsia="仿宋_GB2312" w:cs="仿宋_GB2312"/>
          <w:bCs/>
          <w:color w:val="auto"/>
          <w:kern w:val="0"/>
          <w:sz w:val="32"/>
          <w:szCs w:val="32"/>
          <w:highlight w:val="none"/>
          <w:u w:val="single"/>
          <w:lang w:eastAsia="zh-CN"/>
        </w:rPr>
        <w:t>月</w:t>
      </w:r>
      <w:r>
        <w:rPr>
          <w:rFonts w:hint="eastAsia" w:ascii="仿宋_GB2312" w:hAnsi="仿宋_GB2312" w:eastAsia="仿宋_GB2312" w:cs="仿宋_GB2312"/>
          <w:bCs/>
          <w:color w:val="auto"/>
          <w:kern w:val="0"/>
          <w:sz w:val="32"/>
          <w:szCs w:val="32"/>
          <w:highlight w:val="none"/>
          <w:u w:val="single"/>
          <w:lang w:val="en-US" w:eastAsia="zh-CN"/>
        </w:rPr>
        <w:t>10</w:t>
      </w:r>
      <w:r>
        <w:rPr>
          <w:rFonts w:hint="eastAsia" w:ascii="仿宋_GB2312" w:hAnsi="仿宋_GB2312" w:eastAsia="仿宋_GB2312" w:cs="仿宋_GB2312"/>
          <w:bCs/>
          <w:color w:val="auto"/>
          <w:kern w:val="0"/>
          <w:sz w:val="32"/>
          <w:szCs w:val="32"/>
          <w:highlight w:val="none"/>
          <w:u w:val="single"/>
          <w:lang w:eastAsia="zh-CN"/>
        </w:rPr>
        <w:t>日14时00分（北京时间）</w:t>
      </w:r>
      <w:r>
        <w:rPr>
          <w:rFonts w:hint="eastAsia" w:ascii="仿宋_GB2312" w:hAnsi="仿宋_GB2312" w:eastAsia="仿宋_GB2312" w:cs="仿宋_GB2312"/>
          <w:bCs/>
          <w:color w:val="auto"/>
          <w:kern w:val="0"/>
          <w:sz w:val="32"/>
          <w:szCs w:val="32"/>
          <w:highlight w:val="none"/>
        </w:rPr>
        <w:t>。</w:t>
      </w:r>
    </w:p>
    <w:p w14:paraId="12386A13">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5.2地点</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kern w:val="0"/>
          <w:sz w:val="32"/>
          <w:szCs w:val="32"/>
          <w:highlight w:val="none"/>
          <w:lang w:eastAsia="zh-CN"/>
        </w:rPr>
        <w:t>常州市武进区延政中路世贸大厦A801</w:t>
      </w:r>
      <w:r>
        <w:rPr>
          <w:rFonts w:hint="eastAsia" w:ascii="仿宋_GB2312" w:hAnsi="仿宋_GB2312" w:eastAsia="仿宋_GB2312" w:cs="仿宋_GB2312"/>
          <w:bCs/>
          <w:color w:val="auto"/>
          <w:kern w:val="0"/>
          <w:sz w:val="32"/>
          <w:szCs w:val="32"/>
          <w:highlight w:val="none"/>
          <w:lang w:val="en-US" w:eastAsia="zh-CN"/>
        </w:rPr>
        <w:t>开标</w:t>
      </w:r>
      <w:r>
        <w:rPr>
          <w:rFonts w:hint="eastAsia" w:ascii="仿宋_GB2312" w:hAnsi="仿宋_GB2312" w:eastAsia="仿宋_GB2312" w:cs="仿宋_GB2312"/>
          <w:bCs/>
          <w:color w:val="auto"/>
          <w:kern w:val="0"/>
          <w:sz w:val="32"/>
          <w:szCs w:val="32"/>
          <w:highlight w:val="none"/>
          <w:lang w:eastAsia="zh-CN"/>
        </w:rPr>
        <w:t>室</w:t>
      </w:r>
      <w:r>
        <w:rPr>
          <w:rFonts w:hint="eastAsia" w:ascii="仿宋_GB2312" w:hAnsi="仿宋_GB2312" w:eastAsia="仿宋_GB2312" w:cs="仿宋_GB2312"/>
          <w:bCs/>
          <w:color w:val="auto"/>
          <w:kern w:val="0"/>
          <w:sz w:val="32"/>
          <w:szCs w:val="32"/>
          <w:highlight w:val="none"/>
        </w:rPr>
        <w:t>。</w:t>
      </w:r>
    </w:p>
    <w:p w14:paraId="07BAA67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b/>
          <w:bCs/>
          <w:color w:val="auto"/>
          <w:sz w:val="32"/>
          <w:szCs w:val="32"/>
          <w:highlight w:val="none"/>
        </w:rPr>
      </w:pPr>
      <w:r>
        <w:rPr>
          <w:rFonts w:hint="eastAsia" w:ascii="黑体" w:hAnsi="宋体" w:eastAsia="黑体" w:cs="黑体"/>
          <w:bCs/>
          <w:color w:val="auto"/>
          <w:sz w:val="32"/>
          <w:szCs w:val="32"/>
          <w:highlight w:val="none"/>
          <w:lang w:bidi="ar"/>
        </w:rPr>
        <w:t>六、资格审查</w:t>
      </w:r>
      <w:r>
        <w:rPr>
          <w:rFonts w:hint="eastAsia" w:ascii="仿宋_GB2312" w:hAnsi="仿宋_GB2312" w:eastAsia="仿宋_GB2312" w:cs="仿宋_GB2312"/>
          <w:b/>
          <w:bCs/>
          <w:color w:val="auto"/>
          <w:sz w:val="32"/>
          <w:szCs w:val="32"/>
          <w:highlight w:val="none"/>
        </w:rPr>
        <w:t xml:space="preserve"> </w:t>
      </w:r>
    </w:p>
    <w:p w14:paraId="0A38234B">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b/>
          <w:color w:val="auto"/>
          <w:kern w:val="0"/>
          <w:sz w:val="32"/>
          <w:szCs w:val="32"/>
          <w:highlight w:val="none"/>
          <w:u w:val="single"/>
        </w:rPr>
        <w:t>资格后审（</w:t>
      </w:r>
      <w:r>
        <w:rPr>
          <w:rFonts w:hint="eastAsia" w:ascii="仿宋_GB2312" w:hAnsi="仿宋_GB2312" w:eastAsia="仿宋_GB2312" w:cs="仿宋_GB2312"/>
          <w:b/>
          <w:color w:val="auto"/>
          <w:kern w:val="0"/>
          <w:sz w:val="32"/>
          <w:szCs w:val="32"/>
          <w:highlight w:val="none"/>
          <w:u w:val="single"/>
          <w:lang w:eastAsia="zh-CN"/>
        </w:rPr>
        <w:t>见面开标</w:t>
      </w:r>
      <w:r>
        <w:rPr>
          <w:rFonts w:hint="eastAsia" w:ascii="仿宋_GB2312" w:hAnsi="仿宋_GB2312" w:eastAsia="仿宋_GB2312" w:cs="仿宋_GB2312"/>
          <w:b/>
          <w:color w:val="auto"/>
          <w:kern w:val="0"/>
          <w:sz w:val="32"/>
          <w:szCs w:val="32"/>
          <w:highlight w:val="none"/>
          <w:u w:val="single"/>
        </w:rPr>
        <w:t>）</w:t>
      </w:r>
      <w:r>
        <w:rPr>
          <w:rFonts w:hint="eastAsia" w:ascii="仿宋_GB2312" w:hAnsi="仿宋_GB2312" w:eastAsia="仿宋_GB2312" w:cs="仿宋_GB2312"/>
          <w:bCs/>
          <w:color w:val="auto"/>
          <w:kern w:val="0"/>
          <w:sz w:val="32"/>
          <w:szCs w:val="32"/>
          <w:highlight w:val="none"/>
        </w:rPr>
        <w:t>方式进行资格审查，资格评审标准详见本招标公告附件一资格审查办法。</w:t>
      </w:r>
    </w:p>
    <w:p w14:paraId="564E2DD6">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七、评标办法</w:t>
      </w:r>
    </w:p>
    <w:p w14:paraId="2405A9C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本次招标采用</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综合评估法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rPr>
        <w:t xml:space="preserve">合理低价法  </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经评审的最低投标价法</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Cs/>
          <w:color w:val="auto"/>
          <w:kern w:val="0"/>
          <w:sz w:val="32"/>
          <w:szCs w:val="32"/>
          <w:highlight w:val="none"/>
        </w:rPr>
        <w:t>评标标准和方法详见本招标公告附件二。</w:t>
      </w:r>
    </w:p>
    <w:p w14:paraId="5D4AF001">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八、发布公告的媒介</w:t>
      </w:r>
    </w:p>
    <w:p w14:paraId="42EF3D17">
      <w:pPr>
        <w:keepNext w:val="0"/>
        <w:keepLines w:val="0"/>
        <w:pageBreakBefore w:val="0"/>
        <w:widowControl w:val="0"/>
        <w:kinsoku/>
        <w:wordWrap/>
        <w:overflowPunct/>
        <w:topLinePunct w:val="0"/>
        <w:autoSpaceDE w:val="0"/>
        <w:autoSpaceDN/>
        <w:bidi w:val="0"/>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bidi="ar"/>
        </w:rPr>
      </w:pPr>
      <w:r>
        <w:rPr>
          <w:rFonts w:hint="eastAsia" w:ascii="仿宋_GB2312" w:hAnsi="仿宋_GB2312" w:eastAsia="仿宋_GB2312" w:cs="仿宋_GB2312"/>
          <w:bCs/>
          <w:color w:val="auto"/>
          <w:sz w:val="32"/>
          <w:szCs w:val="32"/>
          <w:highlight w:val="none"/>
          <w:lang w:bidi="ar"/>
        </w:rPr>
        <w:t>本次招标公告同时在常州高新区管委会</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新北区人民政府</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auto"/>
          <w:sz w:val="32"/>
          <w:szCs w:val="32"/>
          <w:highlight w:val="none"/>
          <w:lang w:bidi="ar"/>
        </w:rPr>
        <w:t>网站、E交易平台网站、</w:t>
      </w:r>
      <w:r>
        <w:rPr>
          <w:rFonts w:hint="eastAsia" w:ascii="仿宋_GB2312" w:hAnsi="仿宋_GB2312" w:eastAsia="仿宋_GB2312" w:cs="仿宋_GB2312"/>
          <w:bCs/>
          <w:color w:val="auto"/>
          <w:sz w:val="32"/>
          <w:szCs w:val="32"/>
          <w:highlight w:val="none"/>
          <w:lang w:eastAsia="zh-CN" w:bidi="ar"/>
        </w:rPr>
        <w:t>江苏武晋工程咨询有限公司</w:t>
      </w:r>
      <w:r>
        <w:rPr>
          <w:rFonts w:hint="eastAsia" w:ascii="仿宋_GB2312" w:hAnsi="仿宋_GB2312" w:eastAsia="仿宋_GB2312" w:cs="仿宋_GB2312"/>
          <w:bCs/>
          <w:color w:val="auto"/>
          <w:sz w:val="32"/>
          <w:szCs w:val="32"/>
          <w:highlight w:val="none"/>
          <w:lang w:bidi="ar"/>
        </w:rPr>
        <w:t>网上发布。</w:t>
      </w:r>
    </w:p>
    <w:p w14:paraId="24EC6271">
      <w:pPr>
        <w:keepNext w:val="0"/>
        <w:keepLines w:val="0"/>
        <w:pageBreakBefore w:val="0"/>
        <w:kinsoku/>
        <w:wordWrap/>
        <w:overflowPunct/>
        <w:topLinePunct w:val="0"/>
        <w:bidi w:val="0"/>
        <w:spacing w:line="560" w:lineRule="exact"/>
        <w:ind w:left="0" w:leftChars="0" w:right="0" w:rightChars="0" w:firstLine="640" w:firstLineChars="200"/>
        <w:rPr>
          <w:rFonts w:ascii="宋体" w:hAnsi="宋体" w:cs="宋体"/>
          <w:color w:val="auto"/>
          <w:kern w:val="0"/>
          <w:sz w:val="24"/>
          <w:highlight w:val="none"/>
        </w:rPr>
      </w:pPr>
      <w:r>
        <w:rPr>
          <w:rFonts w:hint="eastAsia" w:ascii="黑体" w:hAnsi="宋体" w:eastAsia="黑体" w:cs="黑体"/>
          <w:bCs/>
          <w:color w:val="auto"/>
          <w:sz w:val="32"/>
          <w:szCs w:val="32"/>
          <w:highlight w:val="none"/>
          <w:lang w:bidi="ar"/>
        </w:rPr>
        <w:t>九、联系方式</w:t>
      </w:r>
    </w:p>
    <w:tbl>
      <w:tblPr>
        <w:tblStyle w:val="11"/>
        <w:tblW w:w="10031" w:type="dxa"/>
        <w:tblInd w:w="0" w:type="dxa"/>
        <w:tblLayout w:type="autofit"/>
        <w:tblCellMar>
          <w:top w:w="0" w:type="dxa"/>
          <w:left w:w="108" w:type="dxa"/>
          <w:bottom w:w="0" w:type="dxa"/>
          <w:right w:w="108" w:type="dxa"/>
        </w:tblCellMar>
      </w:tblPr>
      <w:tblGrid>
        <w:gridCol w:w="5070"/>
        <w:gridCol w:w="4961"/>
      </w:tblGrid>
      <w:tr w14:paraId="286D51F0">
        <w:tblPrEx>
          <w:tblCellMar>
            <w:top w:w="0" w:type="dxa"/>
            <w:left w:w="108" w:type="dxa"/>
            <w:bottom w:w="0" w:type="dxa"/>
            <w:right w:w="108" w:type="dxa"/>
          </w:tblCellMar>
        </w:tblPrEx>
        <w:trPr>
          <w:trHeight w:val="454" w:hRule="atLeast"/>
        </w:trPr>
        <w:tc>
          <w:tcPr>
            <w:tcW w:w="5070" w:type="dxa"/>
            <w:noWrap w:val="0"/>
            <w:vAlign w:val="top"/>
          </w:tcPr>
          <w:p w14:paraId="7FB8A1B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招标人</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lang w:eastAsia="zh-CN" w:bidi="ar"/>
              </w:rPr>
              <w:t>常州滨江供热管网有限公司</w:t>
            </w:r>
          </w:p>
        </w:tc>
        <w:tc>
          <w:tcPr>
            <w:tcW w:w="4961" w:type="dxa"/>
            <w:noWrap w:val="0"/>
            <w:vAlign w:val="top"/>
          </w:tcPr>
          <w:p w14:paraId="2C805F6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招标代理机构</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lang w:eastAsia="zh-CN" w:bidi="ar"/>
              </w:rPr>
              <w:t>江苏武晋工程咨询有限公司</w:t>
            </w:r>
          </w:p>
        </w:tc>
      </w:tr>
      <w:tr w14:paraId="2CA2EADD">
        <w:tblPrEx>
          <w:tblCellMar>
            <w:top w:w="0" w:type="dxa"/>
            <w:left w:w="108" w:type="dxa"/>
            <w:bottom w:w="0" w:type="dxa"/>
            <w:right w:w="108" w:type="dxa"/>
          </w:tblCellMar>
        </w:tblPrEx>
        <w:trPr>
          <w:trHeight w:val="454" w:hRule="atLeast"/>
        </w:trPr>
        <w:tc>
          <w:tcPr>
            <w:tcW w:w="5070" w:type="dxa"/>
            <w:noWrap w:val="0"/>
            <w:vAlign w:val="top"/>
          </w:tcPr>
          <w:p w14:paraId="3D3658E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常州市新北区东海路202号</w:t>
            </w:r>
          </w:p>
        </w:tc>
        <w:tc>
          <w:tcPr>
            <w:tcW w:w="4961" w:type="dxa"/>
            <w:noWrap w:val="0"/>
            <w:vAlign w:val="top"/>
          </w:tcPr>
          <w:p w14:paraId="519885DF">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地址：</w:t>
            </w:r>
            <w:r>
              <w:rPr>
                <w:rFonts w:hint="eastAsia" w:ascii="仿宋_GB2312" w:hAnsi="仿宋_GB2312" w:eastAsia="仿宋_GB2312" w:cs="仿宋_GB2312"/>
                <w:bCs/>
                <w:color w:val="auto"/>
                <w:sz w:val="32"/>
                <w:szCs w:val="32"/>
                <w:highlight w:val="none"/>
                <w:lang w:eastAsia="zh-CN" w:bidi="ar"/>
              </w:rPr>
              <w:t>常州市武进区延政中路世贸大厦A801室</w:t>
            </w:r>
          </w:p>
        </w:tc>
      </w:tr>
      <w:tr w14:paraId="4C431DAB">
        <w:tblPrEx>
          <w:tblCellMar>
            <w:top w:w="0" w:type="dxa"/>
            <w:left w:w="108" w:type="dxa"/>
            <w:bottom w:w="0" w:type="dxa"/>
            <w:right w:w="108" w:type="dxa"/>
          </w:tblCellMar>
        </w:tblPrEx>
        <w:trPr>
          <w:trHeight w:val="467" w:hRule="atLeast"/>
        </w:trPr>
        <w:tc>
          <w:tcPr>
            <w:tcW w:w="5070" w:type="dxa"/>
            <w:noWrap w:val="0"/>
            <w:vAlign w:val="top"/>
          </w:tcPr>
          <w:p w14:paraId="716113D1">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val="en-US" w:eastAsia="zh-CN" w:bidi="ar"/>
              </w:rPr>
              <w:t>祁</w:t>
            </w:r>
            <w:r>
              <w:rPr>
                <w:rFonts w:hint="eastAsia" w:ascii="仿宋_GB2312" w:hAnsi="仿宋_GB2312" w:eastAsia="仿宋_GB2312" w:cs="仿宋_GB2312"/>
                <w:bCs/>
                <w:color w:val="auto"/>
                <w:sz w:val="32"/>
                <w:szCs w:val="32"/>
                <w:highlight w:val="none"/>
                <w:lang w:eastAsia="zh-CN" w:bidi="ar"/>
              </w:rPr>
              <w:t>女士</w:t>
            </w:r>
          </w:p>
        </w:tc>
        <w:tc>
          <w:tcPr>
            <w:tcW w:w="4961" w:type="dxa"/>
            <w:noWrap w:val="0"/>
            <w:vAlign w:val="top"/>
          </w:tcPr>
          <w:p w14:paraId="3ABC14E6">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联系人：</w:t>
            </w:r>
            <w:r>
              <w:rPr>
                <w:rFonts w:hint="eastAsia" w:ascii="仿宋_GB2312" w:hAnsi="仿宋_GB2312" w:eastAsia="仿宋_GB2312" w:cs="仿宋_GB2312"/>
                <w:bCs/>
                <w:color w:val="auto"/>
                <w:sz w:val="32"/>
                <w:szCs w:val="32"/>
                <w:highlight w:val="none"/>
                <w:lang w:val="en-US" w:eastAsia="zh-CN" w:bidi="ar"/>
              </w:rPr>
              <w:t>李</w:t>
            </w:r>
            <w:r>
              <w:rPr>
                <w:rFonts w:hint="eastAsia" w:ascii="仿宋_GB2312" w:hAnsi="仿宋_GB2312" w:eastAsia="仿宋_GB2312" w:cs="仿宋_GB2312"/>
                <w:bCs/>
                <w:color w:val="auto"/>
                <w:sz w:val="32"/>
                <w:szCs w:val="32"/>
                <w:highlight w:val="none"/>
                <w:lang w:eastAsia="zh-CN" w:bidi="ar"/>
              </w:rPr>
              <w:t>先生</w:t>
            </w:r>
          </w:p>
        </w:tc>
      </w:tr>
      <w:tr w14:paraId="446F4779">
        <w:tblPrEx>
          <w:tblCellMar>
            <w:top w:w="0" w:type="dxa"/>
            <w:left w:w="108" w:type="dxa"/>
            <w:bottom w:w="0" w:type="dxa"/>
            <w:right w:w="108" w:type="dxa"/>
          </w:tblCellMar>
        </w:tblPrEx>
        <w:trPr>
          <w:trHeight w:val="454" w:hRule="atLeast"/>
        </w:trPr>
        <w:tc>
          <w:tcPr>
            <w:tcW w:w="5070" w:type="dxa"/>
            <w:noWrap w:val="0"/>
            <w:vAlign w:val="top"/>
          </w:tcPr>
          <w:p w14:paraId="1D7D5B40">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0519-85582503</w:t>
            </w:r>
          </w:p>
        </w:tc>
        <w:tc>
          <w:tcPr>
            <w:tcW w:w="4961" w:type="dxa"/>
            <w:noWrap w:val="0"/>
            <w:vAlign w:val="top"/>
          </w:tcPr>
          <w:p w14:paraId="525FE5A2">
            <w:pPr>
              <w:keepNext w:val="0"/>
              <w:keepLines w:val="0"/>
              <w:pageBreakBefore w:val="0"/>
              <w:widowControl w:val="0"/>
              <w:kinsoku/>
              <w:wordWrap/>
              <w:overflowPunct/>
              <w:topLinePunct w:val="0"/>
              <w:autoSpaceDE w:val="0"/>
              <w:autoSpaceDN/>
              <w:bidi w:val="0"/>
              <w:spacing w:line="560" w:lineRule="exact"/>
              <w:ind w:right="0" w:rightChars="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bidi="ar"/>
              </w:rPr>
              <w:t>电话：</w:t>
            </w:r>
            <w:r>
              <w:rPr>
                <w:rFonts w:hint="eastAsia" w:ascii="仿宋_GB2312" w:hAnsi="仿宋_GB2312" w:eastAsia="仿宋_GB2312" w:cs="仿宋_GB2312"/>
                <w:bCs/>
                <w:color w:val="auto"/>
                <w:sz w:val="32"/>
                <w:szCs w:val="32"/>
                <w:highlight w:val="none"/>
                <w:lang w:eastAsia="zh-CN" w:bidi="ar"/>
              </w:rPr>
              <w:t>0519-89891660</w:t>
            </w:r>
          </w:p>
        </w:tc>
      </w:tr>
    </w:tbl>
    <w:p w14:paraId="326BA725">
      <w:pPr>
        <w:keepNext w:val="0"/>
        <w:keepLines w:val="0"/>
        <w:pageBreakBefore w:val="0"/>
        <w:widowControl w:val="0"/>
        <w:kinsoku/>
        <w:wordWrap/>
        <w:overflowPunct/>
        <w:topLinePunct w:val="0"/>
        <w:autoSpaceDE w:val="0"/>
        <w:autoSpaceDN/>
        <w:bidi w:val="0"/>
        <w:spacing w:line="560" w:lineRule="exact"/>
        <w:ind w:left="0" w:leftChars="0" w:right="0" w:rightChars="0" w:firstLine="0" w:firstLineChars="0"/>
        <w:jc w:val="left"/>
        <w:textAlignment w:val="auto"/>
        <w:rPr>
          <w:rFonts w:hint="eastAsia" w:ascii="仿宋_GB2312" w:hAnsi="仿宋_GB2312" w:eastAsia="仿宋_GB2312" w:cs="仿宋_GB2312"/>
          <w:bCs/>
          <w:color w:val="auto"/>
          <w:sz w:val="32"/>
          <w:szCs w:val="32"/>
          <w:highlight w:val="none"/>
          <w:lang w:eastAsia="zh-CN" w:bidi="ar"/>
        </w:rPr>
      </w:pPr>
      <w:bookmarkStart w:id="0" w:name="_Toc522797139"/>
      <w:bookmarkStart w:id="1" w:name="_Toc389065130"/>
      <w:bookmarkStart w:id="2" w:name="_Toc32718"/>
      <w:r>
        <w:rPr>
          <w:rFonts w:hint="eastAsia" w:ascii="仿宋_GB2312" w:hAnsi="仿宋_GB2312" w:eastAsia="仿宋_GB2312" w:cs="仿宋_GB2312"/>
          <w:bCs/>
          <w:color w:val="auto"/>
          <w:sz w:val="32"/>
          <w:szCs w:val="32"/>
          <w:highlight w:val="none"/>
          <w:lang w:eastAsia="zh-CN" w:bidi="ar"/>
        </w:rPr>
        <w:t>友情提醒</w:t>
      </w:r>
      <w:r>
        <w:rPr>
          <w:rFonts w:hint="eastAsia" w:ascii="仿宋_GB2312" w:hAnsi="仿宋_GB2312" w:eastAsia="仿宋_GB2312" w:cs="仿宋_GB2312"/>
          <w:bCs/>
          <w:color w:val="auto"/>
          <w:sz w:val="32"/>
          <w:szCs w:val="32"/>
          <w:highlight w:val="none"/>
          <w:u w:val="none"/>
          <w:lang w:eastAsia="zh-CN"/>
        </w:rPr>
        <w:t>：</w:t>
      </w:r>
    </w:p>
    <w:bookmarkEnd w:id="0"/>
    <w:bookmarkEnd w:id="1"/>
    <w:bookmarkEnd w:id="2"/>
    <w:p w14:paraId="3D2B3B1B">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1．信息公布、招投标答疑:常州国家高新区管委会（新北区人民政府）网、江苏武晋工程咨询有限公司网、E交易网。</w:t>
      </w:r>
    </w:p>
    <w:p w14:paraId="6415661A">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２．投标人可在本公告发布网页的后续公告栏内查阅本次招投标的“公告发布、招标文件答疑澄清”等全部相关消息，因未能及时了解相关最新信息所引起的投标失误责任自负。</w:t>
      </w:r>
    </w:p>
    <w:p w14:paraId="0FD9F7CE">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Cs/>
          <w:color w:val="auto"/>
          <w:sz w:val="32"/>
          <w:szCs w:val="32"/>
          <w:highlight w:val="none"/>
          <w:lang w:eastAsia="zh-CN" w:bidi="ar"/>
        </w:rPr>
      </w:pPr>
      <w:r>
        <w:rPr>
          <w:rFonts w:hint="eastAsia" w:ascii="仿宋_GB2312" w:hAnsi="仿宋_GB2312" w:eastAsia="仿宋_GB2312" w:cs="仿宋_GB2312"/>
          <w:bCs/>
          <w:color w:val="auto"/>
          <w:sz w:val="32"/>
          <w:szCs w:val="32"/>
          <w:highlight w:val="none"/>
          <w:lang w:eastAsia="zh-CN" w:bidi="ar"/>
        </w:rPr>
        <w:t>３．投标人对招标公告及文件如有异议请联系招标人或招标代理机构。</w:t>
      </w:r>
    </w:p>
    <w:p w14:paraId="483193F8">
      <w:pPr>
        <w:pStyle w:val="2"/>
        <w:keepNext w:val="0"/>
        <w:keepLines w:val="0"/>
        <w:pageBreakBefore w:val="0"/>
        <w:kinsoku/>
        <w:wordWrap/>
        <w:overflowPunct/>
        <w:bidi w:val="0"/>
        <w:spacing w:line="560" w:lineRule="exact"/>
        <w:ind w:firstLine="640" w:firstLineChars="200"/>
        <w:rPr>
          <w:rFonts w:hint="eastAsia" w:ascii="黑体" w:hAnsi="宋体" w:eastAsia="黑体" w:cs="黑体"/>
          <w:bCs/>
          <w:color w:val="auto"/>
          <w:sz w:val="32"/>
          <w:szCs w:val="32"/>
          <w:highlight w:val="none"/>
          <w:lang w:bidi="ar"/>
        </w:rPr>
      </w:pPr>
      <w:r>
        <w:rPr>
          <w:rFonts w:hint="eastAsia" w:ascii="仿宋_GB2312" w:hAnsi="仿宋_GB2312" w:eastAsia="仿宋_GB2312" w:cs="仿宋_GB2312"/>
          <w:bCs/>
          <w:color w:val="000000" w:themeColor="text1"/>
          <w:sz w:val="32"/>
          <w:szCs w:val="32"/>
          <w:lang w:val="en-US" w:eastAsia="zh-CN" w:bidi="ar"/>
          <w14:textFill>
            <w14:solidFill>
              <w14:schemeClr w14:val="tx1"/>
            </w14:solidFill>
          </w14:textFill>
        </w:rPr>
        <w:t>4</w:t>
      </w:r>
      <w:r>
        <w:rPr>
          <w:rFonts w:hint="eastAsia" w:ascii="仿宋_GB2312" w:hAnsi="仿宋_GB2312" w:eastAsia="仿宋_GB2312" w:cs="仿宋_GB2312"/>
          <w:bCs/>
          <w:color w:val="auto"/>
          <w:sz w:val="32"/>
          <w:szCs w:val="32"/>
          <w:highlight w:val="none"/>
          <w:lang w:eastAsia="zh-CN" w:bidi="ar"/>
        </w:rPr>
        <w:t>．</w:t>
      </w:r>
      <w:r>
        <w:rPr>
          <w:rFonts w:hint="eastAsia" w:ascii="仿宋_GB2312" w:hAnsi="仿宋_GB2312" w:eastAsia="仿宋_GB2312" w:cs="仿宋_GB2312"/>
          <w:bCs/>
          <w:color w:val="000000" w:themeColor="text1"/>
          <w:sz w:val="32"/>
          <w:szCs w:val="32"/>
          <w:lang w:bidi="ar"/>
          <w14:textFill>
            <w14:solidFill>
              <w14:schemeClr w14:val="tx1"/>
            </w14:solidFill>
          </w14:textFill>
        </w:rPr>
        <w:t>监督部门</w:t>
      </w:r>
      <w:r>
        <w:rPr>
          <w:rFonts w:hint="eastAsia" w:ascii="仿宋_GB2312" w:hAnsi="仿宋_GB2312" w:eastAsia="仿宋_GB2312" w:cs="仿宋_GB2312"/>
          <w:bCs/>
          <w:color w:val="000000" w:themeColor="text1"/>
          <w:sz w:val="32"/>
          <w:szCs w:val="32"/>
          <w:lang w:eastAsia="zh-CN" w:bidi="ar"/>
          <w14:textFill>
            <w14:solidFill>
              <w14:schemeClr w14:val="tx1"/>
            </w14:solidFill>
          </w14:textFill>
        </w:rPr>
        <w:t>：</w:t>
      </w:r>
      <w:r>
        <w:rPr>
          <w:rFonts w:hint="eastAsia" w:ascii="仿宋_GB2312" w:hAnsi="仿宋_GB2312" w:eastAsia="仿宋_GB2312" w:cs="仿宋_GB2312"/>
          <w:bCs/>
          <w:color w:val="000000" w:themeColor="text1"/>
          <w:sz w:val="32"/>
          <w:szCs w:val="32"/>
          <w:lang w:bidi="ar"/>
          <w14:textFill>
            <w14:solidFill>
              <w14:schemeClr w14:val="tx1"/>
            </w14:solidFill>
          </w14:textFill>
        </w:rPr>
        <w:t>合规管理部/纪委办公室，联系方式</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000000" w:themeColor="text1"/>
          <w:sz w:val="32"/>
          <w:szCs w:val="32"/>
          <w:lang w:bidi="ar"/>
          <w14:textFill>
            <w14:solidFill>
              <w14:schemeClr w14:val="tx1"/>
            </w14:solidFill>
          </w14:textFill>
        </w:rPr>
        <w:t>0519-81808706</w:t>
      </w:r>
      <w:r>
        <w:rPr>
          <w:rFonts w:hint="eastAsia" w:ascii="仿宋_GB2312" w:hAnsi="仿宋_GB2312" w:eastAsia="仿宋_GB2312" w:cs="仿宋_GB2312"/>
          <w:bCs/>
          <w:color w:val="000000" w:themeColor="text1"/>
          <w:sz w:val="32"/>
          <w:szCs w:val="32"/>
          <w:lang w:eastAsia="zh-CN" w:bidi="ar"/>
          <w14:textFill>
            <w14:solidFill>
              <w14:schemeClr w14:val="tx1"/>
            </w14:solidFill>
          </w14:textFill>
        </w:rPr>
        <w:t>。</w:t>
      </w:r>
    </w:p>
    <w:p w14:paraId="501F14C7">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1</w:t>
      </w:r>
    </w:p>
    <w:p w14:paraId="6434F739">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资格审查办法（资格后审）</w:t>
      </w:r>
    </w:p>
    <w:p w14:paraId="2D22D6A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bidi="ar"/>
        </w:rPr>
        <w:t>一、本工程由招标人委托的评标委员会采用</w:t>
      </w:r>
      <w:r>
        <w:rPr>
          <w:rFonts w:hint="eastAsia" w:ascii="黑体" w:hAnsi="宋体" w:eastAsia="黑体" w:cs="黑体"/>
          <w:bCs/>
          <w:color w:val="auto"/>
          <w:sz w:val="32"/>
          <w:szCs w:val="32"/>
          <w:highlight w:val="none"/>
          <w:u w:val="single"/>
          <w:lang w:bidi="ar"/>
        </w:rPr>
        <w:t xml:space="preserve"> 资格后审 </w:t>
      </w:r>
      <w:r>
        <w:rPr>
          <w:rFonts w:hint="eastAsia" w:ascii="黑体" w:hAnsi="宋体" w:eastAsia="黑体" w:cs="黑体"/>
          <w:bCs/>
          <w:color w:val="auto"/>
          <w:sz w:val="32"/>
          <w:szCs w:val="32"/>
          <w:highlight w:val="none"/>
          <w:lang w:bidi="ar"/>
        </w:rPr>
        <w:t>对投标人进行资格审查。</w:t>
      </w:r>
    </w:p>
    <w:p w14:paraId="0D1B3C3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黑体" w:cs="仿宋_GB2312"/>
          <w:color w:val="auto"/>
          <w:sz w:val="32"/>
          <w:szCs w:val="32"/>
          <w:highlight w:val="none"/>
          <w:lang w:eastAsia="zh-CN"/>
        </w:rPr>
      </w:pPr>
      <w:r>
        <w:rPr>
          <w:rFonts w:hint="eastAsia" w:ascii="黑体" w:hAnsi="宋体" w:eastAsia="黑体" w:cs="黑体"/>
          <w:bCs/>
          <w:color w:val="auto"/>
          <w:sz w:val="32"/>
          <w:szCs w:val="32"/>
          <w:highlight w:val="none"/>
          <w:lang w:bidi="ar"/>
        </w:rPr>
        <w:t>二、本工程资审合格条件</w:t>
      </w:r>
      <w:r>
        <w:rPr>
          <w:rFonts w:hint="eastAsia" w:ascii="黑体" w:hAnsi="宋体" w:eastAsia="黑体" w:cs="黑体"/>
          <w:bCs/>
          <w:color w:val="auto"/>
          <w:sz w:val="32"/>
          <w:szCs w:val="32"/>
          <w:highlight w:val="none"/>
          <w:lang w:eastAsia="zh-CN" w:bidi="ar"/>
        </w:rPr>
        <w:t>：</w:t>
      </w:r>
    </w:p>
    <w:p w14:paraId="13F5B6E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1．具有独立签订合同的能力；</w:t>
      </w:r>
    </w:p>
    <w:p w14:paraId="0FE5ED9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2．未处于被责令停业、投标资格被取消状态；</w:t>
      </w:r>
    </w:p>
    <w:p w14:paraId="5AFC770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3．企业没有因骗取中标或者严重违约以及发生重大工程质量、安全生产事故等违法违规问题，被有关部门暂停投标资格并在暂停期内的；</w:t>
      </w:r>
    </w:p>
    <w:p w14:paraId="3AA2824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4．投标文件中的资格审查资料没有失真或者弄虚作假；</w:t>
      </w:r>
    </w:p>
    <w:p w14:paraId="26E9921A">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5．企业的资质类别、等级和项目负责人注册专业、资格等级符合国家有关规定；</w:t>
      </w:r>
    </w:p>
    <w:p w14:paraId="10CF02C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6．企业具备安全生产条件，并取得安全生产许可证（相关规定不作要求的除外）；</w:t>
      </w:r>
    </w:p>
    <w:p w14:paraId="1FAE1119">
      <w:pPr>
        <w:keepNext w:val="0"/>
        <w:keepLines w:val="0"/>
        <w:pageBreakBefore w:val="0"/>
        <w:kinsoku/>
        <w:wordWrap/>
        <w:overflowPunct/>
        <w:topLinePunct w:val="0"/>
        <w:bidi w:val="0"/>
        <w:spacing w:line="560" w:lineRule="exact"/>
        <w:ind w:left="0" w:leftChars="0" w:right="0" w:rightChars="0"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7．投标人在投标文件递交截止时间当日，对于本次招标文件中要求的企业资质，投标人的建筑业企业资质要求在“江苏省建筑市场监管与诚信信息一体化平台”查询不处于动态监管不合格状态</w:t>
      </w:r>
      <w:r>
        <w:rPr>
          <w:rFonts w:hint="eastAsia" w:ascii="仿宋_GB2312" w:hAnsi="仿宋_GB2312" w:eastAsia="仿宋_GB2312" w:cs="仿宋_GB2312"/>
          <w:b/>
          <w:bCs/>
          <w:color w:val="auto"/>
          <w:sz w:val="32"/>
          <w:szCs w:val="32"/>
          <w:highlight w:val="none"/>
          <w:lang w:eastAsia="zh-CN"/>
        </w:rPr>
        <w:t>；</w:t>
      </w:r>
    </w:p>
    <w:p w14:paraId="48AA0FE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8．项目负责人必须满足下列条件：</w:t>
      </w:r>
    </w:p>
    <w:p w14:paraId="274D1872">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（1）投标人拟派项目负责人须具备</w:t>
      </w:r>
      <w:r>
        <w:rPr>
          <w:rFonts w:hint="eastAsia" w:ascii="仿宋_GB2312" w:hAnsi="仿宋_GB2312" w:eastAsia="仿宋_GB2312" w:cs="仿宋_GB2312"/>
          <w:b/>
          <w:bCs/>
          <w:color w:val="auto"/>
          <w:kern w:val="0"/>
          <w:sz w:val="32"/>
          <w:szCs w:val="32"/>
          <w:highlight w:val="none"/>
          <w:u w:val="single"/>
          <w:lang w:eastAsia="zh-CN"/>
        </w:rPr>
        <w:t>市政公用工程</w:t>
      </w:r>
      <w:r>
        <w:rPr>
          <w:rFonts w:hint="eastAsia" w:ascii="仿宋_GB2312" w:hAnsi="仿宋_GB2312" w:eastAsia="仿宋_GB2312" w:cs="仿宋_GB2312"/>
          <w:b/>
          <w:bCs/>
          <w:color w:val="auto"/>
          <w:kern w:val="0"/>
          <w:sz w:val="32"/>
          <w:szCs w:val="32"/>
          <w:highlight w:val="none"/>
          <w:u w:val="single"/>
          <w:lang w:val="en-US" w:eastAsia="zh-CN"/>
        </w:rPr>
        <w:t>一</w:t>
      </w:r>
      <w:r>
        <w:rPr>
          <w:rFonts w:hint="eastAsia" w:ascii="仿宋_GB2312" w:hAnsi="仿宋_GB2312" w:eastAsia="仿宋_GB2312" w:cs="仿宋_GB2312"/>
          <w:b/>
          <w:bCs/>
          <w:color w:val="auto"/>
          <w:kern w:val="0"/>
          <w:sz w:val="32"/>
          <w:szCs w:val="32"/>
          <w:highlight w:val="none"/>
          <w:u w:val="single"/>
          <w:lang w:eastAsia="zh-CN"/>
        </w:rPr>
        <w:t>级注册建造师</w:t>
      </w:r>
      <w:r>
        <w:rPr>
          <w:rFonts w:hint="eastAsia" w:ascii="仿宋_GB2312" w:hAnsi="仿宋_GB2312" w:eastAsia="仿宋_GB2312" w:cs="仿宋_GB2312"/>
          <w:color w:val="auto"/>
          <w:sz w:val="32"/>
          <w:szCs w:val="32"/>
          <w:highlight w:val="none"/>
        </w:rPr>
        <w:t>。</w:t>
      </w:r>
    </w:p>
    <w:p w14:paraId="2346327F">
      <w:pPr>
        <w:keepNext w:val="0"/>
        <w:keepLines w:val="0"/>
        <w:pageBreakBefore w:val="0"/>
        <w:widowControl/>
        <w:kinsoku/>
        <w:wordWrap/>
        <w:overflowPunct/>
        <w:topLinePunct w:val="0"/>
        <w:bidi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（2）项目负责人不得同时在两个或者两个以上单位受聘或者执业,且无在建工程。</w:t>
      </w:r>
    </w:p>
    <w:p w14:paraId="6E9495F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w:t>
      </w:r>
      <w:r>
        <w:rPr>
          <w:rFonts w:hint="eastAsia" w:ascii="仿宋_GB2312" w:hAnsi="仿宋_GB2312" w:eastAsia="仿宋_GB2312" w:cs="仿宋_GB2312"/>
          <w:color w:val="auto"/>
          <w:kern w:val="0"/>
          <w:sz w:val="32"/>
          <w:szCs w:val="32"/>
          <w:highlight w:val="none"/>
        </w:rPr>
        <w:t>工程属于同一工程项目</w:t>
      </w:r>
      <w:r>
        <w:rPr>
          <w:rFonts w:hint="eastAsia" w:ascii="仿宋_GB2312" w:hAnsi="仿宋_GB2312" w:eastAsia="仿宋_GB2312" w:cs="仿宋_GB2312"/>
          <w:color w:val="auto"/>
          <w:sz w:val="32"/>
          <w:szCs w:val="32"/>
          <w:highlight w:val="none"/>
        </w:rPr>
        <w:t>、同一项目批文、同一施工地点分段发包或分期施工的情况且总的工程规模在项目负责人执业范围之内。</w:t>
      </w:r>
    </w:p>
    <w:p w14:paraId="700F7C8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9．类似工程业绩要求：/</w:t>
      </w:r>
      <w:r>
        <w:rPr>
          <w:rFonts w:hint="eastAsia" w:ascii="仿宋_GB2312" w:hAnsi="仿宋_GB2312" w:eastAsia="仿宋_GB2312" w:cs="仿宋_GB2312"/>
          <w:color w:val="auto"/>
          <w:sz w:val="32"/>
          <w:szCs w:val="32"/>
          <w:highlight w:val="none"/>
          <w:lang w:eastAsia="zh-CN"/>
        </w:rPr>
        <w:t>；</w:t>
      </w:r>
    </w:p>
    <w:p w14:paraId="4015683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10．投标人及项目负责人其他要求：</w:t>
      </w:r>
    </w:p>
    <w:p w14:paraId="16E2CA9D">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（1）企业和拟派项目负责人近三个月（从投标截止时间往前推算）内均没有因串通投标、弄虚作假、以他人名义投标、骗取中标、转包、违法分包等违法行为受到建设等有关部门行政处罚的；</w:t>
      </w:r>
    </w:p>
    <w:p w14:paraId="3F9F30F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（2）企业近1年内（从投标截止日期往前推算）没有无正当理由放弃中标资格（不含项目负责人多投多中后放弃）、不与招标人订立合同、拒不提供履约担保情形的；</w:t>
      </w:r>
    </w:p>
    <w:p w14:paraId="70B698A3">
      <w:pPr>
        <w:keepNext w:val="0"/>
        <w:keepLines w:val="0"/>
        <w:pageBreakBefore w:val="0"/>
        <w:kinsoku/>
        <w:wordWrap/>
        <w:overflowPunct/>
        <w:topLinePunct w:val="0"/>
        <w:bidi w:val="0"/>
        <w:adjustRightInd w:val="0"/>
        <w:spacing w:line="560" w:lineRule="exact"/>
        <w:ind w:left="0" w:leftChars="0" w:right="0" w:rightChars="0" w:firstLine="640" w:firstLineChars="200"/>
        <w:jc w:val="left"/>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（3）企业近3个月（从投标截止时间往前推算）内没有因拖欠工人工资被招标项目所在地省、市、县（市、区）建设行政主管部门行政处罚的。（本条内容与招标文件中所载不一致的，以本招标公告为准）</w:t>
      </w:r>
      <w:r>
        <w:rPr>
          <w:rFonts w:hint="eastAsia" w:ascii="仿宋_GB2312" w:hAnsi="仿宋_GB2312" w:eastAsia="仿宋_GB2312" w:cs="仿宋_GB2312"/>
          <w:color w:val="auto"/>
          <w:sz w:val="32"/>
          <w:szCs w:val="32"/>
          <w:highlight w:val="none"/>
          <w:lang w:eastAsia="zh-CN"/>
        </w:rPr>
        <w:t>；</w:t>
      </w:r>
    </w:p>
    <w:p w14:paraId="2B36D785">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11．本次招标</w:t>
      </w:r>
      <w:r>
        <w:rPr>
          <w:rFonts w:hint="eastAsia" w:ascii="仿宋_GB2312" w:hAnsi="仿宋_GB2312" w:eastAsia="仿宋_GB2312" w:cs="仿宋_GB2312"/>
          <w:b/>
          <w:bCs/>
          <w:color w:val="auto"/>
          <w:sz w:val="32"/>
          <w:szCs w:val="32"/>
          <w:highlight w:val="none"/>
          <w:u w:val="single"/>
        </w:rPr>
        <w:t>接受（</w:t>
      </w:r>
      <w:r>
        <w:rPr>
          <w:rFonts w:hint="eastAsia" w:ascii="仿宋_GB2312" w:hAnsi="仿宋_GB2312" w:eastAsia="仿宋_GB2312" w:cs="仿宋_GB2312"/>
          <w:color w:val="auto"/>
          <w:sz w:val="32"/>
          <w:szCs w:val="32"/>
          <w:highlight w:val="none"/>
        </w:rPr>
        <w:t>接受/不接受）联合体投标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具体要求详见招标公告</w:t>
      </w:r>
      <w:r>
        <w:rPr>
          <w:rFonts w:hint="eastAsia" w:ascii="仿宋_GB2312" w:hAnsi="仿宋_GB2312" w:eastAsia="仿宋_GB2312" w:cs="仿宋_GB2312"/>
          <w:color w:val="auto"/>
          <w:sz w:val="32"/>
          <w:szCs w:val="32"/>
          <w:highlight w:val="none"/>
          <w:lang w:eastAsia="zh-CN"/>
        </w:rPr>
        <w:t>；</w:t>
      </w:r>
    </w:p>
    <w:p w14:paraId="4EB12F95">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12．投标人不得存在下列情形之一： </w:t>
      </w:r>
    </w:p>
    <w:p w14:paraId="6BED8A9B">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（1）为招标人不具有独立法人资格的附属机构（单位）； </w:t>
      </w:r>
    </w:p>
    <w:p w14:paraId="184AF83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（2）为本招标项目的监理人、代建人、项目管理人，以及为本招标项目提供招标代理、设计服务的； </w:t>
      </w:r>
    </w:p>
    <w:p w14:paraId="048B958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（3）与本招标项目的监理人、代建人、招标代理机构同为一个法定代表人的，或者相互控股、参股的； </w:t>
      </w:r>
    </w:p>
    <w:p w14:paraId="429B9FE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（4）与招标人存在利害关系可能影响招标公正性的； </w:t>
      </w:r>
    </w:p>
    <w:p w14:paraId="76E93D96">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（5）单位负责人为同一人或者存在控股、管理关系的不同单位； </w:t>
      </w:r>
    </w:p>
    <w:p w14:paraId="472D957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（6）处于被责令停业、财产被接管、冻结和破产状态，以及投标资格被取消或者被暂停且在暂停期内； </w:t>
      </w:r>
    </w:p>
    <w:p w14:paraId="16BEC6C3">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 xml:space="preserve">（7）因拖欠工人工资或者因发生质量安全事故被有关部门限制在招标项目所在地承接工程的； </w:t>
      </w:r>
    </w:p>
    <w:p w14:paraId="16FA374F">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（8）</w:t>
      </w:r>
      <w:r>
        <w:rPr>
          <w:rFonts w:hint="eastAsia" w:ascii="仿宋_GB2312" w:hAnsi="仿宋_GB2312" w:eastAsia="仿宋_GB2312" w:cs="仿宋_GB2312"/>
          <w:color w:val="auto"/>
          <w:kern w:val="0"/>
          <w:sz w:val="32"/>
          <w:szCs w:val="32"/>
          <w:highlight w:val="none"/>
          <w:lang w:val="en-US" w:eastAsia="zh-CN"/>
        </w:rPr>
        <w:t>投标人近3年（自投标截止日期往前推算）内有行贿犯罪行为且被记录，或者法定代表人、项目负责人有行贿犯罪记录且自记录之日起未超过5年（自投标截止日期往前推算）的</w:t>
      </w:r>
      <w:r>
        <w:rPr>
          <w:rFonts w:hint="eastAsia" w:ascii="仿宋_GB2312" w:hAnsi="仿宋_GB2312" w:eastAsia="仿宋_GB2312" w:cs="仿宋_GB2312"/>
          <w:color w:val="auto"/>
          <w:kern w:val="0"/>
          <w:sz w:val="32"/>
          <w:szCs w:val="32"/>
          <w:highlight w:val="none"/>
        </w:rPr>
        <w:t>。</w:t>
      </w:r>
    </w:p>
    <w:p w14:paraId="1DE95587">
      <w:pPr>
        <w:keepNext w:val="0"/>
        <w:keepLines w:val="0"/>
        <w:pageBreakBefore w:val="0"/>
        <w:kinsoku/>
        <w:wordWrap/>
        <w:overflowPunct/>
        <w:topLinePunct w:val="0"/>
        <w:autoSpaceDE w:val="0"/>
        <w:autoSpaceDN w:val="0"/>
        <w:bidi w:val="0"/>
        <w:adjustRightInd w:val="0"/>
        <w:spacing w:line="560" w:lineRule="exact"/>
        <w:ind w:left="0" w:leftChars="0" w:right="0" w:rightChars="0"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13．符合法律、法规规定的其他条件。</w:t>
      </w:r>
    </w:p>
    <w:p w14:paraId="61EA3C39">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val="en-US" w:eastAsia="zh-CN" w:bidi="ar"/>
        </w:rPr>
        <w:t>三、由招标人委托的评标委员会实施对投标人的资格审查。</w:t>
      </w:r>
    </w:p>
    <w:p w14:paraId="016F9C32">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rightChars="0" w:firstLine="640" w:firstLineChars="200"/>
        <w:jc w:val="left"/>
        <w:textAlignment w:val="auto"/>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t>四、资格审查提交资料：</w:t>
      </w:r>
    </w:p>
    <w:p w14:paraId="14A8B31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rPr>
        <w:t>1投标注册建造师第二代居民身份证；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0C877EAC">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rPr>
        <w:t>2投标注册建造师注册证；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28930593">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安全生产考核合格证（B证）；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7237FDF0">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企业营业执照（副本）；企业资质等级证书（副本）；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联合体各方提供</w:t>
      </w:r>
      <w:r>
        <w:rPr>
          <w:rFonts w:hint="eastAsia" w:ascii="仿宋_GB2312" w:hAnsi="仿宋_GB2312" w:eastAsia="仿宋_GB2312" w:cs="仿宋_GB2312"/>
          <w:color w:val="000000"/>
          <w:sz w:val="32"/>
          <w:szCs w:val="32"/>
          <w:lang w:eastAsia="zh-CN"/>
        </w:rPr>
        <w:t>）</w:t>
      </w:r>
    </w:p>
    <w:p w14:paraId="4E41966C">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企业安全生产许可证（副本）；</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7EC4E5EB">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提供投标建造师相应社保机构出具的投标单位为其缴纳社会基本养老保险的缴纳凭证（加盖社保中心章或社保中心参保缴费证明电子专用章，非社保手册）,缴纳时间为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000000"/>
          <w:sz w:val="32"/>
          <w:szCs w:val="32"/>
          <w:lang w:eastAsia="zh-CN"/>
        </w:rPr>
        <w:t>202</w:t>
      </w: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lang w:eastAsia="zh-CN"/>
        </w:rPr>
        <w:t>年</w:t>
      </w:r>
      <w:r>
        <w:rPr>
          <w:rFonts w:hint="eastAsia" w:ascii="仿宋_GB2312" w:hAnsi="仿宋_GB2312" w:eastAsia="仿宋_GB2312" w:cs="仿宋_GB2312"/>
          <w:b/>
          <w:bCs/>
          <w:color w:val="000000"/>
          <w:sz w:val="32"/>
          <w:szCs w:val="32"/>
          <w:lang w:val="en-US" w:eastAsia="zh-CN"/>
        </w:rPr>
        <w:t>8</w:t>
      </w:r>
      <w:r>
        <w:rPr>
          <w:rFonts w:hint="eastAsia" w:ascii="仿宋_GB2312" w:hAnsi="仿宋_GB2312" w:eastAsia="仿宋_GB2312" w:cs="仿宋_GB2312"/>
          <w:b/>
          <w:bCs/>
          <w:color w:val="000000"/>
          <w:sz w:val="32"/>
          <w:szCs w:val="32"/>
          <w:lang w:eastAsia="zh-CN"/>
        </w:rPr>
        <w:t>月至2025年10月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1C1A8336">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提供授权委托人相应社保机构出具的投标单位为其缴纳社会基本养老保险的缴纳凭证（加盖社保中心章或社保中心参保缴费证明电子专用章，非社保手册）,缴纳时间为</w:t>
      </w:r>
      <w:r>
        <w:rPr>
          <w:rFonts w:hint="eastAsia" w:ascii="仿宋_GB2312" w:hAnsi="仿宋_GB2312" w:eastAsia="仿宋_GB2312" w:cs="仿宋_GB2312"/>
          <w:b/>
          <w:bCs/>
          <w:color w:val="000000"/>
          <w:sz w:val="32"/>
          <w:szCs w:val="32"/>
          <w:lang w:eastAsia="zh-CN"/>
        </w:rPr>
        <w:t>2025年8月至2025年10月</w:t>
      </w:r>
      <w:r>
        <w:rPr>
          <w:rFonts w:hint="eastAsia" w:ascii="仿宋_GB2312" w:hAnsi="仿宋_GB2312" w:eastAsia="仿宋_GB2312" w:cs="仿宋_GB2312"/>
          <w:color w:val="000000"/>
          <w:sz w:val="32"/>
          <w:szCs w:val="32"/>
        </w:rPr>
        <w:t>连续三个月</w:t>
      </w:r>
      <w:r>
        <w:rPr>
          <w:rFonts w:hint="eastAsia" w:ascii="仿宋_GB2312" w:hAnsi="仿宋_GB2312" w:eastAsia="仿宋_GB2312" w:cs="仿宋_GB2312"/>
          <w:b/>
          <w:bCs/>
          <w:color w:val="000000"/>
          <w:sz w:val="32"/>
          <w:szCs w:val="32"/>
        </w:rPr>
        <w:t>（如为退休返聘人员须提供退休证明及返聘合同）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5D8FDB1E">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授权委托人本人第二代居民身份证。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1093CE04">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投标人的法定代表人或被委托人必须携带法定代表人资格书（加盖公章、格式详见</w:t>
      </w:r>
      <w:r>
        <w:rPr>
          <w:rFonts w:hint="eastAsia" w:ascii="仿宋_GB2312" w:hAnsi="仿宋_GB2312" w:eastAsia="仿宋_GB2312" w:cs="仿宋_GB2312"/>
          <w:color w:val="000000"/>
          <w:sz w:val="32"/>
          <w:szCs w:val="32"/>
          <w:lang w:eastAsia="zh-CN"/>
        </w:rPr>
        <w:t>附件三</w:t>
      </w:r>
      <w:r>
        <w:rPr>
          <w:rFonts w:hint="eastAsia" w:ascii="仿宋_GB2312" w:hAnsi="仿宋_GB2312" w:eastAsia="仿宋_GB2312" w:cs="仿宋_GB2312"/>
          <w:color w:val="000000"/>
          <w:sz w:val="32"/>
          <w:szCs w:val="32"/>
        </w:rPr>
        <w:t>）、法定代表人授权委托书（加盖公章、法人签章、格式详见</w:t>
      </w:r>
      <w:r>
        <w:rPr>
          <w:rFonts w:hint="eastAsia" w:ascii="仿宋_GB2312" w:hAnsi="仿宋_GB2312" w:eastAsia="仿宋_GB2312" w:cs="仿宋_GB2312"/>
          <w:color w:val="000000"/>
          <w:sz w:val="32"/>
          <w:szCs w:val="32"/>
          <w:lang w:eastAsia="zh-CN"/>
        </w:rPr>
        <w:t>附件三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01825D74">
      <w:pPr>
        <w:pStyle w:val="10"/>
        <w:keepNext w:val="0"/>
        <w:keepLines w:val="0"/>
        <w:pageBreakBefore w:val="0"/>
        <w:kinsoku/>
        <w:wordWrap/>
        <w:overflowPunct/>
        <w:topLinePunct w:val="0"/>
        <w:bidi w:val="0"/>
        <w:spacing w:after="0" w:line="560" w:lineRule="exact"/>
        <w:ind w:left="0" w:leftChars="0" w:right="0" w:rightChars="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4.10投标保证金缴款回单。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联合体主办单位提供</w:t>
      </w:r>
      <w:r>
        <w:rPr>
          <w:rFonts w:hint="eastAsia" w:ascii="仿宋_GB2312" w:hAnsi="仿宋_GB2312" w:eastAsia="仿宋_GB2312" w:cs="仿宋_GB2312"/>
          <w:color w:val="000000"/>
          <w:sz w:val="32"/>
          <w:szCs w:val="32"/>
          <w:lang w:eastAsia="zh-CN"/>
        </w:rPr>
        <w:t>）</w:t>
      </w:r>
    </w:p>
    <w:p w14:paraId="607F6F09">
      <w:pPr>
        <w:keepNext w:val="0"/>
        <w:keepLines w:val="0"/>
        <w:pageBreakBefore w:val="0"/>
        <w:widowControl/>
        <w:kinsoku/>
        <w:wordWrap/>
        <w:overflowPunct/>
        <w:topLinePunct w:val="0"/>
        <w:autoSpaceDE/>
        <w:autoSpaceDN/>
        <w:bidi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lang w:eastAsia="zh-CN"/>
        </w:rPr>
        <w:t>投标人信用承诺书</w:t>
      </w:r>
      <w:r>
        <w:rPr>
          <w:rFonts w:hint="eastAsia" w:ascii="仿宋_GB2312" w:hAnsi="仿宋_GB2312" w:eastAsia="仿宋_GB2312" w:cs="仿宋_GB2312"/>
          <w:color w:val="000000"/>
          <w:sz w:val="32"/>
          <w:szCs w:val="32"/>
        </w:rPr>
        <w:t>（详见</w:t>
      </w:r>
      <w:r>
        <w:rPr>
          <w:rFonts w:hint="eastAsia" w:ascii="仿宋_GB2312" w:hAnsi="仿宋_GB2312" w:eastAsia="仿宋_GB2312" w:cs="仿宋_GB2312"/>
          <w:color w:val="000000"/>
          <w:sz w:val="32"/>
          <w:szCs w:val="32"/>
          <w:lang w:eastAsia="zh-CN"/>
        </w:rPr>
        <w:t>附件四</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联合体各方提供</w:t>
      </w:r>
      <w:r>
        <w:rPr>
          <w:rFonts w:hint="eastAsia" w:ascii="仿宋_GB2312" w:hAnsi="仿宋_GB2312" w:eastAsia="仿宋_GB2312" w:cs="仿宋_GB2312"/>
          <w:color w:val="000000"/>
          <w:sz w:val="32"/>
          <w:szCs w:val="32"/>
          <w:lang w:eastAsia="zh-CN"/>
        </w:rPr>
        <w:t>）</w:t>
      </w:r>
    </w:p>
    <w:p w14:paraId="50965D3A">
      <w:pPr>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特别提醒：</w:t>
      </w:r>
    </w:p>
    <w:p w14:paraId="2DCB13C5">
      <w:pPr>
        <w:pStyle w:val="16"/>
        <w:keepNext w:val="0"/>
        <w:keepLines w:val="0"/>
        <w:pageBreakBefore w:val="0"/>
        <w:widowControl/>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① 以上所有资料资格审查时必须提供有效复印件二份，复印件必须装订成册并加盖公章，如未提供或提供不全，作资格审查不通过处理，不接受补充资料。报名单位必须对其提供的资料的真实性负责。资审材料需单独装袋、密封（在封袋骑缝密封处加盖企业公章和企业法定代表人签章）。</w:t>
      </w:r>
    </w:p>
    <w:p w14:paraId="5ACE3E76">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②除授权委托人身份证原件不用装袋、密封，其他资格审查资料必须一起装袋、密封（在封袋骑缝密封处加盖企业公章和企业法定代表人签章），在资格审查前一次性递交，资格审查截止时间后不再接受补充资料。</w:t>
      </w:r>
    </w:p>
    <w:p w14:paraId="2E62A8CC">
      <w:pPr>
        <w:keepNext w:val="0"/>
        <w:keepLines w:val="0"/>
        <w:pageBreakBefore w:val="0"/>
        <w:widowControl/>
        <w:tabs>
          <w:tab w:val="left" w:pos="8820"/>
        </w:tabs>
        <w:kinsoku/>
        <w:wordWrap/>
        <w:overflowPunct/>
        <w:topLinePunct w:val="0"/>
        <w:autoSpaceDE/>
        <w:autoSpaceDN/>
        <w:bidi w:val="0"/>
        <w:spacing w:line="560" w:lineRule="exact"/>
        <w:ind w:left="0" w:leftChars="0" w:right="0" w:rightChars="0" w:firstLine="643" w:firstLine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 xml:space="preserve">③在规定时间内未能按上述要求提供以上资料的作资审不合格处理。 </w:t>
      </w:r>
    </w:p>
    <w:p w14:paraId="582F7ADB">
      <w:pPr>
        <w:keepNext w:val="0"/>
        <w:keepLines w:val="0"/>
        <w:pageBreakBefore w:val="0"/>
        <w:kinsoku/>
        <w:wordWrap/>
        <w:overflowPunct/>
        <w:topLinePunct w:val="0"/>
        <w:bidi w:val="0"/>
        <w:adjustRightInd w:val="0"/>
        <w:spacing w:line="560" w:lineRule="exact"/>
        <w:ind w:left="0" w:leftChars="0" w:right="0" w:rightChars="0" w:firstLine="643" w:firstLineChars="200"/>
        <w:jc w:val="left"/>
        <w:textAlignment w:val="baseline"/>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④投标人在投标文件递交截止时间当日，对于本次招标公告中要求的企业资质，投标单位在江苏省建筑市场监管与诚信信息一体化平台动态监管不合格资质查询中显示不合格的，按资审不合格处理。</w:t>
      </w:r>
    </w:p>
    <w:p w14:paraId="3434A000">
      <w:pPr>
        <w:keepNext w:val="0"/>
        <w:keepLines w:val="0"/>
        <w:pageBreakBefore w:val="0"/>
        <w:kinsoku/>
        <w:wordWrap/>
        <w:overflowPunct/>
        <w:topLinePunct w:val="0"/>
        <w:bidi w:val="0"/>
        <w:adjustRightInd w:val="0"/>
        <w:spacing w:line="560" w:lineRule="exact"/>
        <w:ind w:left="0" w:leftChars="0" w:right="0" w:rightChars="0" w:firstLine="643" w:firstLineChars="200"/>
        <w:jc w:val="left"/>
        <w:textAlignment w:val="baseline"/>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⑤若相关证照为电子证书的，须符合发证部门的使用要求。</w:t>
      </w:r>
    </w:p>
    <w:p w14:paraId="18B82735">
      <w:pPr>
        <w:keepNext w:val="0"/>
        <w:keepLines w:val="0"/>
        <w:pageBreakBefore w:val="0"/>
        <w:kinsoku/>
        <w:wordWrap/>
        <w:overflowPunct/>
        <w:topLinePunct w:val="0"/>
        <w:bidi w:val="0"/>
        <w:adjustRightInd w:val="0"/>
        <w:spacing w:line="560" w:lineRule="exact"/>
        <w:ind w:left="0" w:leftChars="0" w:right="0" w:rightChars="0" w:firstLine="640" w:firstLineChars="200"/>
        <w:jc w:val="left"/>
        <w:textAlignment w:val="baseline"/>
        <w:rPr>
          <w:rFonts w:hint="eastAsia" w:ascii="仿宋_GB2312" w:hAnsi="仿宋_GB2312" w:eastAsia="仿宋_GB2312" w:cs="仿宋_GB2312"/>
          <w:color w:val="auto"/>
          <w:sz w:val="32"/>
          <w:szCs w:val="32"/>
          <w:highlight w:val="none"/>
        </w:rPr>
      </w:pPr>
      <w:r>
        <w:rPr>
          <w:rFonts w:hint="eastAsia" w:ascii="黑体" w:hAnsi="宋体" w:eastAsia="黑体" w:cs="黑体"/>
          <w:bCs/>
          <w:color w:val="auto"/>
          <w:sz w:val="32"/>
          <w:szCs w:val="32"/>
          <w:highlight w:val="none"/>
          <w:lang w:val="en-US" w:eastAsia="zh-CN" w:bidi="ar"/>
        </w:rPr>
        <w:t>五、开标（包括资格后审）时间、地点：</w:t>
      </w:r>
      <w:r>
        <w:rPr>
          <w:rFonts w:hint="eastAsia" w:ascii="仿宋_GB2312" w:hAnsi="仿宋_GB2312" w:eastAsia="仿宋_GB2312" w:cs="仿宋_GB2312"/>
          <w:color w:val="auto"/>
          <w:sz w:val="32"/>
          <w:szCs w:val="32"/>
          <w:highlight w:val="none"/>
        </w:rPr>
        <w:t>详见招标文件投标人须知。</w:t>
      </w:r>
    </w:p>
    <w:p w14:paraId="73EF53CF">
      <w:pPr>
        <w:pStyle w:val="10"/>
        <w:keepNext w:val="0"/>
        <w:keepLines w:val="0"/>
        <w:pageBreakBefore w:val="0"/>
        <w:kinsoku/>
        <w:wordWrap/>
        <w:overflowPunct/>
        <w:bidi w:val="0"/>
        <w:spacing w:line="560" w:lineRule="exact"/>
        <w:ind w:firstLine="640" w:firstLineChars="200"/>
        <w:rPr>
          <w:rFonts w:hint="eastAsia" w:ascii="黑体" w:hAnsi="宋体" w:eastAsia="黑体" w:cs="黑体"/>
          <w:bCs/>
          <w:color w:val="auto"/>
          <w:kern w:val="2"/>
          <w:sz w:val="32"/>
          <w:szCs w:val="32"/>
          <w:highlight w:val="none"/>
          <w:lang w:val="en-US" w:eastAsia="zh-CN" w:bidi="ar"/>
        </w:rPr>
      </w:pPr>
      <w:r>
        <w:rPr>
          <w:rFonts w:hint="eastAsia" w:ascii="黑体" w:hAnsi="宋体" w:eastAsia="黑体" w:cs="黑体"/>
          <w:bCs/>
          <w:color w:val="auto"/>
          <w:kern w:val="2"/>
          <w:sz w:val="32"/>
          <w:szCs w:val="32"/>
          <w:highlight w:val="none"/>
          <w:lang w:val="en-US" w:eastAsia="zh-CN" w:bidi="ar"/>
        </w:rPr>
        <w:t>六、投标人的法定代表人（或委托代理人）须携带第二代身份证原件于投标截止时间前到达开标现场并签到，并在招标人按开标程序进行点名时，向招标人提交本人第二代身份证原件，以证明其出席，未按以上要求，其投标文件将作无效投标予以否决。</w:t>
      </w:r>
    </w:p>
    <w:p w14:paraId="69B0AD81">
      <w:pPr>
        <w:pStyle w:val="10"/>
        <w:keepNext w:val="0"/>
        <w:keepLines w:val="0"/>
        <w:pageBreakBefore w:val="0"/>
        <w:numPr>
          <w:ilvl w:val="0"/>
          <w:numId w:val="0"/>
        </w:numPr>
        <w:kinsoku/>
        <w:wordWrap/>
        <w:overflowPunct/>
        <w:bidi w:val="0"/>
        <w:spacing w:line="560" w:lineRule="exact"/>
        <w:ind w:right="-2" w:rightChars="-1"/>
        <w:rPr>
          <w:rFonts w:hint="eastAsia" w:ascii="仿宋_GB2312" w:hAnsi="仿宋_GB2312" w:eastAsia="仿宋_GB2312" w:cs="仿宋_GB2312"/>
          <w:color w:val="auto"/>
          <w:kern w:val="2"/>
          <w:sz w:val="32"/>
          <w:szCs w:val="32"/>
          <w:highlight w:val="none"/>
          <w:lang w:val="en-US" w:eastAsia="zh-CN" w:bidi="ar-SA"/>
        </w:rPr>
      </w:pPr>
    </w:p>
    <w:p w14:paraId="7A886476">
      <w:pPr>
        <w:pStyle w:val="10"/>
        <w:keepNext w:val="0"/>
        <w:keepLines w:val="0"/>
        <w:pageBreakBefore w:val="0"/>
        <w:numPr>
          <w:ilvl w:val="0"/>
          <w:numId w:val="0"/>
        </w:numPr>
        <w:kinsoku/>
        <w:wordWrap/>
        <w:overflowPunct/>
        <w:bidi w:val="0"/>
        <w:spacing w:line="560" w:lineRule="exact"/>
        <w:ind w:right="-2" w:rightChars="-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备注：</w:t>
      </w:r>
    </w:p>
    <w:p w14:paraId="0982F9E3">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信息公布、招标文件（工程量清单、图纸）的下载、招标控制价的下载、招投标答疑：“</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w:t>
      </w:r>
    </w:p>
    <w:p w14:paraId="57172FD9">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本工程所有的资审资料，都必须在有效期内。</w:t>
      </w:r>
    </w:p>
    <w:p w14:paraId="1FCE30B0">
      <w:pPr>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本工程不满3家投标将重新组织招标。</w:t>
      </w:r>
    </w:p>
    <w:p w14:paraId="718CEFD9">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本工程的图纸设计单位不得参与投标。</w:t>
      </w:r>
    </w:p>
    <w:p w14:paraId="6478DBBE">
      <w:pPr>
        <w:keepNext w:val="0"/>
        <w:keepLines w:val="0"/>
        <w:pageBreakBefore w:val="0"/>
        <w:kinsoku/>
        <w:wordWrap/>
        <w:overflowPunct/>
        <w:bidi w:val="0"/>
        <w:spacing w:line="560" w:lineRule="exact"/>
        <w:rPr>
          <w:rFonts w:hint="eastAsia" w:ascii="仿宋_GB2312" w:hAnsi="仿宋_GB2312" w:eastAsia="仿宋_GB2312" w:cs="仿宋_GB2312"/>
          <w:color w:val="auto"/>
          <w:sz w:val="32"/>
          <w:szCs w:val="32"/>
          <w:highlight w:val="none"/>
        </w:rPr>
      </w:pPr>
    </w:p>
    <w:p w14:paraId="5EAC9625">
      <w:pPr>
        <w:keepNext w:val="0"/>
        <w:keepLines w:val="0"/>
        <w:pageBreakBefore w:val="0"/>
        <w:kinsoku/>
        <w:wordWrap/>
        <w:overflowPunct/>
        <w:bidi w:val="0"/>
        <w:spacing w:line="560" w:lineRule="exact"/>
        <w:jc w:val="left"/>
        <w:rPr>
          <w:rFonts w:hint="eastAsia" w:ascii="仿宋_GB2312" w:hAnsi="仿宋_GB2312" w:eastAsia="黑体"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br w:type="page"/>
      </w: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2</w:t>
      </w:r>
    </w:p>
    <w:p w14:paraId="6394CD07">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评 标 细 则</w:t>
      </w:r>
    </w:p>
    <w:p w14:paraId="49886382">
      <w:pPr>
        <w:pStyle w:val="9"/>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本着公平、公正、公开的原则对各投标单位投标文件中的商务标</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技术标</w:t>
      </w:r>
      <w:r>
        <w:rPr>
          <w:rFonts w:hint="eastAsia" w:ascii="仿宋_GB2312" w:hAnsi="仿宋_GB2312" w:eastAsia="仿宋_GB2312" w:cs="仿宋_GB2312"/>
          <w:b w:val="0"/>
          <w:bCs w:val="0"/>
          <w:color w:val="auto"/>
          <w:sz w:val="32"/>
          <w:szCs w:val="32"/>
        </w:rPr>
        <w:t xml:space="preserve">等方面进行综合评分。具体办法如下：（共计100分） </w:t>
      </w:r>
    </w:p>
    <w:p w14:paraId="6069D49B">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第一步：投标文件能够满足招标文件的实质性要求；</w:t>
      </w:r>
    </w:p>
    <w:p w14:paraId="79AB3135">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第二步：符合性清标，商务标符合招标文件的实质性要求；</w:t>
      </w:r>
    </w:p>
    <w:p w14:paraId="6E0FC3A9">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第三步：</w:t>
      </w:r>
      <w:r>
        <w:rPr>
          <w:rFonts w:hint="eastAsia" w:ascii="仿宋_GB2312" w:hAnsi="仿宋_GB2312" w:eastAsia="仿宋_GB2312" w:cs="仿宋_GB2312"/>
          <w:b w:val="0"/>
          <w:bCs w:val="0"/>
          <w:color w:val="auto"/>
          <w:sz w:val="32"/>
          <w:szCs w:val="32"/>
          <w:lang w:val="en-US" w:eastAsia="zh-CN"/>
        </w:rPr>
        <w:t>综合评分</w:t>
      </w:r>
      <w:r>
        <w:rPr>
          <w:rFonts w:hint="eastAsia" w:ascii="仿宋_GB2312" w:hAnsi="仿宋_GB2312" w:eastAsia="仿宋_GB2312" w:cs="仿宋_GB2312"/>
          <w:b w:val="0"/>
          <w:bCs w:val="0"/>
          <w:color w:val="auto"/>
          <w:sz w:val="32"/>
          <w:szCs w:val="32"/>
        </w:rPr>
        <w:t>。</w:t>
      </w:r>
    </w:p>
    <w:p w14:paraId="14055262">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一、投标报价（85分）</w:t>
      </w:r>
    </w:p>
    <w:p w14:paraId="45A3B5CF">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1、确定有效投标报价。</w:t>
      </w:r>
    </w:p>
    <w:p w14:paraId="06EDC5B6">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凡符合招标文件、招标答疑纪要等有关招标实质性要求，且在招标控制</w:t>
      </w:r>
      <w:r>
        <w:rPr>
          <w:rFonts w:hint="eastAsia" w:ascii="仿宋_GB2312" w:hAnsi="仿宋_GB2312" w:eastAsia="仿宋_GB2312" w:cs="仿宋_GB2312"/>
          <w:b w:val="0"/>
          <w:bCs w:val="0"/>
          <w:color w:val="auto"/>
          <w:sz w:val="32"/>
          <w:szCs w:val="32"/>
          <w:highlight w:val="none"/>
        </w:rPr>
        <w:t>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总价和综合单价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rPr>
        <w:t>及以下的投标文件均为有效投标文件，未能实质性响应上述有关招标要求的投标文件为无效投标文件。</w:t>
      </w:r>
    </w:p>
    <w:p w14:paraId="4312F429">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2、打分</w:t>
      </w:r>
      <w:r>
        <w:rPr>
          <w:rFonts w:hint="eastAsia" w:ascii="仿宋_GB2312" w:hAnsi="仿宋_GB2312" w:eastAsia="仿宋_GB2312" w:cs="仿宋_GB2312"/>
          <w:b w:val="0"/>
          <w:bCs w:val="0"/>
          <w:color w:val="auto"/>
          <w:sz w:val="32"/>
          <w:szCs w:val="32"/>
          <w:lang w:val="zh-CN"/>
        </w:rPr>
        <w:t>（由招标人代表随机抽取确定一种方法作为投标报价的评审标准）</w:t>
      </w:r>
    </w:p>
    <w:p w14:paraId="6DDB9980">
      <w:pPr>
        <w:pStyle w:val="9"/>
        <w:keepNext w:val="0"/>
        <w:keepLines w:val="0"/>
        <w:pageBreakBefore w:val="0"/>
        <w:kinsoku/>
        <w:wordWrap/>
        <w:overflowPunct/>
        <w:topLinePunct w:val="0"/>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bCs/>
          <w:color w:val="auto"/>
          <w:kern w:val="0"/>
          <w:sz w:val="32"/>
          <w:szCs w:val="32"/>
          <w:lang w:val="zh-CN" w:eastAsia="zh-CN" w:bidi="ar-SA"/>
        </w:rPr>
        <w:t>方法一：</w:t>
      </w:r>
      <w:r>
        <w:rPr>
          <w:rFonts w:hint="eastAsia" w:ascii="仿宋_GB2312" w:hAnsi="仿宋_GB2312" w:eastAsia="仿宋_GB2312" w:cs="仿宋_GB2312"/>
          <w:b w:val="0"/>
          <w:bCs w:val="0"/>
          <w:color w:val="auto"/>
          <w:sz w:val="32"/>
          <w:szCs w:val="32"/>
          <w:lang w:val="zh-CN" w:eastAsia="zh-CN"/>
        </w:rPr>
        <w:t>以有效投标文件（有效投标文件是指初步评审合格的投标文件，下同）的评标价（评标价是指经澄清、补正和修正算术计算错误的投标报价，下同）算术平均值为A[当有效投标文件≥7家时，去掉最高的20%和最低的20%（四舍五入取整，末位投标报价相同的均保留</w:t>
      </w:r>
      <w:r>
        <w:rPr>
          <w:rFonts w:hint="eastAsia" w:ascii="仿宋_GB2312" w:hAnsi="仿宋_GB2312" w:eastAsia="仿宋_GB2312" w:cs="仿宋_GB2312"/>
          <w:b w:val="0"/>
          <w:bCs w:val="0"/>
          <w:color w:val="auto"/>
          <w:kern w:val="0"/>
          <w:sz w:val="32"/>
          <w:szCs w:val="32"/>
          <w:lang w:val="zh-CN" w:eastAsia="zh-CN" w:bidi="ar-SA"/>
        </w:rPr>
        <w:t>）后进行平均；当有效投标文件4-6家时，剔除最高报价（最高报价相同的均剔除）后进行算术平均；当有效投标文件＜4家时，则次低价报价作为投标平均价A]。</w:t>
      </w:r>
    </w:p>
    <w:p w14:paraId="46705642">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评标价基准价C=A×K，K值抽取确定，K值的取值范围为95%、96%、97%、98%。</w:t>
      </w:r>
    </w:p>
    <w:p w14:paraId="289DEA3D">
      <w:pPr>
        <w:keepNext w:val="0"/>
        <w:keepLines w:val="0"/>
        <w:pageBreakBefore w:val="0"/>
        <w:kinsoku/>
        <w:wordWrap/>
        <w:overflowPunct/>
        <w:autoSpaceDE w:val="0"/>
        <w:autoSpaceDN w:val="0"/>
        <w:bidi w:val="0"/>
        <w:adjustRightInd w:val="0"/>
        <w:snapToGrid w:val="0"/>
        <w:spacing w:line="560" w:lineRule="exact"/>
        <w:ind w:firstLine="643"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bCs/>
          <w:color w:val="auto"/>
          <w:kern w:val="0"/>
          <w:sz w:val="32"/>
          <w:szCs w:val="32"/>
          <w:lang w:val="zh-CN" w:eastAsia="zh-CN" w:bidi="ar-SA"/>
        </w:rPr>
        <w:t>方法二：</w:t>
      </w:r>
      <w:r>
        <w:rPr>
          <w:rFonts w:hint="eastAsia" w:ascii="仿宋_GB2312" w:hAnsi="仿宋_GB2312" w:eastAsia="仿宋_GB2312" w:cs="仿宋_GB2312"/>
          <w:b w:val="0"/>
          <w:bCs w:val="0"/>
          <w:color w:val="auto"/>
          <w:kern w:val="0"/>
          <w:sz w:val="32"/>
          <w:szCs w:val="32"/>
          <w:lang w:val="zh-CN" w:eastAsia="zh-CN" w:bidi="ar-SA"/>
        </w:rPr>
        <w:t>以有效投标文件的评标价算术平均值为A[当有效投标文件≥7家时，去掉最高的20%和最低的20%（四舍五入取整）后进行平均；当有效投标文件4-6家时，剔除最高报价（最高报价相同的均剔除）后进行算术平均；当有效投标文件＜4家时，则次低报价作为投标平均价A]，招标控制价为B，则：</w:t>
      </w:r>
    </w:p>
    <w:p w14:paraId="2817144D">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评标基准价C=A×K1×Q1+B×K2×Q2</w:t>
      </w:r>
    </w:p>
    <w:p w14:paraId="168E1915">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Q2=1-Q1，Q1取值范围为65%、70%、75%、80%、85%；</w:t>
      </w:r>
    </w:p>
    <w:p w14:paraId="204DBAF9">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K1的取值范围为95%、96%、97%、98%；</w:t>
      </w:r>
    </w:p>
    <w:p w14:paraId="657E36D2">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b w:val="0"/>
          <w:bCs w:val="0"/>
          <w:color w:val="auto"/>
          <w:kern w:val="0"/>
          <w:sz w:val="32"/>
          <w:szCs w:val="32"/>
          <w:lang w:val="zh-CN" w:eastAsia="zh-CN" w:bidi="ar-SA"/>
        </w:rPr>
      </w:pPr>
      <w:r>
        <w:rPr>
          <w:rFonts w:hint="eastAsia" w:ascii="仿宋_GB2312" w:hAnsi="仿宋_GB2312" w:eastAsia="仿宋_GB2312" w:cs="仿宋_GB2312"/>
          <w:b w:val="0"/>
          <w:bCs w:val="0"/>
          <w:color w:val="auto"/>
          <w:kern w:val="0"/>
          <w:sz w:val="32"/>
          <w:szCs w:val="32"/>
          <w:lang w:val="zh-CN" w:eastAsia="zh-CN" w:bidi="ar-SA"/>
        </w:rPr>
        <w:t>Q1、K1值抽取确定。K2的取值范围，本工程为</w:t>
      </w:r>
      <w:r>
        <w:rPr>
          <w:rFonts w:hint="eastAsia" w:ascii="仿宋_GB2312" w:hAnsi="仿宋_GB2312" w:eastAsia="仿宋_GB2312" w:cs="仿宋_GB2312"/>
          <w:b w:val="0"/>
          <w:bCs w:val="0"/>
          <w:color w:val="auto"/>
          <w:kern w:val="0"/>
          <w:sz w:val="32"/>
          <w:szCs w:val="32"/>
          <w:highlight w:val="none"/>
          <w:lang w:val="en-US" w:eastAsia="zh-CN" w:bidi="ar-SA"/>
        </w:rPr>
        <w:t>90</w:t>
      </w:r>
      <w:r>
        <w:rPr>
          <w:rFonts w:hint="eastAsia" w:ascii="仿宋_GB2312" w:hAnsi="仿宋_GB2312" w:eastAsia="仿宋_GB2312" w:cs="仿宋_GB2312"/>
          <w:b w:val="0"/>
          <w:bCs w:val="0"/>
          <w:color w:val="auto"/>
          <w:kern w:val="0"/>
          <w:sz w:val="32"/>
          <w:szCs w:val="32"/>
          <w:highlight w:val="none"/>
          <w:lang w:val="zh-CN" w:eastAsia="zh-CN" w:bidi="ar-SA"/>
        </w:rPr>
        <w:t>%。</w:t>
      </w:r>
    </w:p>
    <w:p w14:paraId="1AA1EC43">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投标报价等于评标基准价的得满分（</w:t>
      </w:r>
      <w:r>
        <w:rPr>
          <w:rFonts w:hint="eastAsia" w:ascii="仿宋_GB2312" w:hAnsi="仿宋_GB2312" w:eastAsia="仿宋_GB2312" w:cs="仿宋_GB2312"/>
          <w:color w:val="auto"/>
          <w:sz w:val="32"/>
          <w:szCs w:val="32"/>
          <w:lang w:val="en-US" w:eastAsia="zh-CN"/>
        </w:rPr>
        <w:t>85分</w:t>
      </w:r>
      <w:r>
        <w:rPr>
          <w:rFonts w:hint="eastAsia" w:ascii="仿宋_GB2312" w:hAnsi="仿宋_GB2312" w:eastAsia="仿宋_GB2312" w:cs="仿宋_GB2312"/>
          <w:color w:val="auto"/>
          <w:sz w:val="32"/>
          <w:szCs w:val="32"/>
          <w:lang w:val="zh-CN" w:eastAsia="zh-CN"/>
        </w:rPr>
        <w:t>），投标报价相对评标基准价每低1%扣0.</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分，每高1%扣0.</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分；偏离不足1%的，按照插入法计算得分。</w:t>
      </w:r>
    </w:p>
    <w:p w14:paraId="20C35D8B">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技术标（15分）</w:t>
      </w:r>
    </w:p>
    <w:p w14:paraId="6E78ADB2">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1、总体概述：施工组织总体设想、方案针对性及施工段划分（</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w:t>
      </w:r>
    </w:p>
    <w:p w14:paraId="7B1569C3">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2、施工现场平面布置和临时设施、临时道路布置（</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w:t>
      </w:r>
    </w:p>
    <w:p w14:paraId="7022D803">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3、施工进度计划和</w:t>
      </w:r>
      <w:r>
        <w:rPr>
          <w:rFonts w:hint="eastAsia" w:ascii="仿宋_GB2312" w:hAnsi="仿宋_GB2312" w:eastAsia="仿宋_GB2312" w:cs="仿宋_GB2312"/>
          <w:color w:val="auto"/>
          <w:sz w:val="32"/>
          <w:szCs w:val="32"/>
          <w:lang w:val="en-US" w:eastAsia="zh-CN"/>
        </w:rPr>
        <w:t>停汽</w:t>
      </w:r>
      <w:r>
        <w:rPr>
          <w:rFonts w:hint="eastAsia" w:ascii="仿宋_GB2312" w:hAnsi="仿宋_GB2312" w:eastAsia="仿宋_GB2312" w:cs="仿宋_GB2312"/>
          <w:color w:val="auto"/>
          <w:sz w:val="32"/>
          <w:szCs w:val="32"/>
          <w:lang w:val="zh-CN" w:eastAsia="zh-CN"/>
        </w:rPr>
        <w:t>阶段</w:t>
      </w:r>
      <w:r>
        <w:rPr>
          <w:rFonts w:hint="eastAsia" w:ascii="仿宋_GB2312" w:hAnsi="仿宋_GB2312" w:eastAsia="仿宋_GB2312" w:cs="仿宋_GB2312"/>
          <w:color w:val="auto"/>
          <w:sz w:val="32"/>
          <w:szCs w:val="32"/>
          <w:lang w:val="en-US" w:eastAsia="zh-CN"/>
        </w:rPr>
        <w:t>施工</w:t>
      </w:r>
      <w:r>
        <w:rPr>
          <w:rFonts w:hint="eastAsia" w:ascii="仿宋_GB2312" w:hAnsi="仿宋_GB2312" w:eastAsia="仿宋_GB2312" w:cs="仿宋_GB2312"/>
          <w:color w:val="auto"/>
          <w:sz w:val="32"/>
          <w:szCs w:val="32"/>
          <w:lang w:val="zh-CN" w:eastAsia="zh-CN"/>
        </w:rPr>
        <w:t>进度的保证措施（</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w:t>
      </w:r>
    </w:p>
    <w:p w14:paraId="3FE702B3">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4、劳动力、机械设备和材料投入计划（</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zh-CN" w:eastAsia="zh-CN"/>
        </w:rPr>
        <w:t>分）；</w:t>
      </w:r>
    </w:p>
    <w:p w14:paraId="70D7D5E1">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5、关键施工技术、工艺及工程项目实施的重点、难点和解决方案（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CN" w:eastAsia="zh-CN"/>
        </w:rPr>
        <w:t>分）；</w:t>
      </w:r>
    </w:p>
    <w:p w14:paraId="0BE20FC4">
      <w:pPr>
        <w:pStyle w:val="5"/>
        <w:keepNext w:val="0"/>
        <w:keepLines w:val="0"/>
        <w:pageBreakBefore w:val="0"/>
        <w:kinsoku/>
        <w:wordWrap/>
        <w:overflowPunct/>
        <w:bidi w:val="0"/>
        <w:spacing w:line="560" w:lineRule="exact"/>
        <w:rPr>
          <w:rFonts w:hint="default"/>
          <w:lang w:val="en-US" w:eastAsia="zh-CN"/>
        </w:rPr>
      </w:pPr>
      <w:r>
        <w:rPr>
          <w:rFonts w:hint="eastAsia" w:ascii="仿宋_GB2312" w:hAnsi="仿宋_GB2312" w:eastAsia="仿宋_GB2312" w:cs="仿宋_GB2312"/>
          <w:color w:val="auto"/>
          <w:sz w:val="32"/>
          <w:szCs w:val="32"/>
          <w:lang w:val="en-US" w:eastAsia="zh-CN"/>
        </w:rPr>
        <w:t>6、应对恶劣天气的紧急预案（2分）</w:t>
      </w:r>
    </w:p>
    <w:p w14:paraId="1E0D4A1C">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注：（1）施工组织设计（技术标）评分说明：</w:t>
      </w:r>
    </w:p>
    <w:p w14:paraId="7BDFD34D">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①施工组织设计由技术标评委独立打分，各项评审要点由评委酌情打分。</w:t>
      </w:r>
    </w:p>
    <w:p w14:paraId="2355209E">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②施工组织设计中除缺少相应内容的评审要点不得分外，其它各项评审要点得分不应低于该评审要点满分的70%。</w:t>
      </w:r>
    </w:p>
    <w:p w14:paraId="1D554FF1">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③在计算投标人的施工组织设计得分时，必须取所有评委评分中分别去掉一个最高和最低评分后的平均值为最终得分。</w:t>
      </w:r>
    </w:p>
    <w:p w14:paraId="2511B119">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三、定标办法</w:t>
      </w:r>
    </w:p>
    <w:p w14:paraId="5206C598">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（1）以上得分最高者为第一中标候选人；若得分相同，则选择其中投标报价低者为中标候选人；若得分相同，投标报价也相同，当场按签到顺序抽签确定中标候选人。</w:t>
      </w:r>
    </w:p>
    <w:p w14:paraId="55068B99">
      <w:pPr>
        <w:keepNext w:val="0"/>
        <w:keepLines w:val="0"/>
        <w:pageBreakBefore w:val="0"/>
        <w:kinsoku/>
        <w:wordWrap/>
        <w:overflowPunct/>
        <w:autoSpaceDE w:val="0"/>
        <w:autoSpaceDN w:val="0"/>
        <w:bidi w:val="0"/>
        <w:adjustRightInd w:val="0"/>
        <w:snapToGrid w:val="0"/>
        <w:spacing w:line="560" w:lineRule="exact"/>
        <w:ind w:firstLine="640"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2）在评标结束前，评标委员会应在“信用中国”、中国执行信息公开网网站上对拟推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64427C8D">
      <w:pPr>
        <w:keepNext w:val="0"/>
        <w:keepLines w:val="0"/>
        <w:pageBreakBefore w:val="0"/>
        <w:kinsoku/>
        <w:wordWrap/>
        <w:overflowPunct/>
        <w:topLinePunct w:val="0"/>
        <w:autoSpaceDE w:val="0"/>
        <w:autoSpaceDN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注意事项：</w:t>
      </w:r>
    </w:p>
    <w:p w14:paraId="79D3CC7C">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１．</w:t>
      </w:r>
      <w:r>
        <w:rPr>
          <w:rFonts w:hint="eastAsia" w:ascii="仿宋_GB2312" w:hAnsi="仿宋_GB2312" w:eastAsia="仿宋_GB2312" w:cs="仿宋_GB2312"/>
          <w:color w:val="auto"/>
          <w:sz w:val="32"/>
          <w:szCs w:val="32"/>
        </w:rPr>
        <w:t>一旦发现中标候选单位的投标建造师已有在建或已另有工程中标的，则取消其中标候选人资格，同时按相关法律法规处罚。</w:t>
      </w:r>
    </w:p>
    <w:p w14:paraId="1188C8A9">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２．</w:t>
      </w:r>
      <w:r>
        <w:rPr>
          <w:rFonts w:hint="eastAsia" w:ascii="仿宋_GB2312" w:hAnsi="仿宋_GB2312" w:eastAsia="仿宋_GB2312" w:cs="仿宋_GB2312"/>
          <w:color w:val="auto"/>
          <w:sz w:val="32"/>
          <w:szCs w:val="32"/>
        </w:rPr>
        <w:t>一旦发现中标单位存在非法转包、转让、挂靠等行为的，将依法进行处理，给招标人造成损失的，依法承担赔偿责任。</w:t>
      </w:r>
    </w:p>
    <w:p w14:paraId="3E09B397">
      <w:pPr>
        <w:keepNext w:val="0"/>
        <w:keepLines w:val="0"/>
        <w:pageBreakBefore w:val="0"/>
        <w:widowControl w:val="0"/>
        <w:kinsoku/>
        <w:wordWrap/>
        <w:overflowPunct/>
        <w:topLinePunct w:val="0"/>
        <w:autoSpaceDE w:val="0"/>
        <w:autoSpaceDN w:val="0"/>
        <w:bidi w:val="0"/>
        <w:adjustRightInd/>
        <w:snapToGrid/>
        <w:spacing w:beforeAutospacing="0" w:afterAutospacing="0"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３．</w:t>
      </w:r>
      <w:r>
        <w:rPr>
          <w:rFonts w:hint="eastAsia" w:ascii="仿宋_GB2312" w:hAnsi="仿宋_GB2312" w:eastAsia="仿宋_GB2312" w:cs="仿宋_GB2312"/>
          <w:color w:val="auto"/>
          <w:sz w:val="32"/>
          <w:szCs w:val="32"/>
        </w:rPr>
        <w:t>本工程招标公告中的评标细则与招标文件中的评标细则不一致时，以招标公告中的评标细则为准。</w:t>
      </w:r>
    </w:p>
    <w:p w14:paraId="21289BAC">
      <w:pPr>
        <w:pStyle w:val="10"/>
        <w:keepNext w:val="0"/>
        <w:keepLines w:val="0"/>
        <w:pageBreakBefore w:val="0"/>
        <w:kinsoku/>
        <w:wordWrap/>
        <w:overflowPunct/>
        <w:bidi w:val="0"/>
        <w:spacing w:line="560" w:lineRule="exact"/>
        <w:rPr>
          <w:rFonts w:hint="eastAsia"/>
        </w:rPr>
      </w:pPr>
    </w:p>
    <w:p w14:paraId="7581C043">
      <w:pPr>
        <w:keepNext w:val="0"/>
        <w:keepLines w:val="0"/>
        <w:pageBreakBefore w:val="0"/>
        <w:widowControl w:val="0"/>
        <w:tabs>
          <w:tab w:val="left" w:pos="540"/>
          <w:tab w:val="left" w:pos="720"/>
          <w:tab w:val="left" w:pos="900"/>
          <w:tab w:val="left" w:pos="1080"/>
        </w:tabs>
        <w:kinsoku/>
        <w:wordWrap/>
        <w:overflowPunct/>
        <w:topLinePunct w:val="0"/>
        <w:bidi w:val="0"/>
        <w:adjustRightInd/>
        <w:snapToGrid/>
        <w:spacing w:beforeAutospacing="0" w:afterAutospacing="0"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sectPr>
          <w:headerReference r:id="rId3" w:type="default"/>
          <w:footerReference r:id="rId4" w:type="default"/>
          <w:footerReference r:id="rId5" w:type="even"/>
          <w:pgSz w:w="11906" w:h="16838"/>
          <w:pgMar w:top="1928" w:right="1361" w:bottom="2154" w:left="1474" w:header="851" w:footer="992" w:gutter="0"/>
          <w:cols w:space="720" w:num="1"/>
          <w:titlePg/>
          <w:docGrid w:type="lines" w:linePitch="312" w:charSpace="0"/>
        </w:sectPr>
      </w:pPr>
    </w:p>
    <w:p w14:paraId="67E3E2B8">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3</w:t>
      </w:r>
    </w:p>
    <w:p w14:paraId="3EECCC27">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p>
    <w:p w14:paraId="14EDD8F5">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法定代表人资格书</w:t>
      </w:r>
    </w:p>
    <w:p w14:paraId="7E1DB027">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单位名称：</w:t>
      </w:r>
    </w:p>
    <w:p w14:paraId="0B5A705C">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p w14:paraId="34B42C37">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姓名：           性别：     年龄：    职务：</w:t>
      </w:r>
    </w:p>
    <w:p w14:paraId="7DD4B2CB">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的法定代表人。为施工、竣工和保修</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的工程，签署上述工程的报名材料、资审材料、投标文件、进行合同谈判、签署合同和处理与之有关的一切事务。</w:t>
      </w:r>
    </w:p>
    <w:p w14:paraId="05EF9F01">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14:paraId="2909BFD2">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113FF05B">
      <w:pPr>
        <w:pStyle w:val="6"/>
        <w:keepNext w:val="0"/>
        <w:keepLines w:val="0"/>
        <w:pageBreakBefore w:val="0"/>
        <w:kinsoku/>
        <w:wordWrap/>
        <w:overflowPunct/>
        <w:topLinePunct w:val="0"/>
        <w:bidi w:val="0"/>
        <w:adjustRightInd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0E6A9ECF">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5359309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231140</wp:posOffset>
                </wp:positionH>
                <wp:positionV relativeFrom="paragraph">
                  <wp:posOffset>258445</wp:posOffset>
                </wp:positionV>
                <wp:extent cx="5733415" cy="2882900"/>
                <wp:effectExtent l="4445" t="4445" r="5080" b="5715"/>
                <wp:wrapNone/>
                <wp:docPr id="4" name="文本框 4"/>
                <wp:cNvGraphicFramePr/>
                <a:graphic xmlns:a="http://schemas.openxmlformats.org/drawingml/2006/main">
                  <a:graphicData uri="http://schemas.microsoft.com/office/word/2010/wordprocessingShape">
                    <wps:wsp>
                      <wps:cNvSpPr txBox="1"/>
                      <wps:spPr>
                        <a:xfrm>
                          <a:off x="0" y="0"/>
                          <a:ext cx="5733415" cy="2882900"/>
                        </a:xfrm>
                        <a:prstGeom prst="rect">
                          <a:avLst/>
                        </a:prstGeom>
                        <a:noFill/>
                        <a:ln w="9525" cap="flat" cmpd="sng">
                          <a:solidFill>
                            <a:srgbClr val="000000"/>
                          </a:solidFill>
                          <a:prstDash val="solid"/>
                          <a:miter/>
                          <a:headEnd type="none" w="med" len="med"/>
                          <a:tailEnd type="none" w="med" len="med"/>
                        </a:ln>
                        <a:effectLst/>
                      </wps:spPr>
                      <wps:txbx>
                        <w:txbxContent>
                          <w:p w14:paraId="41187F43">
                            <w:pPr>
                              <w:rPr>
                                <w:b/>
                              </w:rPr>
                            </w:pPr>
                            <w:r>
                              <w:rPr>
                                <w:rFonts w:hint="eastAsia"/>
                                <w:b/>
                              </w:rPr>
                              <w:t>（此处为法定代表人身份证复印件粘贴处，未提供复印件的视为无效身份证明）</w:t>
                            </w:r>
                          </w:p>
                          <w:p w14:paraId="16741D64"/>
                        </w:txbxContent>
                      </wps:txbx>
                      <wps:bodyPr upright="1"/>
                    </wps:wsp>
                  </a:graphicData>
                </a:graphic>
              </wp:anchor>
            </w:drawing>
          </mc:Choice>
          <mc:Fallback>
            <w:pict>
              <v:shape id="_x0000_s1026" o:spid="_x0000_s1026" o:spt="202" type="#_x0000_t202" style="position:absolute;left:0pt;margin-left:18.2pt;margin-top:20.35pt;height:227pt;width:451.45pt;z-index:251659264;mso-width-relative:page;mso-height-relative:page;" filled="f" stroked="t" coordsize="21600,21600" o:gfxdata="UEsDBAoAAAAAAIdO4kAAAAAAAAAAAAAAAAAEAAAAZHJzL1BLAwQUAAAACACHTuJAAjJi7dYAAAAJ&#10;AQAADwAAAGRycy9kb3ducmV2LnhtbE2PS0/DMBCE70j8B2uRuFG7ddSQEKcHCncIBa5OvE0i/Ihi&#10;9wG/nuVEj7szO/tNtTk7y444xzF4BcuFAIa+C2b0vYLd2/PdPbCYtDfaBo8KvjHCpr6+qnRpwsm/&#10;4rFJPaMQH0utYEhpKjmP3YBOx0WY0JO2D7PTica552bWJwp3lq+EWHOnR08fBj3h44DdV3NwhLH6&#10;3MntS4N5rlu5ffp5L/YfVqnbm6V4AJbwnP7N8IdPN1ATUxsO3kRmFch1Rk4FmciBkV7IQgJraVFk&#10;OfC64pcN6l9QSwMEFAAAAAgAh07iQDgk5TANAgAAHAQAAA4AAABkcnMvZTJvRG9jLnhtbK1TS44T&#10;MRDdI3EHy3vSSSaBTJTOSBCGDQKkgQM47upuS/7J5aQ7F4AbsGLDnnPlHJTdmcyHTRb0wl12lV/V&#10;e1Ve3fRGsz0EVM6WfDIacwZWukrZpuTfvt6+WnCGUdhKaGeh5AdAfrN++WLV+SVMXet0BYERiMVl&#10;50vexuiXRYGyBSNw5DxYctYuGBFpG5qiCqIjdKOL6Xj8uuhcqHxwEhDpdDM4+QkxXALo6lpJ2Di5&#10;M2DjgBpAi0iUsFUe+TpXW9cg4+e6RohMl5yYxrxSErK3aS3WK7FsgvCtkqcSxCUlPONkhLKU9Ay1&#10;EVGwXVD/QBklg0NXx5F0phiIZEWIxWT8TJu7VnjIXEhq9GfR8f/Byk/7L4GpquQzzqww1PDjzx/H&#10;X3+Ov7+zWZKn87ikqDtPcbF/63oamvtzpMPEuq+DSX/iw8hP4h7O4kIfmaTD+Zurq9lkzpkk33Sx&#10;mF6Ps/zFw3UfMH4AZ1gySh6oe1lUsf+IkUqh0PuQlM26W6V17qC2rCv59Xya8AVNZU3TQKbxxAxt&#10;k2HQaVWlK+kyhmb7Tge2F2ky8pdYUYonYSnfRmA7xGXXMDNGRQg5dwuiem8rFg+e1LP0aHgqxkDF&#10;mQZ6Y8nKkVEofUkkFaFtKhLyBJ/Ip0YMgicr9tueQJO5ddWBmrPzQTUt6ZbbUyQPDU2mdBrwNJWP&#10;92Q/ftT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IyYu3WAAAACQEAAA8AAAAAAAAAAQAgAAAA&#10;IgAAAGRycy9kb3ducmV2LnhtbFBLAQIUABQAAAAIAIdO4kA4JOUwDQIAABwEAAAOAAAAAAAAAAEA&#10;IAAAACUBAABkcnMvZTJvRG9jLnhtbFBLBQYAAAAABgAGAFkBAACkBQAAAAA=&#10;">
                <v:fill on="f" focussize="0,0"/>
                <v:stroke color="#000000" joinstyle="miter"/>
                <v:imagedata o:title=""/>
                <o:lock v:ext="edit" aspectratio="f"/>
                <v:textbox>
                  <w:txbxContent>
                    <w:p w14:paraId="41187F43">
                      <w:pPr>
                        <w:rPr>
                          <w:b/>
                        </w:rPr>
                      </w:pPr>
                      <w:r>
                        <w:rPr>
                          <w:rFonts w:hint="eastAsia"/>
                          <w:b/>
                        </w:rPr>
                        <w:t>（此处为法定代表人身份证复印件粘贴处，未提供复印件的视为无效身份证明）</w:t>
                      </w:r>
                    </w:p>
                    <w:p w14:paraId="16741D64"/>
                  </w:txbxContent>
                </v:textbox>
              </v:shape>
            </w:pict>
          </mc:Fallback>
        </mc:AlternateContent>
      </w:r>
    </w:p>
    <w:p w14:paraId="50127DD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C2D5167">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7455A67E">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5230B12C">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31DB7418">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p>
    <w:p w14:paraId="63AE49B2">
      <w:pPr>
        <w:keepNext w:val="0"/>
        <w:keepLines w:val="0"/>
        <w:pageBreakBefore w:val="0"/>
        <w:tabs>
          <w:tab w:val="left" w:pos="0"/>
        </w:tabs>
        <w:kinsoku/>
        <w:wordWrap/>
        <w:overflowPunct/>
        <w:topLinePunct w:val="0"/>
        <w:bidi w:val="0"/>
        <w:spacing w:line="560" w:lineRule="exact"/>
        <w:ind w:left="0" w:leftChars="0" w:right="0" w:rightChars="0" w:firstLine="643" w:firstLineChars="2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br w:type="page"/>
      </w:r>
      <w:r>
        <w:rPr>
          <w:rFonts w:hint="eastAsia" w:ascii="方正小标宋简体" w:hAnsi="Times New Roman" w:eastAsia="方正小标宋简体" w:cs="方正小标宋简体"/>
          <w:bCs/>
          <w:color w:val="auto"/>
          <w:kern w:val="44"/>
          <w:sz w:val="44"/>
          <w:szCs w:val="44"/>
          <w:highlight w:val="none"/>
          <w:lang w:bidi="ar"/>
        </w:rPr>
        <w:t>授权委托书</w:t>
      </w:r>
    </w:p>
    <w:p w14:paraId="47556DA7">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（投标人名称）的法定代表人，现授权委托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（姓名）为我公司代理人，参加</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（招标人）的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工程的投标活动。代理人在报名、资审、开标、评标、合同谈判过程中所签署的一切文件和处理与之有关的一切事务，我均予以承认。</w:t>
      </w:r>
    </w:p>
    <w:p w14:paraId="420C5615">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代理人无转委权。特此委托。</w:t>
      </w:r>
    </w:p>
    <w:p w14:paraId="38A15DA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     性别：    出生日期：</w:t>
      </w:r>
    </w:p>
    <w:p w14:paraId="08AA43DB">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       部门：    职务：</w:t>
      </w:r>
    </w:p>
    <w:p w14:paraId="18D0F0A2">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投标人：（盖章）</w:t>
      </w:r>
    </w:p>
    <w:p w14:paraId="45AC1DF6">
      <w:pPr>
        <w:keepNext w:val="0"/>
        <w:keepLines w:val="0"/>
        <w:pageBreakBefore w:val="0"/>
        <w:tabs>
          <w:tab w:val="left" w:pos="0"/>
        </w:tabs>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法定代表人：（签字或盖章）</w:t>
      </w:r>
    </w:p>
    <w:p w14:paraId="0A543072">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40A43DE1">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342265</wp:posOffset>
                </wp:positionH>
                <wp:positionV relativeFrom="paragraph">
                  <wp:posOffset>196850</wp:posOffset>
                </wp:positionV>
                <wp:extent cx="5829300" cy="2330450"/>
                <wp:effectExtent l="4445" t="4445" r="6350" b="7620"/>
                <wp:wrapNone/>
                <wp:docPr id="5" name="文本框 5"/>
                <wp:cNvGraphicFramePr/>
                <a:graphic xmlns:a="http://schemas.openxmlformats.org/drawingml/2006/main">
                  <a:graphicData uri="http://schemas.microsoft.com/office/word/2010/wordprocessingShape">
                    <wps:wsp>
                      <wps:cNvSpPr txBox="1"/>
                      <wps:spPr>
                        <a:xfrm>
                          <a:off x="0" y="0"/>
                          <a:ext cx="5829300" cy="2330450"/>
                        </a:xfrm>
                        <a:prstGeom prst="rect">
                          <a:avLst/>
                        </a:prstGeom>
                        <a:noFill/>
                        <a:ln w="9525" cap="flat" cmpd="sng">
                          <a:solidFill>
                            <a:srgbClr val="000000"/>
                          </a:solidFill>
                          <a:prstDash val="solid"/>
                          <a:miter/>
                          <a:headEnd type="none" w="med" len="med"/>
                          <a:tailEnd type="none" w="med" len="med"/>
                        </a:ln>
                        <a:effectLst/>
                      </wps:spPr>
                      <wps:txbx>
                        <w:txbxContent>
                          <w:p w14:paraId="352C301D">
                            <w:pPr>
                              <w:rPr>
                                <w:b/>
                              </w:rPr>
                            </w:pPr>
                            <w:r>
                              <w:rPr>
                                <w:rFonts w:hint="eastAsia"/>
                                <w:b/>
                              </w:rPr>
                              <w:t>（此处为被委托人身份证复印件粘贴处，未提供复印件的视为无效身份证明）</w:t>
                            </w:r>
                          </w:p>
                          <w:p w14:paraId="099E6201"/>
                        </w:txbxContent>
                      </wps:txbx>
                      <wps:bodyPr upright="1"/>
                    </wps:wsp>
                  </a:graphicData>
                </a:graphic>
              </wp:anchor>
            </w:drawing>
          </mc:Choice>
          <mc:Fallback>
            <w:pict>
              <v:shape id="_x0000_s1026" o:spid="_x0000_s1026" o:spt="202" type="#_x0000_t202" style="position:absolute;left:0pt;margin-left:26.95pt;margin-top:15.5pt;height:183.5pt;width:459pt;z-index:251660288;mso-width-relative:page;mso-height-relative:page;" filled="f" stroked="t" coordsize="21600,21600" o:gfxdata="UEsDBAoAAAAAAIdO4kAAAAAAAAAAAAAAAAAEAAAAZHJzL1BLAwQUAAAACACHTuJACF0eYNMAAAAJ&#10;AQAADwAAAGRycy9kb3ducmV2LnhtbE1PTVODMBC9O+N/yKwz3mxCmUpBQg9W7xWrXgPZAiPZMCT9&#10;0F/vetLjvq99r9xc3ChOOIfBk4ZkoUAgtd4O1GnYvz7frUGEaMia0RNq+MIAm+r6qjSF9Wd6wVMd&#10;O8EhFAqjoY9xKqQMbY/OhIWfkJg7+NmZyOfcSTubM4e7US6VupfODMQfejPhY4/tZ310XGP5sU+3&#10;uxqzzDTp9un7LT+8j1rf3iTqAUTES/wTw2999kDFnRp/JBvEqGGV5qzUkCY8ifk8SxhoGMjXCmRV&#10;yv8Lqh9QSwMEFAAAAAgAh07iQFcWx08NAgAAHAQAAA4AAABkcnMvZTJvRG9jLnhtbK1TzY7TMBC+&#10;I/EOlu802Zai3ajpSlCWCwKkhQdwnUliyX/yuE36AvAGnLhw57n6HIydblmWSw/k4Iw942/m+2a8&#10;uh2NZnsIqJyt+dWs5AysdI2yXc2/fL57cc0ZRmEboZ2Fmh8A+e36+bPV4CuYu97pBgIjEIvV4Gve&#10;x+irokDZgxE4cx4sOVsXjIi0DV3RBDEQutHFvCxfFYMLjQ9OAiKdbiYnPyGGSwBd2yoJGyd3Bmyc&#10;UANoEYkS9sojX+dq2xZk/Ni2CJHpmhPTmFdKQvY2rcV6JaouCN8reSpBXFLCE05GKEtJz1AbEQXb&#10;BfUPlFEyOHRtnElniolIVoRYXJVPtLnvhYfMhaRGfxYd/x+s/LD/FJhqar7kzApDDT9+/3b88ev4&#10;8ytbJnkGjxVF3XuKi+NrN9LQPJwjHSbWYxtM+hMfRn4S93AWF8bIJB0ur+c3i5JcknzzxaJ8uczy&#10;F3+u+4DxHTjDklHzQN3Loor9e4xUCoU+hKRs1t0prXMHtWVDzW+Wc2IhBU1lS9NApvHEDG2XYdBp&#10;1aQr6TKGbvtGB7YXaTLyl1hRir/CUr6NwH6Ky65pZoyKEHLuHkTz1jYsHjypZ+nR8FSMgYYzDfTG&#10;kpUjo1D6kkgqQttUJOQJPpFPjZgET1YctyOBJnPrmgM1Z+eD6nrSLbenSB4amkzpNOBpKh/vyX78&#10;qN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hdHmDTAAAACQEAAA8AAAAAAAAAAQAgAAAAIgAA&#10;AGRycy9kb3ducmV2LnhtbFBLAQIUABQAAAAIAIdO4kBXFsdPDQIAABwEAAAOAAAAAAAAAAEAIAAA&#10;ACIBAABkcnMvZTJvRG9jLnhtbFBLBQYAAAAABgAGAFkBAAChBQAAAAA=&#10;">
                <v:fill on="f" focussize="0,0"/>
                <v:stroke color="#000000" joinstyle="miter"/>
                <v:imagedata o:title=""/>
                <o:lock v:ext="edit" aspectratio="f"/>
                <v:textbox>
                  <w:txbxContent>
                    <w:p w14:paraId="352C301D">
                      <w:pPr>
                        <w:rPr>
                          <w:b/>
                        </w:rPr>
                      </w:pPr>
                      <w:r>
                        <w:rPr>
                          <w:rFonts w:hint="eastAsia"/>
                          <w:b/>
                        </w:rPr>
                        <w:t>（此处为被委托人身份证复印件粘贴处，未提供复印件的视为无效身份证明）</w:t>
                      </w:r>
                    </w:p>
                    <w:p w14:paraId="099E6201"/>
                  </w:txbxContent>
                </v:textbox>
              </v:shape>
            </w:pict>
          </mc:Fallback>
        </mc:AlternateContent>
      </w:r>
    </w:p>
    <w:p w14:paraId="2AA13E6F">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64FC59A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5CD355F5">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011C627A">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27445726">
      <w:pPr>
        <w:keepNext w:val="0"/>
        <w:keepLines w:val="0"/>
        <w:pageBreakBefore w:val="0"/>
        <w:kinsoku/>
        <w:wordWrap/>
        <w:overflowPunct/>
        <w:topLinePunct w:val="0"/>
        <w:bidi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rPr>
      </w:pPr>
    </w:p>
    <w:p w14:paraId="08C31327">
      <w:pPr>
        <w:keepNext w:val="0"/>
        <w:keepLines w:val="0"/>
        <w:pageBreakBefore w:val="0"/>
        <w:tabs>
          <w:tab w:val="left" w:pos="0"/>
          <w:tab w:val="left" w:pos="993"/>
          <w:tab w:val="left" w:pos="1134"/>
        </w:tabs>
        <w:kinsoku/>
        <w:wordWrap/>
        <w:overflowPunct/>
        <w:topLinePunct w:val="0"/>
        <w:bidi w:val="0"/>
        <w:adjustRightInd w:val="0"/>
        <w:snapToGrid w:val="0"/>
        <w:spacing w:line="560" w:lineRule="exact"/>
        <w:ind w:left="0" w:leftChars="0" w:right="0" w:rightChars="0" w:firstLine="643" w:firstLineChars="200"/>
        <w:rPr>
          <w:rFonts w:hint="eastAsia" w:ascii="仿宋_GB2312" w:hAnsi="仿宋_GB2312" w:eastAsia="仿宋_GB2312" w:cs="仿宋_GB2312"/>
          <w:b/>
          <w:color w:val="auto"/>
          <w:sz w:val="32"/>
          <w:szCs w:val="32"/>
        </w:rPr>
      </w:pPr>
    </w:p>
    <w:p w14:paraId="03C4FD1E">
      <w:pPr>
        <w:keepNext w:val="0"/>
        <w:keepLines w:val="0"/>
        <w:pageBreakBefore w:val="0"/>
        <w:kinsoku/>
        <w:wordWrap/>
        <w:overflowPunct/>
        <w:bidi w:val="0"/>
        <w:spacing w:line="560" w:lineRule="exact"/>
        <w:rPr>
          <w:rFonts w:hint="eastAsia" w:ascii="黑体" w:hAnsi="宋体" w:eastAsia="黑体" w:cs="黑体"/>
          <w:bCs/>
          <w:color w:val="auto"/>
          <w:sz w:val="32"/>
          <w:szCs w:val="32"/>
          <w:highlight w:val="none"/>
          <w:lang w:bidi="ar"/>
        </w:rPr>
      </w:pPr>
      <w:r>
        <w:rPr>
          <w:rFonts w:hint="eastAsia" w:ascii="黑体" w:hAnsi="宋体" w:eastAsia="黑体" w:cs="黑体"/>
          <w:bCs/>
          <w:color w:val="auto"/>
          <w:sz w:val="32"/>
          <w:szCs w:val="32"/>
          <w:highlight w:val="none"/>
          <w:lang w:bidi="ar"/>
        </w:rPr>
        <w:br w:type="page"/>
      </w:r>
    </w:p>
    <w:p w14:paraId="644F7BA6">
      <w:pPr>
        <w:keepNext w:val="0"/>
        <w:keepLines w:val="0"/>
        <w:pageBreakBefore w:val="0"/>
        <w:widowControl w:val="0"/>
        <w:kinsoku/>
        <w:wordWrap/>
        <w:overflowPunct/>
        <w:topLinePunct w:val="0"/>
        <w:autoSpaceDE w:val="0"/>
        <w:autoSpaceDN/>
        <w:bidi w:val="0"/>
        <w:adjustRightInd w:val="0"/>
        <w:snapToGrid w:val="0"/>
        <w:spacing w:line="560" w:lineRule="exact"/>
        <w:ind w:right="0" w:rightChars="0"/>
        <w:jc w:val="left"/>
        <w:textAlignment w:val="auto"/>
        <w:rPr>
          <w:rFonts w:hint="eastAsia" w:ascii="黑体" w:hAnsi="宋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hAnsi="宋体" w:eastAsia="黑体" w:cs="黑体"/>
          <w:bCs/>
          <w:color w:val="auto"/>
          <w:sz w:val="32"/>
          <w:szCs w:val="32"/>
          <w:highlight w:val="none"/>
          <w:lang w:val="en-US" w:eastAsia="zh-CN" w:bidi="ar"/>
        </w:rPr>
        <w:t>4</w:t>
      </w:r>
    </w:p>
    <w:p w14:paraId="6F3FD4EA">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bidi="ar"/>
        </w:rPr>
      </w:pPr>
      <w:r>
        <w:rPr>
          <w:rFonts w:hint="eastAsia" w:ascii="方正小标宋简体" w:hAnsi="Times New Roman" w:eastAsia="方正小标宋简体" w:cs="方正小标宋简体"/>
          <w:bCs/>
          <w:color w:val="auto"/>
          <w:kern w:val="44"/>
          <w:sz w:val="44"/>
          <w:szCs w:val="44"/>
          <w:highlight w:val="none"/>
          <w:lang w:bidi="ar"/>
        </w:rPr>
        <w:t>投标人信用承诺书</w:t>
      </w:r>
    </w:p>
    <w:p w14:paraId="05FA9390">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本单位及法定代表人，清楚知晓并参与本项目的招投标活动，并作出承诺如下：</w:t>
      </w:r>
    </w:p>
    <w:p w14:paraId="16DF6A9D">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一、遵循公开、公平、公正和诚实信用的原则，依法依规参与本项目招投标活动。</w:t>
      </w:r>
    </w:p>
    <w:p w14:paraId="78300E9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二、严格按照本次招标文件中的投标人资格要求提供相应投标资料，并在</w:t>
      </w:r>
      <w:r>
        <w:rPr>
          <w:rFonts w:hint="eastAsia" w:ascii="仿宋_GB2312" w:hAnsi="仿宋_GB2312" w:eastAsia="仿宋_GB2312" w:cs="仿宋_GB2312"/>
          <w:color w:val="auto"/>
          <w:sz w:val="32"/>
          <w:szCs w:val="32"/>
          <w:highlight w:val="none"/>
          <w:lang w:eastAsia="zh-CN"/>
        </w:rPr>
        <w:t>E交易平台</w:t>
      </w:r>
      <w:r>
        <w:rPr>
          <w:rFonts w:hint="eastAsia" w:ascii="仿宋_GB2312" w:hAnsi="仿宋_GB2312" w:eastAsia="仿宋_GB2312" w:cs="仿宋_GB2312"/>
          <w:color w:val="auto"/>
          <w:sz w:val="32"/>
          <w:szCs w:val="32"/>
          <w:highlight w:val="none"/>
        </w:rPr>
        <w:t xml:space="preserve"> 中录入的所有企业信息和上传的企业资料都是真实、有效、准确且合法的，没有弄虚作假的情形。</w:t>
      </w:r>
    </w:p>
    <w:p w14:paraId="6A5C51A1">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三、在参与本项目招标投标活动中，不存在任何围标串标活动，也不存在以他人名义投标的行为。</w:t>
      </w:r>
    </w:p>
    <w:p w14:paraId="0E7F5DD3">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四、在参与本项目招投标活动中，投标项目负责人无在建工程。</w:t>
      </w:r>
    </w:p>
    <w:p w14:paraId="01A5960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五、在参与本项目招投标活动中，若投标人或项目负责人为失信被执行人的，自愿放弃本次投标资格。</w:t>
      </w:r>
    </w:p>
    <w:p w14:paraId="40E00A19">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六、正确履行法律法规规定的投标人权利和义务，遵纪守法，清正廉洁，不徇私枉法，服从建设等行政主管部门监管，接受社会监督。</w:t>
      </w:r>
    </w:p>
    <w:p w14:paraId="30CEA936">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扣除信用分。</w:t>
      </w:r>
    </w:p>
    <w:p w14:paraId="2505E318">
      <w:pPr>
        <w:keepNext w:val="0"/>
        <w:keepLines w:val="0"/>
        <w:pageBreakBefore w:val="0"/>
        <w:kinsoku/>
        <w:wordWrap/>
        <w:overflowPunct/>
        <w:topLinePunct w:val="0"/>
        <w:bidi w:val="0"/>
        <w:snapToGrid w:val="0"/>
        <w:spacing w:line="560" w:lineRule="exact"/>
        <w:ind w:left="0" w:leftChars="0" w:right="0" w:rightChars="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本承诺书一经签订即作为中标合同的组成部分，对本单位参与本项目招投标活动的行为具有法律约束力。 </w:t>
      </w:r>
    </w:p>
    <w:p w14:paraId="329CC087">
      <w:pPr>
        <w:keepNext w:val="0"/>
        <w:keepLines w:val="0"/>
        <w:pageBreakBefore w:val="0"/>
        <w:kinsoku/>
        <w:wordWrap/>
        <w:overflowPunct/>
        <w:topLinePunct w:val="0"/>
        <w:bidi w:val="0"/>
        <w:snapToGrid w:val="0"/>
        <w:spacing w:line="560" w:lineRule="exact"/>
        <w:ind w:left="0" w:leftChars="0" w:right="0" w:rightChars="0" w:firstLine="640"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投标人（盖章）：</w:t>
      </w:r>
    </w:p>
    <w:p w14:paraId="4206B067">
      <w:pPr>
        <w:keepNext w:val="0"/>
        <w:keepLines w:val="0"/>
        <w:pageBreakBefore w:val="0"/>
        <w:kinsoku/>
        <w:wordWrap/>
        <w:overflowPunct/>
        <w:topLinePunct w:val="0"/>
        <w:bidi w:val="0"/>
        <w:snapToGrid w:val="0"/>
        <w:spacing w:line="560" w:lineRule="exact"/>
        <w:ind w:left="0" w:leftChars="0" w:right="0" w:rightChars="0" w:firstLine="640" w:firstLineChars="200"/>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法定代表人（签字或盖章）：    </w:t>
      </w:r>
    </w:p>
    <w:p w14:paraId="3262F171">
      <w:pPr>
        <w:keepNext w:val="0"/>
        <w:keepLines w:val="0"/>
        <w:pageBreakBefore w:val="0"/>
        <w:kinsoku/>
        <w:wordWrap/>
        <w:overflowPunct/>
        <w:topLinePunct w:val="0"/>
        <w:bidi w:val="0"/>
        <w:spacing w:line="560" w:lineRule="exact"/>
        <w:ind w:left="0" w:leftChars="0" w:right="0" w:rightChars="0" w:firstLine="640" w:firstLineChars="200"/>
        <w:rPr>
          <w:rFonts w:hint="eastAsia" w:ascii="仿宋_GB2312" w:hAnsi="仿宋_GB2312" w:eastAsia="仿宋_GB2312" w:cs="仿宋_GB2312"/>
          <w:color w:val="auto"/>
          <w:sz w:val="32"/>
          <w:szCs w:val="32"/>
          <w:highlight w:val="none"/>
        </w:rPr>
      </w:pPr>
    </w:p>
    <w:p w14:paraId="453CD328">
      <w:pPr>
        <w:keepNext w:val="0"/>
        <w:keepLines w:val="0"/>
        <w:pageBreakBefore w:val="0"/>
        <w:kinsoku/>
        <w:wordWrap/>
        <w:overflowPunct/>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7D37EB48">
      <w:pPr>
        <w:pStyle w:val="10"/>
        <w:keepNext w:val="0"/>
        <w:keepLines w:val="0"/>
        <w:pageBreakBefore w:val="0"/>
        <w:kinsoku/>
        <w:wordWrap/>
        <w:overflowPunct/>
        <w:bidi w:val="0"/>
        <w:spacing w:line="560" w:lineRule="exact"/>
        <w:ind w:left="0" w:leftChars="0" w:firstLine="0" w:firstLineChars="0"/>
        <w:rPr>
          <w:rFonts w:hint="eastAsia" w:ascii="黑体" w:eastAsia="黑体" w:cs="黑体"/>
          <w:bCs/>
          <w:color w:val="auto"/>
          <w:sz w:val="32"/>
          <w:szCs w:val="32"/>
          <w:highlight w:val="none"/>
          <w:lang w:val="en-US" w:eastAsia="zh-CN" w:bidi="ar"/>
        </w:rPr>
      </w:pPr>
      <w:r>
        <w:rPr>
          <w:rFonts w:hint="eastAsia" w:ascii="黑体" w:hAnsi="宋体" w:eastAsia="黑体" w:cs="黑体"/>
          <w:bCs/>
          <w:color w:val="auto"/>
          <w:sz w:val="32"/>
          <w:szCs w:val="32"/>
          <w:highlight w:val="none"/>
          <w:lang w:bidi="ar"/>
        </w:rPr>
        <w:t>附件</w:t>
      </w:r>
      <w:r>
        <w:rPr>
          <w:rFonts w:hint="eastAsia" w:ascii="黑体" w:eastAsia="黑体" w:cs="黑体"/>
          <w:bCs/>
          <w:color w:val="auto"/>
          <w:sz w:val="32"/>
          <w:szCs w:val="32"/>
          <w:highlight w:val="none"/>
          <w:lang w:val="en-US" w:eastAsia="zh-CN" w:bidi="ar"/>
        </w:rPr>
        <w:t>5</w:t>
      </w:r>
    </w:p>
    <w:p w14:paraId="10B456C7">
      <w:pPr>
        <w:keepNext w:val="0"/>
        <w:keepLines w:val="0"/>
        <w:pageBreakBefore w:val="0"/>
        <w:widowControl w:val="0"/>
        <w:kinsoku/>
        <w:wordWrap/>
        <w:overflowPunct/>
        <w:topLinePunct w:val="0"/>
        <w:autoSpaceDE w:val="0"/>
        <w:autoSpaceDN/>
        <w:bidi w:val="0"/>
        <w:spacing w:line="560" w:lineRule="exact"/>
        <w:ind w:left="0" w:leftChars="0" w:right="0" w:rightChars="0" w:firstLine="880" w:firstLineChars="200"/>
        <w:jc w:val="center"/>
        <w:textAlignment w:val="auto"/>
        <w:outlineLvl w:val="0"/>
        <w:rPr>
          <w:rFonts w:hint="eastAsia" w:ascii="方正小标宋简体" w:hAnsi="Times New Roman" w:eastAsia="方正小标宋简体" w:cs="方正小标宋简体"/>
          <w:bCs/>
          <w:color w:val="auto"/>
          <w:kern w:val="44"/>
          <w:sz w:val="44"/>
          <w:szCs w:val="44"/>
          <w:highlight w:val="none"/>
          <w:lang w:eastAsia="zh-CN" w:bidi="ar"/>
        </w:rPr>
      </w:pPr>
      <w:r>
        <w:rPr>
          <w:rFonts w:hint="eastAsia" w:ascii="方正小标宋简体" w:hAnsi="Times New Roman" w:eastAsia="方正小标宋简体" w:cs="方正小标宋简体"/>
          <w:bCs/>
          <w:color w:val="auto"/>
          <w:kern w:val="44"/>
          <w:sz w:val="44"/>
          <w:szCs w:val="44"/>
          <w:highlight w:val="none"/>
          <w:lang w:eastAsia="zh-CN" w:bidi="ar"/>
        </w:rPr>
        <w:t>联合体投标协议书（格式）</w:t>
      </w:r>
    </w:p>
    <w:p w14:paraId="1A6E09AE">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297467E">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（所有成员单位名称）自愿组成</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（联合体名称）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联合体，共同参加</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（项目名称）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投标。现就联合体投标事宜订立如下协议。</w:t>
      </w:r>
    </w:p>
    <w:p w14:paraId="180D3761">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1、（某成员单位名称）为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（联合体名称）</w:t>
      </w:r>
      <w:r>
        <w:rPr>
          <w:rFonts w:hint="eastAsia" w:ascii="仿宋_GB2312" w:hAnsi="仿宋_GB2312" w:eastAsia="仿宋_GB2312" w:cs="仿宋_GB2312"/>
          <w:color w:val="000000" w:themeColor="text1"/>
          <w:sz w:val="32"/>
          <w:szCs w:val="32"/>
          <w:lang w:eastAsia="zh-CN"/>
          <w14:textFill>
            <w14:solidFill>
              <w14:schemeClr w14:val="tx1"/>
            </w14:solidFill>
          </w14:textFill>
        </w:rPr>
        <w:t>牵头人。</w:t>
      </w:r>
    </w:p>
    <w:p w14:paraId="7905A945">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489DF25C">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3、联合体将严格按照招标文件的各项要求，递交投标文件，履行合同，并对外承担连带责任。</w:t>
      </w:r>
    </w:p>
    <w:p w14:paraId="422E2F80">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4、联合体各成员单位内部的职责分工如下：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D660F3F">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5、本协议书自签署之日起生效，合同履行完毕后自动失效。</w:t>
      </w:r>
    </w:p>
    <w:p w14:paraId="4A55AD57">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6、本协议书一式</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份，联合体成员和招标人各执</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份。</w:t>
      </w:r>
    </w:p>
    <w:p w14:paraId="648263E8">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注：本协议书由委托代理人签字的，应附法定代表人签字的授权委托书。</w:t>
      </w:r>
    </w:p>
    <w:p w14:paraId="16B556A7">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牵头人名称：（盖单位章）</w:t>
      </w:r>
    </w:p>
    <w:p w14:paraId="45BE7AEE">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法定代表人或其委托代理人：（签字）</w:t>
      </w:r>
    </w:p>
    <w:p w14:paraId="74A4DA14">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成员一名称：（盖单位章）</w:t>
      </w:r>
    </w:p>
    <w:p w14:paraId="75694276">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法定代表人或其委托代理人：（签字）</w:t>
      </w:r>
    </w:p>
    <w:p w14:paraId="25D86D18">
      <w:pPr>
        <w:keepNext w:val="0"/>
        <w:keepLines w:val="0"/>
        <w:pageBreakBefore w:val="0"/>
        <w:widowControl w:val="0"/>
        <w:kinsoku/>
        <w:wordWrap/>
        <w:overflowPunct/>
        <w:topLinePunct/>
        <w:autoSpaceDE/>
        <w:autoSpaceDN/>
        <w:bidi w:val="0"/>
        <w:adjustRightInd w:val="0"/>
        <w:snapToGrid w:val="0"/>
        <w:spacing w:line="560" w:lineRule="exact"/>
        <w:ind w:firstLine="561"/>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C2B42BD">
      <w:pPr>
        <w:keepNext w:val="0"/>
        <w:keepLines w:val="0"/>
        <w:pageBreakBefore w:val="0"/>
        <w:kinsoku/>
        <w:wordWrap/>
        <w:overflowPunct/>
        <w:topLinePunct w:val="0"/>
        <w:bidi w:val="0"/>
        <w:adjustRightInd w:val="0"/>
        <w:snapToGrid w:val="0"/>
        <w:spacing w:line="560" w:lineRule="exact"/>
        <w:ind w:firstLine="4387" w:firstLineChars="137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年月日</w:t>
      </w:r>
    </w:p>
    <w:p w14:paraId="7AF596E8">
      <w:pPr>
        <w:pStyle w:val="9"/>
        <w:keepNext w:val="0"/>
        <w:keepLines w:val="0"/>
        <w:pageBreakBefore w:val="0"/>
        <w:kinsoku/>
        <w:wordWrap/>
        <w:overflowPunct/>
        <w:topLinePunct w:val="0"/>
        <w:autoSpaceDE w:val="0"/>
        <w:autoSpaceDN w:val="0"/>
        <w:bidi w:val="0"/>
        <w:adjustRightInd w:val="0"/>
        <w:snapToGrid w:val="0"/>
        <w:spacing w:line="560" w:lineRule="exact"/>
        <w:ind w:firstLine="56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（注：联合体投标提供）</w:t>
      </w:r>
    </w:p>
    <w:sectPr>
      <w:footerReference r:id="rId6" w:type="default"/>
      <w:pgSz w:w="11906" w:h="16838"/>
      <w:pgMar w:top="1308" w:right="1192" w:bottom="1250" w:left="105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E52E">
    <w:pPr>
      <w:pStyle w:val="7"/>
      <w:framePr w:wrap="around" w:vAnchor="text" w:hAnchor="margin" w:xAlign="center" w:y="2"/>
      <w:rPr>
        <w:rStyle w:val="14"/>
      </w:rPr>
    </w:pPr>
    <w:r>
      <w:fldChar w:fldCharType="begin"/>
    </w:r>
    <w:r>
      <w:rPr>
        <w:rStyle w:val="14"/>
      </w:rPr>
      <w:instrText xml:space="preserve">PAGE  </w:instrText>
    </w:r>
    <w:r>
      <w:fldChar w:fldCharType="separate"/>
    </w:r>
    <w:r>
      <w:rPr>
        <w:rStyle w:val="14"/>
      </w:rPr>
      <w:t>2</w:t>
    </w:r>
    <w:r>
      <w:fldChar w:fldCharType="end"/>
    </w:r>
  </w:p>
  <w:p w14:paraId="1E8D8E9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CFFF9">
    <w:pPr>
      <w:pStyle w:val="7"/>
      <w:framePr w:wrap="around" w:vAnchor="text" w:hAnchor="margin" w:xAlign="center" w:y="2"/>
      <w:rPr>
        <w:rStyle w:val="14"/>
      </w:rPr>
    </w:pPr>
    <w:r>
      <w:fldChar w:fldCharType="begin"/>
    </w:r>
    <w:r>
      <w:rPr>
        <w:rStyle w:val="14"/>
      </w:rPr>
      <w:instrText xml:space="preserve">PAGE  </w:instrText>
    </w:r>
    <w:r>
      <w:fldChar w:fldCharType="end"/>
    </w:r>
  </w:p>
  <w:p w14:paraId="0E894B1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79E1">
    <w:pPr>
      <w:pStyle w:val="7"/>
      <w:ind w:firstLine="360"/>
    </w:pPr>
    <w:r>
      <mc:AlternateContent>
        <mc:Choice Requires="wps">
          <w:drawing>
            <wp:anchor distT="0" distB="0" distL="114300" distR="114300" simplePos="0" relativeHeight="251659264" behindDoc="0" locked="0" layoutInCell="1" allowOverlap="1">
              <wp:simplePos x="0" y="0"/>
              <wp:positionH relativeFrom="margin">
                <wp:posOffset>2546985</wp:posOffset>
              </wp:positionH>
              <wp:positionV relativeFrom="paragraph">
                <wp:posOffset>-130810</wp:posOffset>
              </wp:positionV>
              <wp:extent cx="602615" cy="2819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02615" cy="2819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7BD48">
                          <w:pPr>
                            <w:pStyle w:val="7"/>
                            <w:jc w:val="center"/>
                            <w:rPr>
                              <w:sz w:val="28"/>
                            </w:rPr>
                          </w:pPr>
                          <w:r>
                            <w:rPr>
                              <w:sz w:val="18"/>
                              <w:szCs w:val="11"/>
                            </w:rPr>
                            <w:fldChar w:fldCharType="begin"/>
                          </w:r>
                          <w:r>
                            <w:rPr>
                              <w:sz w:val="18"/>
                              <w:szCs w:val="11"/>
                            </w:rPr>
                            <w:instrText xml:space="preserve"> PAGE  \* MERGEFORMAT </w:instrText>
                          </w:r>
                          <w:r>
                            <w:rPr>
                              <w:sz w:val="18"/>
                              <w:szCs w:val="11"/>
                            </w:rPr>
                            <w:fldChar w:fldCharType="separate"/>
                          </w:r>
                          <w:r>
                            <w:rPr>
                              <w:sz w:val="18"/>
                              <w:szCs w:val="11"/>
                            </w:rPr>
                            <w:t>1</w:t>
                          </w:r>
                          <w:r>
                            <w:rPr>
                              <w:sz w:val="18"/>
                              <w:szCs w:val="1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0.55pt;margin-top:-10.3pt;height:22.2pt;width:47.45pt;mso-position-horizontal-relative:margin;z-index:251659264;mso-width-relative:page;mso-height-relative:page;" filled="f" stroked="f" coordsize="21600,21600" o:gfxdata="UEsDBAoAAAAAAIdO4kAAAAAAAAAAAAAAAAAEAAAAZHJzL1BLAwQUAAAACACHTuJAdJHc2dkAAAAK&#10;AQAADwAAAGRycy9kb3ducmV2LnhtbE2Py07DMBBF90j8gzVI7FrboYpKiNMFjx2PUloJdk5ikgh7&#10;HNlOWv6eYQXL0Rzde265OTnLZhPi4FGBXApgBhvfDtgp2L89LNbAYtLYauvRKPg2ETbV+Vmpi9Yf&#10;8dXMu9QxCsFYaAV9SmPBeWx643Rc+tEg/T59cDrRGTreBn2kcGd5JkTOnR6QGno9mtveNF+7ySmw&#10;7zE81iJ9zHfdU9q+8OlwL5+VuryQ4gZYMqf0B8OvPqlDRU61n7CNzCpYCSkJVbDIRA6MiNV1Tutq&#10;BdnVGnhV8v8Tqh9QSwMEFAAAAAgAh07iQL0tbdQvAgAAVQQAAA4AAABkcnMvZTJvRG9jLnhtbK1U&#10;y24TMRTdI/EPlvd0kkCrEnVShUZFSBWtVBBrx+PJjGT7GtvpTPkA+ANWbNjzXfkOjj2TFBUWXbBx&#10;7vg+z7nHOTvvjWZ3yoeWbMmnRxPOlJVUtXZT8o8fLl+cchaisJXQZFXJ71Xg54vnz846N1czakhX&#10;yjMUsWHeuZI3Mbp5UQTZKCPCETll4azJGxHx6TdF5UWH6kYXs8nkpOjIV86TVCHgdjU4+VjRP6Ug&#10;1XUr1Yrk1igbh6peaREBKTStC3yRp61rJeN1XQcVmS45kMZ8ognsdTqLxZmYb7xwTSvHEcRTRniE&#10;yYjWoumh1EpEwba+/auUaaWnQHU8kmSKAUhmBCimk0fc3DbCqYwFVAd3ID38v7Ly/d2NZ20FJXBm&#10;hcHCd9+/7X782v38yqaJns6FOaJuHeJi/4b6FDreB1wm1H3tTfoFHgY/yL0/kKv6yCQuTyazk+kx&#10;ZxKu2en09atMfvGQ7HyIbxUZloySe+wuUyrurkJEQ4TuQ1IvS5et1nl/2rIODV4eT3LCwYMMbZGY&#10;IAyjJiv2636cf03VPWB5GnQRnLxs0fxKhHgjPIQAJHgq8RpHrQlNaLQ4a8h/+dd9isd+4OWsg7BK&#10;Hj5vhVec6XcWm0sq3Bt+b6z3ht2aC4JWsQ1Mk00k+Kj3Zu3JfMILWqYucAkr0avkcW9exEHeeIFS&#10;LZc5CFpzIl7ZWydT6YG+5TZS3WZmEy0DFyNbUFsmfHwZSc5/fueoh3+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0kdzZ2QAAAAoBAAAPAAAAAAAAAAEAIAAAACIAAABkcnMvZG93bnJldi54bWxQ&#10;SwECFAAUAAAACACHTuJAvS1t1C8CAABVBAAADgAAAAAAAAABACAAAAAoAQAAZHJzL2Uyb0RvYy54&#10;bWxQSwUGAAAAAAYABgBZAQAAyQUAAAAA&#10;">
              <v:fill on="f" focussize="0,0"/>
              <v:stroke on="f" weight="0.5pt"/>
              <v:imagedata o:title=""/>
              <o:lock v:ext="edit" aspectratio="f"/>
              <v:textbox inset="0mm,0mm,0mm,0mm">
                <w:txbxContent>
                  <w:p w14:paraId="3E57BD48">
                    <w:pPr>
                      <w:pStyle w:val="7"/>
                      <w:jc w:val="center"/>
                      <w:rPr>
                        <w:sz w:val="28"/>
                      </w:rPr>
                    </w:pPr>
                    <w:r>
                      <w:rPr>
                        <w:sz w:val="18"/>
                        <w:szCs w:val="11"/>
                      </w:rPr>
                      <w:fldChar w:fldCharType="begin"/>
                    </w:r>
                    <w:r>
                      <w:rPr>
                        <w:sz w:val="18"/>
                        <w:szCs w:val="11"/>
                      </w:rPr>
                      <w:instrText xml:space="preserve"> PAGE  \* MERGEFORMAT </w:instrText>
                    </w:r>
                    <w:r>
                      <w:rPr>
                        <w:sz w:val="18"/>
                        <w:szCs w:val="11"/>
                      </w:rPr>
                      <w:fldChar w:fldCharType="separate"/>
                    </w:r>
                    <w:r>
                      <w:rPr>
                        <w:sz w:val="18"/>
                        <w:szCs w:val="11"/>
                      </w:rPr>
                      <w:t>1</w:t>
                    </w:r>
                    <w:r>
                      <w:rPr>
                        <w:sz w:val="18"/>
                        <w:szCs w:val="1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CA5D">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MDJhOGQyNjk0MWY4MjFkYWRjODc3ZmY5YzM2OGQifQ=="/>
  </w:docVars>
  <w:rsids>
    <w:rsidRoot w:val="4E7A625A"/>
    <w:rsid w:val="00757B9E"/>
    <w:rsid w:val="00A01A0A"/>
    <w:rsid w:val="00B174BD"/>
    <w:rsid w:val="00B51FAF"/>
    <w:rsid w:val="00C220B7"/>
    <w:rsid w:val="00F0589F"/>
    <w:rsid w:val="00FE1942"/>
    <w:rsid w:val="01057174"/>
    <w:rsid w:val="014F4893"/>
    <w:rsid w:val="018E14F6"/>
    <w:rsid w:val="03647853"/>
    <w:rsid w:val="037B54CB"/>
    <w:rsid w:val="040354C1"/>
    <w:rsid w:val="04163446"/>
    <w:rsid w:val="05777F14"/>
    <w:rsid w:val="05CB4E38"/>
    <w:rsid w:val="060210C2"/>
    <w:rsid w:val="06033F82"/>
    <w:rsid w:val="06236B88"/>
    <w:rsid w:val="06690735"/>
    <w:rsid w:val="068E3768"/>
    <w:rsid w:val="06940536"/>
    <w:rsid w:val="07281A58"/>
    <w:rsid w:val="073065CD"/>
    <w:rsid w:val="073C3880"/>
    <w:rsid w:val="074D4D2B"/>
    <w:rsid w:val="078E1545"/>
    <w:rsid w:val="08326AA8"/>
    <w:rsid w:val="08AD2EF4"/>
    <w:rsid w:val="09A45050"/>
    <w:rsid w:val="0A256191"/>
    <w:rsid w:val="0A305844"/>
    <w:rsid w:val="0AC63F81"/>
    <w:rsid w:val="0AE4604C"/>
    <w:rsid w:val="0BB023D2"/>
    <w:rsid w:val="0BBE4019"/>
    <w:rsid w:val="0BD53BE7"/>
    <w:rsid w:val="0BF41F06"/>
    <w:rsid w:val="0C10591B"/>
    <w:rsid w:val="0C3E33A6"/>
    <w:rsid w:val="0C656AFE"/>
    <w:rsid w:val="0C7B72F6"/>
    <w:rsid w:val="0E3E097C"/>
    <w:rsid w:val="0E96630C"/>
    <w:rsid w:val="10495085"/>
    <w:rsid w:val="105E7254"/>
    <w:rsid w:val="10623011"/>
    <w:rsid w:val="113A21A1"/>
    <w:rsid w:val="113B44EC"/>
    <w:rsid w:val="116C0B49"/>
    <w:rsid w:val="11B81FE1"/>
    <w:rsid w:val="11C20769"/>
    <w:rsid w:val="12396644"/>
    <w:rsid w:val="12D15108"/>
    <w:rsid w:val="130F79DE"/>
    <w:rsid w:val="133438E9"/>
    <w:rsid w:val="13B33406"/>
    <w:rsid w:val="140A17A1"/>
    <w:rsid w:val="146E4BD8"/>
    <w:rsid w:val="15284D87"/>
    <w:rsid w:val="154C1139"/>
    <w:rsid w:val="157C2289"/>
    <w:rsid w:val="1586742B"/>
    <w:rsid w:val="15A765F4"/>
    <w:rsid w:val="163360DA"/>
    <w:rsid w:val="168D7598"/>
    <w:rsid w:val="16E75D71"/>
    <w:rsid w:val="1718020F"/>
    <w:rsid w:val="17251F02"/>
    <w:rsid w:val="172A3039"/>
    <w:rsid w:val="1740285C"/>
    <w:rsid w:val="17984446"/>
    <w:rsid w:val="17A66614"/>
    <w:rsid w:val="17B9260F"/>
    <w:rsid w:val="18356139"/>
    <w:rsid w:val="185540E5"/>
    <w:rsid w:val="189746FE"/>
    <w:rsid w:val="191507FE"/>
    <w:rsid w:val="193B777F"/>
    <w:rsid w:val="19694374"/>
    <w:rsid w:val="1A037B71"/>
    <w:rsid w:val="1B213295"/>
    <w:rsid w:val="1B4A3ACE"/>
    <w:rsid w:val="1B565763"/>
    <w:rsid w:val="1B9413C8"/>
    <w:rsid w:val="1BDB0DA5"/>
    <w:rsid w:val="1C391C39"/>
    <w:rsid w:val="1C3D736A"/>
    <w:rsid w:val="1CB117C2"/>
    <w:rsid w:val="1D777799"/>
    <w:rsid w:val="1E1505CF"/>
    <w:rsid w:val="1E56319D"/>
    <w:rsid w:val="1E854FF8"/>
    <w:rsid w:val="1F325180"/>
    <w:rsid w:val="1F8343DB"/>
    <w:rsid w:val="1FF24910"/>
    <w:rsid w:val="20396400"/>
    <w:rsid w:val="20480747"/>
    <w:rsid w:val="205E1FA5"/>
    <w:rsid w:val="215533A8"/>
    <w:rsid w:val="21DD7533"/>
    <w:rsid w:val="220B1557"/>
    <w:rsid w:val="224F1BA5"/>
    <w:rsid w:val="22993263"/>
    <w:rsid w:val="22A719E1"/>
    <w:rsid w:val="22BF31CF"/>
    <w:rsid w:val="22E744D4"/>
    <w:rsid w:val="22ED3626"/>
    <w:rsid w:val="24771887"/>
    <w:rsid w:val="247B1377"/>
    <w:rsid w:val="24A7216D"/>
    <w:rsid w:val="24AA7A3F"/>
    <w:rsid w:val="24BB4C9A"/>
    <w:rsid w:val="253A556E"/>
    <w:rsid w:val="25520357"/>
    <w:rsid w:val="25755DC7"/>
    <w:rsid w:val="25BF5294"/>
    <w:rsid w:val="25CA2B30"/>
    <w:rsid w:val="264834DB"/>
    <w:rsid w:val="269F1681"/>
    <w:rsid w:val="26B618CC"/>
    <w:rsid w:val="26C03072"/>
    <w:rsid w:val="27A209C9"/>
    <w:rsid w:val="27BB1A8B"/>
    <w:rsid w:val="27DE2FC0"/>
    <w:rsid w:val="28EC2138"/>
    <w:rsid w:val="29345F99"/>
    <w:rsid w:val="29EB48A9"/>
    <w:rsid w:val="29F54404"/>
    <w:rsid w:val="2A13795C"/>
    <w:rsid w:val="2A3224D8"/>
    <w:rsid w:val="2A614A98"/>
    <w:rsid w:val="2BB4516F"/>
    <w:rsid w:val="2BEE0681"/>
    <w:rsid w:val="2C244FA1"/>
    <w:rsid w:val="2C505403"/>
    <w:rsid w:val="2C5367BE"/>
    <w:rsid w:val="2C6142AE"/>
    <w:rsid w:val="2CCF4C96"/>
    <w:rsid w:val="2D4D626B"/>
    <w:rsid w:val="2DB80F46"/>
    <w:rsid w:val="2DD56FC0"/>
    <w:rsid w:val="2E884DBD"/>
    <w:rsid w:val="2EA3406A"/>
    <w:rsid w:val="2ED7364E"/>
    <w:rsid w:val="2F6F3887"/>
    <w:rsid w:val="2F7964B4"/>
    <w:rsid w:val="2FB971F8"/>
    <w:rsid w:val="2FBD0A5E"/>
    <w:rsid w:val="2FE619F1"/>
    <w:rsid w:val="30147CC8"/>
    <w:rsid w:val="305B205D"/>
    <w:rsid w:val="30CC4D09"/>
    <w:rsid w:val="30E402A4"/>
    <w:rsid w:val="316A07AA"/>
    <w:rsid w:val="32087FC3"/>
    <w:rsid w:val="33244988"/>
    <w:rsid w:val="33D32CCC"/>
    <w:rsid w:val="343A0794"/>
    <w:rsid w:val="34CE6630"/>
    <w:rsid w:val="34FD1935"/>
    <w:rsid w:val="356B2D42"/>
    <w:rsid w:val="3676199F"/>
    <w:rsid w:val="372E5DD5"/>
    <w:rsid w:val="38084878"/>
    <w:rsid w:val="384977AD"/>
    <w:rsid w:val="389A2654"/>
    <w:rsid w:val="3911775D"/>
    <w:rsid w:val="39FC665F"/>
    <w:rsid w:val="3A6D2B27"/>
    <w:rsid w:val="3ACE10DF"/>
    <w:rsid w:val="3AD849D6"/>
    <w:rsid w:val="3B9C3DD1"/>
    <w:rsid w:val="3BBF7944"/>
    <w:rsid w:val="3C591B47"/>
    <w:rsid w:val="3CB04B3A"/>
    <w:rsid w:val="3CD70CBD"/>
    <w:rsid w:val="3DA91EB2"/>
    <w:rsid w:val="3DDE0DD4"/>
    <w:rsid w:val="3DF8713D"/>
    <w:rsid w:val="3E012496"/>
    <w:rsid w:val="3E0A4B97"/>
    <w:rsid w:val="3E1D4DF6"/>
    <w:rsid w:val="3EA11583"/>
    <w:rsid w:val="3EA64DEB"/>
    <w:rsid w:val="3EA9688B"/>
    <w:rsid w:val="3EEC4EF4"/>
    <w:rsid w:val="3EF47905"/>
    <w:rsid w:val="3EFD02AE"/>
    <w:rsid w:val="3F0F2990"/>
    <w:rsid w:val="3F6F2FB1"/>
    <w:rsid w:val="3FE24949"/>
    <w:rsid w:val="40167D4F"/>
    <w:rsid w:val="40833636"/>
    <w:rsid w:val="40907B01"/>
    <w:rsid w:val="40BD1E2A"/>
    <w:rsid w:val="40CE0CD9"/>
    <w:rsid w:val="40E816EB"/>
    <w:rsid w:val="410200B3"/>
    <w:rsid w:val="425158A3"/>
    <w:rsid w:val="42AC759A"/>
    <w:rsid w:val="42C002CF"/>
    <w:rsid w:val="44672F1A"/>
    <w:rsid w:val="44FA347A"/>
    <w:rsid w:val="45290F50"/>
    <w:rsid w:val="45336CAD"/>
    <w:rsid w:val="45812155"/>
    <w:rsid w:val="46AB472C"/>
    <w:rsid w:val="4799729B"/>
    <w:rsid w:val="47CF0F0F"/>
    <w:rsid w:val="484D176C"/>
    <w:rsid w:val="4871646A"/>
    <w:rsid w:val="48A24875"/>
    <w:rsid w:val="48F32012"/>
    <w:rsid w:val="49D767A1"/>
    <w:rsid w:val="4A590F64"/>
    <w:rsid w:val="4A7B65EB"/>
    <w:rsid w:val="4AE72A13"/>
    <w:rsid w:val="4B6E6C91"/>
    <w:rsid w:val="4B751DCD"/>
    <w:rsid w:val="4B786F2D"/>
    <w:rsid w:val="4B7A38EB"/>
    <w:rsid w:val="4BA97CC9"/>
    <w:rsid w:val="4C113CC0"/>
    <w:rsid w:val="4D1865A3"/>
    <w:rsid w:val="4D6B16DA"/>
    <w:rsid w:val="4DD252B5"/>
    <w:rsid w:val="4E094A4F"/>
    <w:rsid w:val="4E3E6DEE"/>
    <w:rsid w:val="4E7A625A"/>
    <w:rsid w:val="4EDD74E8"/>
    <w:rsid w:val="4F020368"/>
    <w:rsid w:val="4F416B96"/>
    <w:rsid w:val="4F80608F"/>
    <w:rsid w:val="4FC43323"/>
    <w:rsid w:val="501C315F"/>
    <w:rsid w:val="503572C0"/>
    <w:rsid w:val="5052092F"/>
    <w:rsid w:val="50CD311B"/>
    <w:rsid w:val="50DE5510"/>
    <w:rsid w:val="510C31D4"/>
    <w:rsid w:val="511D4F82"/>
    <w:rsid w:val="51B3364F"/>
    <w:rsid w:val="52627BBF"/>
    <w:rsid w:val="52B17E88"/>
    <w:rsid w:val="53241B70"/>
    <w:rsid w:val="534704F3"/>
    <w:rsid w:val="53C23913"/>
    <w:rsid w:val="54482775"/>
    <w:rsid w:val="54710E45"/>
    <w:rsid w:val="54BA6AA3"/>
    <w:rsid w:val="54CF254E"/>
    <w:rsid w:val="54E83610"/>
    <w:rsid w:val="55147C7A"/>
    <w:rsid w:val="55AD03B6"/>
    <w:rsid w:val="561C5C67"/>
    <w:rsid w:val="566B3D9C"/>
    <w:rsid w:val="567C6706"/>
    <w:rsid w:val="57DD440B"/>
    <w:rsid w:val="57F24E68"/>
    <w:rsid w:val="58BB30A2"/>
    <w:rsid w:val="58EF4377"/>
    <w:rsid w:val="58F447C2"/>
    <w:rsid w:val="594E12AA"/>
    <w:rsid w:val="59537B91"/>
    <w:rsid w:val="59C15A6E"/>
    <w:rsid w:val="59E43425"/>
    <w:rsid w:val="5A3317D1"/>
    <w:rsid w:val="5A56101C"/>
    <w:rsid w:val="5A9F0C15"/>
    <w:rsid w:val="5AB3021C"/>
    <w:rsid w:val="5B1C4013"/>
    <w:rsid w:val="5B431FA9"/>
    <w:rsid w:val="5B432946"/>
    <w:rsid w:val="5BD73D3B"/>
    <w:rsid w:val="5C1473E0"/>
    <w:rsid w:val="5CB70498"/>
    <w:rsid w:val="5D121B72"/>
    <w:rsid w:val="5D5C530A"/>
    <w:rsid w:val="5D803576"/>
    <w:rsid w:val="5DA01B06"/>
    <w:rsid w:val="5E137A36"/>
    <w:rsid w:val="5E5553C7"/>
    <w:rsid w:val="5EB804F7"/>
    <w:rsid w:val="5F4104EC"/>
    <w:rsid w:val="607C3927"/>
    <w:rsid w:val="60B151FE"/>
    <w:rsid w:val="60E6759D"/>
    <w:rsid w:val="60FB46CB"/>
    <w:rsid w:val="611D2893"/>
    <w:rsid w:val="612B684E"/>
    <w:rsid w:val="61527712"/>
    <w:rsid w:val="619743F4"/>
    <w:rsid w:val="62A750F4"/>
    <w:rsid w:val="63071A4D"/>
    <w:rsid w:val="63176E75"/>
    <w:rsid w:val="631D0C18"/>
    <w:rsid w:val="637A5646"/>
    <w:rsid w:val="639A01CB"/>
    <w:rsid w:val="63F4603A"/>
    <w:rsid w:val="63FA4B54"/>
    <w:rsid w:val="64093F70"/>
    <w:rsid w:val="64191A38"/>
    <w:rsid w:val="651346D9"/>
    <w:rsid w:val="654E74BF"/>
    <w:rsid w:val="65923B91"/>
    <w:rsid w:val="66017F6E"/>
    <w:rsid w:val="665931F4"/>
    <w:rsid w:val="668F7D8F"/>
    <w:rsid w:val="66D90E30"/>
    <w:rsid w:val="6740552D"/>
    <w:rsid w:val="676E5BF7"/>
    <w:rsid w:val="678C2521"/>
    <w:rsid w:val="67E1286C"/>
    <w:rsid w:val="68110444"/>
    <w:rsid w:val="68352BB8"/>
    <w:rsid w:val="685F3791"/>
    <w:rsid w:val="68AB6990"/>
    <w:rsid w:val="69173724"/>
    <w:rsid w:val="69A2602B"/>
    <w:rsid w:val="6AA40BD1"/>
    <w:rsid w:val="6B4C44A1"/>
    <w:rsid w:val="6B80239C"/>
    <w:rsid w:val="6BAA566B"/>
    <w:rsid w:val="6BEB5FCA"/>
    <w:rsid w:val="6C5C6966"/>
    <w:rsid w:val="6C5D448C"/>
    <w:rsid w:val="6D4E508A"/>
    <w:rsid w:val="6D582B5E"/>
    <w:rsid w:val="6DFA6436"/>
    <w:rsid w:val="6E2C2368"/>
    <w:rsid w:val="6F257305"/>
    <w:rsid w:val="6F9B77A5"/>
    <w:rsid w:val="70162D6E"/>
    <w:rsid w:val="704045D3"/>
    <w:rsid w:val="71726A12"/>
    <w:rsid w:val="72223297"/>
    <w:rsid w:val="728409C4"/>
    <w:rsid w:val="728C1627"/>
    <w:rsid w:val="72E2393D"/>
    <w:rsid w:val="73B75D5F"/>
    <w:rsid w:val="74231ACE"/>
    <w:rsid w:val="748553D3"/>
    <w:rsid w:val="74B86703"/>
    <w:rsid w:val="74C01A5C"/>
    <w:rsid w:val="74F57957"/>
    <w:rsid w:val="76527987"/>
    <w:rsid w:val="769D7042"/>
    <w:rsid w:val="773E295A"/>
    <w:rsid w:val="77B57F4F"/>
    <w:rsid w:val="77D15D7E"/>
    <w:rsid w:val="78091B5E"/>
    <w:rsid w:val="785726D7"/>
    <w:rsid w:val="785B5D23"/>
    <w:rsid w:val="78AD248D"/>
    <w:rsid w:val="78E219EA"/>
    <w:rsid w:val="79D66615"/>
    <w:rsid w:val="7A0B5527"/>
    <w:rsid w:val="7A9814B1"/>
    <w:rsid w:val="7B5353D8"/>
    <w:rsid w:val="7C224DAA"/>
    <w:rsid w:val="7C907F65"/>
    <w:rsid w:val="7C98391B"/>
    <w:rsid w:val="7D4A0A5C"/>
    <w:rsid w:val="7D6323B4"/>
    <w:rsid w:val="7D64046A"/>
    <w:rsid w:val="7D747F24"/>
    <w:rsid w:val="7D8A04D8"/>
    <w:rsid w:val="7DD763EB"/>
    <w:rsid w:val="7E064983"/>
    <w:rsid w:val="7E5D61B0"/>
    <w:rsid w:val="7EAD12A3"/>
    <w:rsid w:val="7F1906E6"/>
    <w:rsid w:val="7FB56661"/>
    <w:rsid w:val="7FCD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00" w:line="440" w:lineRule="exact"/>
      <w:ind w:right="-2" w:rightChars="-1"/>
    </w:pPr>
    <w:rPr>
      <w:rFonts w:ascii="宋体" w:hAnsi="宋体"/>
      <w:sz w:val="28"/>
    </w:rPr>
  </w:style>
  <w:style w:type="paragraph" w:styleId="3">
    <w:name w:val="annotation text"/>
    <w:basedOn w:val="1"/>
    <w:qFormat/>
    <w:uiPriority w:val="0"/>
    <w:pPr>
      <w:jc w:val="left"/>
    </w:pPr>
  </w:style>
  <w:style w:type="paragraph" w:styleId="4">
    <w:name w:val="Body Text Indent"/>
    <w:basedOn w:val="1"/>
    <w:next w:val="5"/>
    <w:autoRedefine/>
    <w:qFormat/>
    <w:uiPriority w:val="0"/>
    <w:pPr>
      <w:spacing w:line="360" w:lineRule="auto"/>
      <w:ind w:firstLine="570"/>
    </w:pPr>
    <w:rPr>
      <w:sz w:val="24"/>
    </w:rPr>
  </w:style>
  <w:style w:type="paragraph" w:styleId="5">
    <w:name w:val="Body Text First Indent 2"/>
    <w:basedOn w:val="1"/>
    <w:next w:val="1"/>
    <w:autoRedefine/>
    <w:qFormat/>
    <w:uiPriority w:val="99"/>
    <w:pPr>
      <w:spacing w:after="120"/>
      <w:ind w:left="420" w:leftChars="200" w:firstLine="420"/>
    </w:pPr>
    <w:rPr>
      <w:color w:val="000000"/>
      <w:sz w:val="20"/>
    </w:rPr>
  </w:style>
  <w:style w:type="paragraph" w:styleId="6">
    <w:name w:val="Plain Text"/>
    <w:basedOn w:val="1"/>
    <w:qFormat/>
    <w:uiPriority w:val="0"/>
    <w:rPr>
      <w:rFonts w:ascii="宋体" w:hAnsi="Courier New"/>
      <w:szCs w:val="24"/>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2"/>
    <w:autoRedefine/>
    <w:qFormat/>
    <w:uiPriority w:val="0"/>
    <w:pPr>
      <w:ind w:firstLine="420" w:firstLineChars="100"/>
    </w:pPr>
  </w:style>
  <w:style w:type="character" w:styleId="13">
    <w:name w:val="Strong"/>
    <w:basedOn w:val="12"/>
    <w:autoRedefine/>
    <w:qFormat/>
    <w:uiPriority w:val="22"/>
    <w:rPr>
      <w:b/>
      <w:bCs/>
    </w:rPr>
  </w:style>
  <w:style w:type="character" w:styleId="14">
    <w:name w:val="page number"/>
    <w:qFormat/>
    <w:uiPriority w:val="0"/>
  </w:style>
  <w:style w:type="character" w:styleId="15">
    <w:name w:val="Hyperlink"/>
    <w:basedOn w:val="12"/>
    <w:autoRedefine/>
    <w:qFormat/>
    <w:uiPriority w:val="0"/>
    <w:rPr>
      <w:color w:val="0000FF"/>
      <w:u w:val="single"/>
    </w:rPr>
  </w:style>
  <w:style w:type="paragraph" w:customStyle="1" w:styleId="16">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6756</Words>
  <Characters>7036</Characters>
  <Lines>19</Lines>
  <Paragraphs>5</Paragraphs>
  <TotalTime>8</TotalTime>
  <ScaleCrop>false</ScaleCrop>
  <LinksUpToDate>false</LinksUpToDate>
  <CharactersWithSpaces>7277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2024-02-01T03:09:00Z</dcterms:created>
  <dc:creator>糖果</dc:creator>
  <cp:lastModifiedBy>刘潍</cp:lastModifiedBy>
  <dcterms:modified xsi:type="dcterms:W3CDTF">2025-11-19T07:42:55Z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9B9C6B7CE4AC498283557DF1AC09326F_13</vt:lpwstr>
  </property>
  <property fmtid="{D5CDD505-2E9C-101B-9397-08002B2CF9AE}" pid="4" name="KSOTemplateDocerSaveRecord">
    <vt:lpwstr>eyJoZGlkIjoiYTE4MzE1OWFiMzQ1MzMwNDUyOTE5YTU4YTUwMmE4MDAiLCJ1c2VySWQiOiI5MDAzMzg2MzcifQ==</vt:lpwstr>
  </property>
</Properties>
</file>