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10AAC">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Arial Unicode MS" w:hAnsi="Times New Roman" w:eastAsia="Arial Unicode MS" w:cs="Arial Unicode MS"/>
          <w:bCs/>
          <w:color w:val="auto"/>
          <w:kern w:val="44"/>
          <w:sz w:val="44"/>
          <w:szCs w:val="44"/>
          <w:highlight w:val="none"/>
          <w:lang w:bidi="ar"/>
        </w:rPr>
      </w:pPr>
      <w:r>
        <w:rPr>
          <w:rFonts w:hint="eastAsia" w:ascii="Arial Unicode MS" w:hAnsi="Times New Roman" w:eastAsia="Arial Unicode MS" w:cs="Arial Unicode MS"/>
          <w:bCs/>
          <w:color w:val="auto"/>
          <w:kern w:val="44"/>
          <w:sz w:val="44"/>
          <w:szCs w:val="44"/>
          <w:highlight w:val="none"/>
          <w:lang w:bidi="ar"/>
        </w:rPr>
        <w:t>招标公告</w:t>
      </w:r>
    </w:p>
    <w:p w14:paraId="6D1670B4">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一、招标条件</w:t>
      </w:r>
      <w:r>
        <w:rPr>
          <w:rFonts w:hint="eastAsia" w:ascii="黑体" w:hAnsi="宋体" w:eastAsia="黑体" w:cs="黑体"/>
          <w:bCs/>
          <w:color w:val="auto"/>
          <w:sz w:val="32"/>
          <w:szCs w:val="32"/>
          <w:highlight w:val="none"/>
          <w:lang w:bidi="ar"/>
        </w:rPr>
        <w:tab/>
      </w:r>
    </w:p>
    <w:p w14:paraId="273AD71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single"/>
          <w:lang w:eastAsia="zh-CN"/>
        </w:rPr>
        <w:t>东风地块消防改造工程项目</w:t>
      </w:r>
      <w:r>
        <w:rPr>
          <w:rFonts w:hint="eastAsia" w:ascii="仿宋_GB2312" w:hAnsi="仿宋_GB2312" w:eastAsia="仿宋_GB2312" w:cs="仿宋_GB2312"/>
          <w:color w:val="auto"/>
          <w:kern w:val="0"/>
          <w:sz w:val="32"/>
          <w:szCs w:val="32"/>
          <w:highlight w:val="none"/>
        </w:rPr>
        <w:t>已批准建设，招标人为</w:t>
      </w:r>
      <w:r>
        <w:rPr>
          <w:rFonts w:hint="eastAsia" w:ascii="仿宋_GB2312" w:hAnsi="仿宋_GB2312" w:eastAsia="仿宋_GB2312" w:cs="仿宋_GB2312"/>
          <w:color w:val="auto"/>
          <w:sz w:val="32"/>
          <w:szCs w:val="32"/>
          <w:highlight w:val="none"/>
          <w:u w:val="single"/>
          <w:lang w:eastAsia="zh-CN"/>
        </w:rPr>
        <w:t>常州产城智慧运营管理有限公司</w:t>
      </w:r>
      <w:r>
        <w:rPr>
          <w:rFonts w:hint="eastAsia" w:ascii="仿宋_GB2312" w:hAnsi="仿宋_GB2312" w:eastAsia="仿宋_GB2312" w:cs="仿宋_GB2312"/>
          <w:color w:val="auto"/>
          <w:kern w:val="0"/>
          <w:sz w:val="32"/>
          <w:szCs w:val="32"/>
          <w:highlight w:val="none"/>
        </w:rPr>
        <w:t>，建设资金来自</w:t>
      </w:r>
      <w:r>
        <w:rPr>
          <w:rFonts w:hint="eastAsia" w:ascii="仿宋_GB2312" w:hAnsi="仿宋_GB2312" w:eastAsia="仿宋_GB2312" w:cs="仿宋_GB2312"/>
          <w:color w:val="auto"/>
          <w:kern w:val="0"/>
          <w:sz w:val="32"/>
          <w:szCs w:val="32"/>
          <w:highlight w:val="none"/>
          <w:u w:val="single"/>
          <w:lang w:val="en-US" w:eastAsia="zh-CN"/>
        </w:rPr>
        <w:t>自筹</w:t>
      </w:r>
      <w:r>
        <w:rPr>
          <w:rFonts w:hint="eastAsia" w:ascii="仿宋_GB2312" w:hAnsi="仿宋_GB2312" w:eastAsia="仿宋_GB2312" w:cs="仿宋_GB2312"/>
          <w:color w:val="auto"/>
          <w:kern w:val="0"/>
          <w:sz w:val="32"/>
          <w:szCs w:val="32"/>
          <w:highlight w:val="none"/>
        </w:rPr>
        <w:t>，项目出资比例为</w:t>
      </w:r>
      <w:r>
        <w:rPr>
          <w:rFonts w:hint="eastAsia" w:ascii="仿宋_GB2312" w:hAnsi="仿宋_GB2312" w:eastAsia="仿宋_GB2312" w:cs="仿宋_GB2312"/>
          <w:color w:val="auto"/>
          <w:kern w:val="0"/>
          <w:sz w:val="32"/>
          <w:szCs w:val="32"/>
          <w:highlight w:val="none"/>
          <w:u w:val="single"/>
        </w:rPr>
        <w:t>国有</w:t>
      </w:r>
      <w:r>
        <w:rPr>
          <w:rFonts w:hint="eastAsia" w:ascii="仿宋_GB2312" w:hAnsi="仿宋_GB2312" w:eastAsia="仿宋_GB2312" w:cs="仿宋_GB2312"/>
          <w:color w:val="auto"/>
          <w:sz w:val="32"/>
          <w:szCs w:val="32"/>
          <w:highlight w:val="none"/>
          <w:u w:val="single"/>
        </w:rPr>
        <w:t>资金</w:t>
      </w:r>
      <w:r>
        <w:rPr>
          <w:rFonts w:hint="eastAsia" w:ascii="仿宋_GB2312" w:hAnsi="仿宋_GB2312" w:eastAsia="仿宋_GB2312" w:cs="仿宋_GB2312"/>
          <w:color w:val="auto"/>
          <w:kern w:val="0"/>
          <w:sz w:val="32"/>
          <w:szCs w:val="32"/>
          <w:highlight w:val="none"/>
          <w:u w:val="single"/>
        </w:rPr>
        <w:t>：100 %</w:t>
      </w:r>
      <w:r>
        <w:rPr>
          <w:rFonts w:hint="eastAsia" w:ascii="仿宋_GB2312" w:hAnsi="仿宋_GB2312" w:eastAsia="仿宋_GB2312" w:cs="仿宋_GB2312"/>
          <w:color w:val="auto"/>
          <w:kern w:val="0"/>
          <w:sz w:val="32"/>
          <w:szCs w:val="32"/>
          <w:highlight w:val="none"/>
        </w:rPr>
        <w:t>。项目已具备招标条件，现对该</w:t>
      </w:r>
      <w:bookmarkStart w:id="3" w:name="_GoBack"/>
      <w:bookmarkEnd w:id="3"/>
      <w:r>
        <w:rPr>
          <w:rFonts w:hint="eastAsia" w:ascii="仿宋_GB2312" w:hAnsi="仿宋_GB2312" w:eastAsia="仿宋_GB2312" w:cs="仿宋_GB2312"/>
          <w:color w:val="auto"/>
          <w:kern w:val="0"/>
          <w:sz w:val="32"/>
          <w:szCs w:val="32"/>
          <w:highlight w:val="none"/>
          <w:u w:val="single"/>
          <w:lang w:eastAsia="zh-CN"/>
        </w:rPr>
        <w:t>东风地块消防改造工程项目</w:t>
      </w:r>
      <w:r>
        <w:rPr>
          <w:rFonts w:hint="eastAsia" w:ascii="仿宋_GB2312" w:hAnsi="仿宋_GB2312" w:eastAsia="仿宋_GB2312" w:cs="仿宋_GB2312"/>
          <w:color w:val="auto"/>
          <w:kern w:val="0"/>
          <w:sz w:val="32"/>
          <w:szCs w:val="32"/>
          <w:highlight w:val="none"/>
        </w:rPr>
        <w:t>施工进行</w:t>
      </w:r>
      <w:r>
        <w:rPr>
          <w:rFonts w:hint="eastAsia" w:ascii="仿宋_GB2312" w:hAnsi="仿宋_GB2312" w:eastAsia="仿宋_GB2312" w:cs="仿宋_GB2312"/>
          <w:color w:val="auto"/>
          <w:kern w:val="0"/>
          <w:sz w:val="32"/>
          <w:szCs w:val="32"/>
          <w:highlight w:val="none"/>
          <w:u w:val="single"/>
        </w:rPr>
        <w:t>公开</w:t>
      </w:r>
      <w:r>
        <w:rPr>
          <w:rFonts w:hint="eastAsia" w:ascii="仿宋_GB2312" w:hAnsi="仿宋_GB2312" w:eastAsia="仿宋_GB2312" w:cs="仿宋_GB2312"/>
          <w:color w:val="auto"/>
          <w:kern w:val="0"/>
          <w:sz w:val="32"/>
          <w:szCs w:val="32"/>
          <w:highlight w:val="none"/>
        </w:rPr>
        <w:t xml:space="preserve">招标，特邀请有兴趣的潜在投标人参加投标。 </w:t>
      </w:r>
    </w:p>
    <w:p w14:paraId="6C49218A">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二、项目概况与招标范围</w:t>
      </w:r>
    </w:p>
    <w:p w14:paraId="78C0F43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2.1项目概况</w:t>
      </w:r>
    </w:p>
    <w:p w14:paraId="56D5522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Cs/>
          <w:color w:val="auto"/>
          <w:sz w:val="32"/>
          <w:szCs w:val="32"/>
          <w:highlight w:val="none"/>
        </w:rPr>
        <w:t>2.1.1建设地点：</w:t>
      </w:r>
      <w:r>
        <w:rPr>
          <w:rFonts w:hint="eastAsia" w:ascii="仿宋_GB2312" w:hAnsi="仿宋_GB2312" w:eastAsia="仿宋_GB2312" w:cs="仿宋_GB2312"/>
          <w:bCs/>
          <w:color w:val="auto"/>
          <w:sz w:val="32"/>
          <w:szCs w:val="32"/>
          <w:highlight w:val="none"/>
          <w:u w:val="none"/>
          <w:lang w:val="en-US" w:eastAsia="zh-CN"/>
        </w:rPr>
        <w:t>常州市新北区通江北路29号</w:t>
      </w:r>
      <w:r>
        <w:rPr>
          <w:rFonts w:hint="eastAsia" w:ascii="仿宋_GB2312" w:hAnsi="仿宋_GB2312" w:eastAsia="仿宋_GB2312" w:cs="仿宋_GB2312"/>
          <w:color w:val="auto"/>
          <w:kern w:val="0"/>
          <w:sz w:val="32"/>
          <w:szCs w:val="32"/>
          <w:highlight w:val="none"/>
          <w:u w:val="none"/>
        </w:rPr>
        <w:t>。</w:t>
      </w:r>
    </w:p>
    <w:p w14:paraId="2A2CC92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2.1.</w:t>
      </w:r>
      <w:r>
        <w:rPr>
          <w:rFonts w:hint="eastAsia" w:ascii="仿宋_GB2312" w:hAnsi="仿宋_GB2312" w:eastAsia="仿宋_GB2312" w:cs="仿宋_GB2312"/>
          <w:bCs/>
          <w:color w:val="auto"/>
          <w:sz w:val="32"/>
          <w:szCs w:val="32"/>
          <w:highlight w:val="none"/>
          <w:u w:val="none"/>
          <w:lang w:val="en-US" w:eastAsia="zh-CN"/>
        </w:rPr>
        <w:t>2</w:t>
      </w:r>
      <w:r>
        <w:rPr>
          <w:rFonts w:hint="eastAsia" w:ascii="仿宋_GB2312" w:hAnsi="仿宋_GB2312" w:eastAsia="仿宋_GB2312" w:cs="仿宋_GB2312"/>
          <w:bCs/>
          <w:color w:val="auto"/>
          <w:sz w:val="32"/>
          <w:szCs w:val="32"/>
          <w:highlight w:val="none"/>
          <w:u w:val="none"/>
        </w:rPr>
        <w:t>本标段合同估算价：</w:t>
      </w:r>
      <w:r>
        <w:rPr>
          <w:rFonts w:hint="eastAsia" w:ascii="仿宋_GB2312" w:hAnsi="仿宋_GB2312" w:eastAsia="仿宋_GB2312" w:cs="仿宋_GB2312"/>
          <w:bCs/>
          <w:color w:val="auto"/>
          <w:sz w:val="32"/>
          <w:szCs w:val="32"/>
          <w:highlight w:val="none"/>
          <w:u w:val="none"/>
          <w:lang w:val="en-US" w:eastAsia="zh-CN"/>
        </w:rPr>
        <w:t>421747</w:t>
      </w:r>
      <w:r>
        <w:rPr>
          <w:rFonts w:hint="eastAsia" w:ascii="仿宋_GB2312" w:hAnsi="仿宋_GB2312" w:eastAsia="仿宋_GB2312" w:cs="仿宋_GB2312"/>
          <w:bCs/>
          <w:color w:val="auto"/>
          <w:sz w:val="32"/>
          <w:szCs w:val="32"/>
          <w:highlight w:val="none"/>
          <w:u w:val="none"/>
          <w:lang w:eastAsia="zh-CN"/>
        </w:rPr>
        <w:t>元</w:t>
      </w:r>
    </w:p>
    <w:p w14:paraId="74E149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2.1.</w:t>
      </w:r>
      <w:r>
        <w:rPr>
          <w:rFonts w:hint="eastAsia" w:ascii="仿宋_GB2312" w:hAnsi="仿宋_GB2312" w:eastAsia="仿宋_GB2312" w:cs="仿宋_GB2312"/>
          <w:bCs/>
          <w:color w:val="auto"/>
          <w:sz w:val="32"/>
          <w:szCs w:val="32"/>
          <w:highlight w:val="none"/>
          <w:u w:val="none"/>
          <w:lang w:val="en-US" w:eastAsia="zh-CN"/>
        </w:rPr>
        <w:t>3</w:t>
      </w:r>
      <w:r>
        <w:rPr>
          <w:rFonts w:hint="eastAsia" w:ascii="仿宋_GB2312" w:hAnsi="仿宋_GB2312" w:eastAsia="仿宋_GB2312" w:cs="仿宋_GB2312"/>
          <w:bCs/>
          <w:color w:val="auto"/>
          <w:sz w:val="32"/>
          <w:szCs w:val="32"/>
          <w:highlight w:val="none"/>
          <w:u w:val="none"/>
        </w:rPr>
        <w:t>工期要求：</w:t>
      </w:r>
      <w:r>
        <w:rPr>
          <w:rFonts w:hint="eastAsia" w:ascii="仿宋_GB2312" w:hAnsi="仿宋_GB2312" w:eastAsia="仿宋_GB2312" w:cs="仿宋_GB2312"/>
          <w:bCs/>
          <w:color w:val="auto"/>
          <w:sz w:val="32"/>
          <w:szCs w:val="32"/>
          <w:highlight w:val="none"/>
          <w:u w:val="none"/>
          <w:lang w:val="en-US" w:eastAsia="zh-CN"/>
        </w:rPr>
        <w:t>60</w:t>
      </w:r>
      <w:r>
        <w:rPr>
          <w:rFonts w:hint="eastAsia" w:ascii="仿宋_GB2312" w:hAnsi="仿宋_GB2312" w:eastAsia="仿宋_GB2312" w:cs="仿宋_GB2312"/>
          <w:bCs/>
          <w:color w:val="auto"/>
          <w:sz w:val="32"/>
          <w:szCs w:val="32"/>
          <w:highlight w:val="none"/>
          <w:u w:val="none"/>
          <w:lang w:eastAsia="zh-CN"/>
        </w:rPr>
        <w:t>日历天</w:t>
      </w:r>
    </w:p>
    <w:p w14:paraId="2E2AA5A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2.2招标范围：</w:t>
      </w:r>
      <w:r>
        <w:rPr>
          <w:rFonts w:hint="eastAsia" w:ascii="仿宋_GB2312" w:hAnsi="仿宋_GB2312" w:eastAsia="仿宋_GB2312" w:cs="仿宋_GB2312"/>
          <w:color w:val="auto"/>
          <w:sz w:val="32"/>
          <w:szCs w:val="32"/>
          <w:highlight w:val="none"/>
          <w:u w:val="none"/>
        </w:rPr>
        <w:t>工程量清单范围内全部工程</w:t>
      </w:r>
      <w:r>
        <w:rPr>
          <w:rFonts w:hint="eastAsia" w:ascii="仿宋_GB2312" w:hAnsi="仿宋_GB2312" w:eastAsia="仿宋_GB2312" w:cs="仿宋_GB2312"/>
          <w:bCs/>
          <w:color w:val="auto"/>
          <w:sz w:val="32"/>
          <w:szCs w:val="32"/>
          <w:highlight w:val="none"/>
          <w:u w:val="none"/>
        </w:rPr>
        <w:t>。</w:t>
      </w:r>
    </w:p>
    <w:p w14:paraId="08F0FA66">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三、投标人资格条件</w:t>
      </w:r>
    </w:p>
    <w:p w14:paraId="270256D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3.1投标人须具备</w:t>
      </w:r>
      <w:r>
        <w:rPr>
          <w:rFonts w:hint="eastAsia" w:ascii="仿宋_GB2312" w:hAnsi="仿宋_GB2312" w:eastAsia="仿宋_GB2312" w:cs="仿宋_GB2312"/>
          <w:color w:val="auto"/>
          <w:kern w:val="0"/>
          <w:sz w:val="32"/>
          <w:szCs w:val="32"/>
          <w:highlight w:val="none"/>
          <w:u w:val="single"/>
          <w:lang w:eastAsia="zh-CN"/>
        </w:rPr>
        <w:t>消防设施工程专业承包二级及以上</w:t>
      </w:r>
      <w:r>
        <w:rPr>
          <w:rFonts w:hint="eastAsia" w:ascii="仿宋_GB2312" w:hAnsi="仿宋_GB2312" w:eastAsia="仿宋_GB2312" w:cs="仿宋_GB2312"/>
          <w:color w:val="auto"/>
          <w:kern w:val="0"/>
          <w:sz w:val="32"/>
          <w:szCs w:val="32"/>
          <w:highlight w:val="none"/>
          <w:u w:val="single"/>
        </w:rPr>
        <w:t>资质</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rPr>
        <w:t>并在人员、设备、资金等方面具有相应的施工能力。</w:t>
      </w:r>
    </w:p>
    <w:p w14:paraId="628364F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3.2投标人拟派项目负责人须具备</w:t>
      </w:r>
      <w:r>
        <w:rPr>
          <w:rFonts w:hint="eastAsia" w:ascii="仿宋_GB2312" w:hAnsi="仿宋_GB2312" w:eastAsia="仿宋_GB2312" w:cs="仿宋_GB2312"/>
          <w:b w:val="0"/>
          <w:bCs w:val="0"/>
          <w:color w:val="auto"/>
          <w:kern w:val="0"/>
          <w:sz w:val="32"/>
          <w:szCs w:val="32"/>
          <w:highlight w:val="none"/>
          <w:u w:val="single"/>
          <w:lang w:eastAsia="zh-CN"/>
        </w:rPr>
        <w:t>机电工程二级及以上注册建造师</w:t>
      </w:r>
      <w:r>
        <w:rPr>
          <w:rFonts w:hint="eastAsia" w:ascii="仿宋_GB2312" w:hAnsi="仿宋_GB2312" w:eastAsia="仿宋_GB2312" w:cs="仿宋_GB2312"/>
          <w:color w:val="auto"/>
          <w:kern w:val="0"/>
          <w:sz w:val="32"/>
          <w:szCs w:val="32"/>
          <w:highlight w:val="none"/>
        </w:rPr>
        <w:t>（资格）。</w:t>
      </w:r>
    </w:p>
    <w:p w14:paraId="5071A53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本次招标</w:t>
      </w:r>
      <w:r>
        <w:rPr>
          <w:rFonts w:hint="eastAsia" w:ascii="仿宋_GB2312" w:hAnsi="仿宋_GB2312" w:eastAsia="仿宋_GB2312" w:cs="仿宋_GB2312"/>
          <w:color w:val="auto"/>
          <w:kern w:val="0"/>
          <w:sz w:val="32"/>
          <w:szCs w:val="32"/>
          <w:highlight w:val="none"/>
          <w:u w:val="single"/>
          <w:lang w:val="en-US" w:eastAsia="zh-CN"/>
        </w:rPr>
        <w:t>不</w:t>
      </w:r>
      <w:r>
        <w:rPr>
          <w:rFonts w:hint="eastAsia" w:ascii="仿宋_GB2312" w:hAnsi="仿宋_GB2312" w:eastAsia="仿宋_GB2312" w:cs="仿宋_GB2312"/>
          <w:color w:val="auto"/>
          <w:kern w:val="0"/>
          <w:sz w:val="32"/>
          <w:szCs w:val="32"/>
          <w:highlight w:val="none"/>
          <w:u w:val="single"/>
        </w:rPr>
        <w:t>接受</w:t>
      </w:r>
      <w:r>
        <w:rPr>
          <w:rFonts w:hint="eastAsia" w:ascii="仿宋_GB2312" w:hAnsi="仿宋_GB2312" w:eastAsia="仿宋_GB2312" w:cs="仿宋_GB2312"/>
          <w:color w:val="auto"/>
          <w:kern w:val="0"/>
          <w:sz w:val="32"/>
          <w:szCs w:val="32"/>
          <w:highlight w:val="none"/>
        </w:rPr>
        <w:t>（接受/不接受）联合体投标。</w:t>
      </w:r>
    </w:p>
    <w:p w14:paraId="2D5D9A14">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四、招标文件的获取</w:t>
      </w:r>
    </w:p>
    <w:p w14:paraId="17676147">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4.1投标人应首先注册成为E交易平台网站会员，详见注册指南。</w:t>
      </w:r>
    </w:p>
    <w:p w14:paraId="25C0DE57">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4.2投标人按系统提示交纳平台服务费用后在规定的时间内下载招标文件。</w:t>
      </w:r>
    </w:p>
    <w:p w14:paraId="2DEF1443">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4.3平台服务费：按系统提示信息操作</w:t>
      </w:r>
    </w:p>
    <w:p w14:paraId="6E66D0CF">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收款单位：江苏易交易信息科技有限公司</w:t>
      </w:r>
    </w:p>
    <w:p w14:paraId="18D7863F">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平台服务费发票由江苏易交易信息科技有限公司开具。</w:t>
      </w:r>
    </w:p>
    <w:p w14:paraId="7708F06F">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4.4招标文件下载时间：2025年</w:t>
      </w:r>
      <w:r>
        <w:rPr>
          <w:rFonts w:hint="eastAsia" w:ascii="仿宋_GB2312" w:hAnsi="仿宋_GB2312" w:eastAsia="仿宋_GB2312" w:cs="仿宋_GB2312"/>
          <w:color w:val="auto"/>
          <w:kern w:val="0"/>
          <w:sz w:val="32"/>
          <w:szCs w:val="32"/>
          <w:highlight w:val="none"/>
          <w:lang w:eastAsia="zh-CN"/>
        </w:rPr>
        <w:t>12月19</w:t>
      </w:r>
      <w:r>
        <w:rPr>
          <w:rFonts w:hint="eastAsia" w:ascii="仿宋_GB2312" w:hAnsi="仿宋_GB2312" w:eastAsia="仿宋_GB2312" w:cs="仿宋_GB2312"/>
          <w:color w:val="auto"/>
          <w:kern w:val="0"/>
          <w:sz w:val="32"/>
          <w:szCs w:val="32"/>
          <w:highlight w:val="none"/>
        </w:rPr>
        <w:t>日至2025年</w:t>
      </w:r>
      <w:r>
        <w:rPr>
          <w:rFonts w:hint="eastAsia" w:ascii="仿宋_GB2312" w:hAnsi="仿宋_GB2312" w:eastAsia="仿宋_GB2312" w:cs="仿宋_GB2312"/>
          <w:color w:val="auto"/>
          <w:kern w:val="0"/>
          <w:sz w:val="32"/>
          <w:szCs w:val="32"/>
          <w:highlight w:val="none"/>
          <w:lang w:eastAsia="zh-CN"/>
        </w:rPr>
        <w:t>12月26</w:t>
      </w:r>
      <w:r>
        <w:rPr>
          <w:rFonts w:hint="eastAsia" w:ascii="仿宋_GB2312" w:hAnsi="仿宋_GB2312" w:eastAsia="仿宋_GB2312" w:cs="仿宋_GB2312"/>
          <w:color w:val="auto"/>
          <w:kern w:val="0"/>
          <w:sz w:val="32"/>
          <w:szCs w:val="32"/>
          <w:highlight w:val="none"/>
        </w:rPr>
        <w:t>日</w:t>
      </w:r>
    </w:p>
    <w:p w14:paraId="156DF5F9">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五、投标保证金有关事项</w:t>
      </w:r>
    </w:p>
    <w:p w14:paraId="439FEA4C">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5.1投标保证金数额：人民币</w:t>
      </w:r>
      <w:r>
        <w:rPr>
          <w:rFonts w:hint="eastAsia" w:ascii="仿宋_GB2312" w:hAnsi="仿宋_GB2312" w:eastAsia="仿宋_GB2312" w:cs="仿宋_GB2312"/>
          <w:color w:val="auto"/>
          <w:kern w:val="0"/>
          <w:sz w:val="32"/>
          <w:szCs w:val="32"/>
          <w:highlight w:val="none"/>
          <w:lang w:val="en-US" w:eastAsia="zh-CN"/>
        </w:rPr>
        <w:t>捌仟元</w:t>
      </w:r>
      <w:r>
        <w:rPr>
          <w:rFonts w:hint="eastAsia" w:ascii="仿宋_GB2312" w:hAnsi="仿宋_GB2312" w:eastAsia="仿宋_GB2312" w:cs="仿宋_GB2312"/>
          <w:color w:val="auto"/>
          <w:kern w:val="0"/>
          <w:sz w:val="32"/>
          <w:szCs w:val="32"/>
          <w:highlight w:val="none"/>
          <w:lang w:eastAsia="zh-CN"/>
        </w:rPr>
        <w:t>整</w:t>
      </w:r>
    </w:p>
    <w:p w14:paraId="0B3F7A55">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5.2投标保证金到账截止日期：2025年12月30日</w:t>
      </w:r>
    </w:p>
    <w:p w14:paraId="5D9D6526">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5.3投标保证金缴纳方式：按E交易平台提示信息操作</w:t>
      </w:r>
    </w:p>
    <w:p w14:paraId="625C1EEA">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投标人必须通过E交易会员注册账（卡）号自行将投标保证金按规定方式和时间及时足额缴至系统提示的账户并到账（以E交易平台系统到账为准），拒绝以其他方式缴纳，禁止第三方代缴保证金，否则将被视为无效响应，其投标文件将被评标委员会拒绝。</w:t>
      </w:r>
    </w:p>
    <w:p w14:paraId="6F512CBB">
      <w:pPr>
        <w:pStyle w:val="2"/>
        <w:spacing w:after="0" w:line="560" w:lineRule="exact"/>
        <w:ind w:firstLine="640" w:firstLineChars="200"/>
        <w:rPr>
          <w:rFonts w:hint="eastAsia" w:ascii="黑体" w:hAnsi="宋体" w:eastAsia="黑体" w:cs="黑体"/>
          <w:bCs/>
          <w:sz w:val="32"/>
          <w:szCs w:val="32"/>
          <w:lang w:eastAsia="zh-CN" w:bidi="ar"/>
        </w:rPr>
      </w:pPr>
      <w:r>
        <w:rPr>
          <w:rFonts w:hint="eastAsia" w:ascii="黑体" w:hAnsi="宋体" w:eastAsia="黑体" w:cs="黑体"/>
          <w:bCs/>
          <w:sz w:val="32"/>
          <w:szCs w:val="32"/>
          <w:lang w:eastAsia="zh-CN" w:bidi="ar"/>
        </w:rPr>
        <w:t>六、现场踏勘</w:t>
      </w:r>
    </w:p>
    <w:p w14:paraId="23A8D761">
      <w:pPr>
        <w:pStyle w:val="2"/>
        <w:spacing w:after="0" w:line="560" w:lineRule="exact"/>
        <w:ind w:firstLine="632" w:firstLineChars="200"/>
        <w:rPr>
          <w:rFonts w:hint="eastAsia" w:ascii="仿宋_GB2312" w:hAnsi="仿宋_GB2312" w:eastAsia="仿宋_GB2312" w:cs="仿宋_GB2312"/>
          <w:color w:val="000000"/>
          <w:spacing w:val="-2"/>
          <w:sz w:val="32"/>
          <w:szCs w:val="32"/>
          <w:lang w:eastAsia="zh-CN"/>
        </w:rPr>
      </w:pPr>
      <w:r>
        <w:rPr>
          <w:rFonts w:hint="eastAsia" w:ascii="仿宋_GB2312" w:hAnsi="仿宋_GB2312" w:eastAsia="仿宋_GB2312" w:cs="仿宋_GB2312"/>
          <w:color w:val="000000"/>
          <w:spacing w:val="-2"/>
          <w:sz w:val="32"/>
          <w:szCs w:val="32"/>
          <w:lang w:eastAsia="zh-CN"/>
        </w:rPr>
        <w:t>投标人自行踏勘。</w:t>
      </w:r>
    </w:p>
    <w:p w14:paraId="7E6B1577">
      <w:pPr>
        <w:pStyle w:val="2"/>
        <w:spacing w:after="0" w:line="560" w:lineRule="exact"/>
        <w:ind w:firstLine="640" w:firstLineChars="200"/>
        <w:rPr>
          <w:rFonts w:hint="eastAsia" w:ascii="黑体" w:hAnsi="宋体" w:eastAsia="黑体" w:cs="黑体"/>
          <w:bCs/>
          <w:sz w:val="32"/>
          <w:szCs w:val="32"/>
          <w:lang w:eastAsia="zh-CN" w:bidi="ar"/>
        </w:rPr>
      </w:pPr>
      <w:r>
        <w:rPr>
          <w:rFonts w:hint="eastAsia" w:ascii="黑体" w:hAnsi="宋体" w:eastAsia="黑体" w:cs="黑体"/>
          <w:bCs/>
          <w:sz w:val="32"/>
          <w:szCs w:val="32"/>
          <w:lang w:eastAsia="zh-CN" w:bidi="ar"/>
        </w:rPr>
        <w:t>七、答疑时间</w:t>
      </w:r>
    </w:p>
    <w:p w14:paraId="60928FAF">
      <w:pPr>
        <w:autoSpaceDE w:val="0"/>
        <w:adjustRightInd w:val="0"/>
        <w:snapToGrid w:val="0"/>
        <w:spacing w:line="560" w:lineRule="exact"/>
        <w:ind w:firstLine="640" w:firstLineChars="200"/>
        <w:jc w:val="left"/>
        <w:rPr>
          <w:rFonts w:hint="eastAsia" w:ascii="黑体" w:hAnsi="宋体" w:eastAsia="黑体" w:cs="黑体"/>
          <w:bCs/>
          <w:sz w:val="32"/>
          <w:szCs w:val="32"/>
          <w:lang w:bidi="ar"/>
        </w:rPr>
      </w:pPr>
      <w:r>
        <w:rPr>
          <w:rFonts w:ascii="仿宋_GB2312" w:hAnsi="仿宋_GB2312" w:eastAsia="仿宋_GB2312" w:cs="仿宋_GB2312"/>
          <w:bCs/>
          <w:kern w:val="0"/>
          <w:sz w:val="32"/>
          <w:szCs w:val="32"/>
        </w:rPr>
        <w:t>投标人对招标文件如有疑问，请将疑问于</w:t>
      </w:r>
      <w:r>
        <w:rPr>
          <w:rFonts w:hint="eastAsia" w:ascii="仿宋_GB2312" w:hAnsi="仿宋_GB2312" w:eastAsia="仿宋_GB2312" w:cs="仿宋_GB2312"/>
          <w:bCs/>
          <w:kern w:val="0"/>
          <w:sz w:val="32"/>
          <w:szCs w:val="32"/>
          <w:lang w:eastAsia="zh-CN"/>
        </w:rPr>
        <w:t>下载截止时间</w:t>
      </w:r>
      <w:r>
        <w:rPr>
          <w:rFonts w:ascii="仿宋_GB2312" w:hAnsi="仿宋_GB2312" w:eastAsia="仿宋_GB2312" w:cs="仿宋_GB2312"/>
          <w:bCs/>
          <w:kern w:val="0"/>
          <w:sz w:val="32"/>
          <w:szCs w:val="32"/>
        </w:rPr>
        <w:t>前通过E交易平台向江苏中冠工程咨询有限公司提出</w:t>
      </w:r>
      <w:r>
        <w:rPr>
          <w:rFonts w:hint="eastAsia" w:ascii="仿宋_GB2312" w:hAnsi="仿宋_GB2312" w:eastAsia="仿宋_GB2312" w:cs="仿宋_GB2312"/>
          <w:color w:val="000000"/>
          <w:spacing w:val="-2"/>
          <w:sz w:val="32"/>
          <w:szCs w:val="32"/>
        </w:rPr>
        <w:t>。</w:t>
      </w:r>
    </w:p>
    <w:p w14:paraId="03D090CC">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八</w:t>
      </w:r>
      <w:r>
        <w:rPr>
          <w:rFonts w:hint="eastAsia" w:ascii="黑体" w:hAnsi="宋体" w:eastAsia="黑体" w:cs="黑体"/>
          <w:bCs/>
          <w:color w:val="auto"/>
          <w:sz w:val="32"/>
          <w:szCs w:val="32"/>
          <w:highlight w:val="none"/>
          <w:lang w:bidi="ar"/>
        </w:rPr>
        <w:t>、投标截止时间</w:t>
      </w:r>
    </w:p>
    <w:p w14:paraId="77FA4DC5">
      <w:pPr>
        <w:autoSpaceDE w:val="0"/>
        <w:adjustRightInd w:val="0"/>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8.1投标文件接收时间：2025年</w:t>
      </w:r>
      <w:r>
        <w:rPr>
          <w:rFonts w:hint="eastAsia" w:ascii="仿宋_GB2312" w:hAnsi="仿宋_GB2312" w:eastAsia="仿宋_GB2312" w:cs="仿宋_GB2312"/>
          <w:bCs/>
          <w:kern w:val="0"/>
          <w:sz w:val="32"/>
          <w:szCs w:val="32"/>
          <w:lang w:eastAsia="zh-CN"/>
        </w:rPr>
        <w:t>12月30</w:t>
      </w:r>
      <w:r>
        <w:rPr>
          <w:rFonts w:hint="eastAsia" w:ascii="仿宋_GB2312" w:hAnsi="仿宋_GB2312" w:eastAsia="仿宋_GB2312" w:cs="仿宋_GB2312"/>
          <w:bCs/>
          <w:kern w:val="0"/>
          <w:sz w:val="32"/>
          <w:szCs w:val="32"/>
        </w:rPr>
        <w:t>日13:40-14:00（北京时间）</w:t>
      </w:r>
    </w:p>
    <w:p w14:paraId="207C2EEC">
      <w:pPr>
        <w:autoSpaceDE w:val="0"/>
        <w:adjustRightInd w:val="0"/>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8.2投标截止时间为：2025年</w:t>
      </w:r>
      <w:r>
        <w:rPr>
          <w:rFonts w:hint="eastAsia" w:ascii="仿宋_GB2312" w:hAnsi="仿宋_GB2312" w:eastAsia="仿宋_GB2312" w:cs="仿宋_GB2312"/>
          <w:bCs/>
          <w:kern w:val="0"/>
          <w:sz w:val="32"/>
          <w:szCs w:val="32"/>
          <w:lang w:eastAsia="zh-CN"/>
        </w:rPr>
        <w:t>12月30</w:t>
      </w:r>
      <w:r>
        <w:rPr>
          <w:rFonts w:hint="eastAsia" w:ascii="仿宋_GB2312" w:hAnsi="仿宋_GB2312" w:eastAsia="仿宋_GB2312" w:cs="仿宋_GB2312"/>
          <w:bCs/>
          <w:kern w:val="0"/>
          <w:sz w:val="32"/>
          <w:szCs w:val="32"/>
        </w:rPr>
        <w:t>日14:00（北京时间）</w:t>
      </w:r>
    </w:p>
    <w:p w14:paraId="79F7D4F7">
      <w:pPr>
        <w:autoSpaceDE w:val="0"/>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8.3地点：江苏中冠工程咨询有限公司（常州市新北区龙锦路1259-2号10楼）</w:t>
      </w:r>
    </w:p>
    <w:p w14:paraId="52C8185B">
      <w:pPr>
        <w:pStyle w:val="2"/>
        <w:spacing w:after="0" w:line="560" w:lineRule="exact"/>
        <w:ind w:firstLine="640" w:firstLineChars="200"/>
        <w:rPr>
          <w:rFonts w:hint="eastAsia" w:ascii="黑体" w:hAnsi="宋体" w:eastAsia="黑体" w:cs="黑体"/>
          <w:bCs/>
          <w:sz w:val="32"/>
          <w:szCs w:val="32"/>
          <w:lang w:eastAsia="zh-CN" w:bidi="ar"/>
        </w:rPr>
      </w:pPr>
      <w:r>
        <w:rPr>
          <w:rFonts w:hint="eastAsia" w:ascii="黑体" w:hAnsi="宋体" w:eastAsia="黑体" w:cs="黑体"/>
          <w:bCs/>
          <w:sz w:val="32"/>
          <w:szCs w:val="32"/>
          <w:lang w:eastAsia="zh-CN" w:bidi="ar"/>
        </w:rPr>
        <w:t>九、开标时间</w:t>
      </w:r>
    </w:p>
    <w:p w14:paraId="1A8C1B96">
      <w:pPr>
        <w:widowControl/>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2025年</w:t>
      </w:r>
      <w:r>
        <w:rPr>
          <w:rFonts w:hint="eastAsia" w:ascii="仿宋_GB2312" w:hAnsi="仿宋_GB2312" w:eastAsia="仿宋_GB2312" w:cs="仿宋_GB2312"/>
          <w:bCs/>
          <w:kern w:val="0"/>
          <w:sz w:val="32"/>
          <w:szCs w:val="32"/>
          <w:lang w:eastAsia="zh-CN"/>
        </w:rPr>
        <w:t>12月30</w:t>
      </w:r>
      <w:r>
        <w:rPr>
          <w:rFonts w:hint="eastAsia" w:ascii="仿宋_GB2312" w:hAnsi="仿宋_GB2312" w:eastAsia="仿宋_GB2312" w:cs="仿宋_GB2312"/>
          <w:bCs/>
          <w:kern w:val="0"/>
          <w:sz w:val="32"/>
          <w:szCs w:val="32"/>
        </w:rPr>
        <w:t>日14:00（北京时间）</w:t>
      </w:r>
    </w:p>
    <w:p w14:paraId="1599A41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bCs/>
          <w:color w:val="auto"/>
          <w:sz w:val="32"/>
          <w:szCs w:val="32"/>
          <w:highlight w:val="none"/>
        </w:rPr>
      </w:pPr>
      <w:r>
        <w:rPr>
          <w:rFonts w:hint="eastAsia" w:ascii="黑体" w:hAnsi="宋体" w:eastAsia="黑体" w:cs="黑体"/>
          <w:bCs/>
          <w:color w:val="auto"/>
          <w:sz w:val="32"/>
          <w:szCs w:val="32"/>
          <w:highlight w:val="none"/>
          <w:lang w:val="en-US" w:eastAsia="zh-CN" w:bidi="ar"/>
        </w:rPr>
        <w:t>十</w:t>
      </w:r>
      <w:r>
        <w:rPr>
          <w:rFonts w:hint="eastAsia" w:ascii="黑体" w:hAnsi="宋体" w:eastAsia="黑体" w:cs="黑体"/>
          <w:bCs/>
          <w:color w:val="auto"/>
          <w:sz w:val="32"/>
          <w:szCs w:val="32"/>
          <w:highlight w:val="none"/>
          <w:lang w:bidi="ar"/>
        </w:rPr>
        <w:t>、资格审查</w:t>
      </w:r>
      <w:r>
        <w:rPr>
          <w:rFonts w:hint="eastAsia" w:ascii="仿宋_GB2312" w:hAnsi="仿宋_GB2312" w:eastAsia="仿宋_GB2312" w:cs="仿宋_GB2312"/>
          <w:b/>
          <w:bCs/>
          <w:color w:val="auto"/>
          <w:sz w:val="32"/>
          <w:szCs w:val="32"/>
          <w:highlight w:val="none"/>
        </w:rPr>
        <w:t xml:space="preserve"> </w:t>
      </w:r>
    </w:p>
    <w:p w14:paraId="57229CC4">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b/>
          <w:color w:val="auto"/>
          <w:kern w:val="0"/>
          <w:sz w:val="32"/>
          <w:szCs w:val="32"/>
          <w:highlight w:val="none"/>
          <w:u w:val="single"/>
        </w:rPr>
        <w:t>资格后审（</w:t>
      </w:r>
      <w:r>
        <w:rPr>
          <w:rFonts w:hint="eastAsia" w:ascii="仿宋_GB2312" w:hAnsi="仿宋_GB2312" w:eastAsia="仿宋_GB2312" w:cs="仿宋_GB2312"/>
          <w:b/>
          <w:color w:val="auto"/>
          <w:kern w:val="0"/>
          <w:sz w:val="32"/>
          <w:szCs w:val="32"/>
          <w:highlight w:val="none"/>
          <w:u w:val="single"/>
          <w:lang w:eastAsia="zh-CN"/>
        </w:rPr>
        <w:t>见面开标</w:t>
      </w:r>
      <w:r>
        <w:rPr>
          <w:rFonts w:hint="eastAsia" w:ascii="仿宋_GB2312" w:hAnsi="仿宋_GB2312" w:eastAsia="仿宋_GB2312" w:cs="仿宋_GB2312"/>
          <w:b/>
          <w:color w:val="auto"/>
          <w:kern w:val="0"/>
          <w:sz w:val="32"/>
          <w:szCs w:val="32"/>
          <w:highlight w:val="none"/>
          <w:u w:val="single"/>
        </w:rPr>
        <w:t>）</w:t>
      </w:r>
      <w:r>
        <w:rPr>
          <w:rFonts w:hint="eastAsia" w:ascii="仿宋_GB2312" w:hAnsi="仿宋_GB2312" w:eastAsia="仿宋_GB2312" w:cs="仿宋_GB2312"/>
          <w:bCs/>
          <w:color w:val="auto"/>
          <w:kern w:val="0"/>
          <w:sz w:val="32"/>
          <w:szCs w:val="32"/>
          <w:highlight w:val="none"/>
        </w:rPr>
        <w:t>方式进行资格审查，资格评审标准详见本招标公告附件一资格审查办法。</w:t>
      </w:r>
    </w:p>
    <w:p w14:paraId="12090BF7">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十一</w:t>
      </w:r>
      <w:r>
        <w:rPr>
          <w:rFonts w:hint="eastAsia" w:ascii="黑体" w:hAnsi="宋体" w:eastAsia="黑体" w:cs="黑体"/>
          <w:bCs/>
          <w:color w:val="auto"/>
          <w:sz w:val="32"/>
          <w:szCs w:val="32"/>
          <w:highlight w:val="none"/>
          <w:lang w:bidi="ar"/>
        </w:rPr>
        <w:t>、评标办法</w:t>
      </w:r>
    </w:p>
    <w:p w14:paraId="349DAB58">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color w:val="auto"/>
          <w:sz w:val="32"/>
          <w:szCs w:val="32"/>
          <w:highlight w:val="none"/>
          <w:u w:val="single"/>
        </w:rPr>
        <w:t xml:space="preserve">  □综合评估法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合理低价法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经评审的最低投标价法</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kern w:val="0"/>
          <w:sz w:val="32"/>
          <w:szCs w:val="32"/>
          <w:highlight w:val="none"/>
        </w:rPr>
        <w:t xml:space="preserve">评标标准和方法详见本招标公告附件二。 </w:t>
      </w:r>
    </w:p>
    <w:p w14:paraId="4B2B9FF7">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十二</w:t>
      </w:r>
      <w:r>
        <w:rPr>
          <w:rFonts w:hint="eastAsia" w:ascii="黑体" w:hAnsi="宋体" w:eastAsia="黑体" w:cs="黑体"/>
          <w:bCs/>
          <w:color w:val="auto"/>
          <w:sz w:val="32"/>
          <w:szCs w:val="32"/>
          <w:highlight w:val="none"/>
          <w:lang w:bidi="ar"/>
        </w:rPr>
        <w:t>、发布公告的媒介</w:t>
      </w:r>
    </w:p>
    <w:p w14:paraId="2363CEB3">
      <w:pPr>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本次招标公告同时在常州高新区管委会</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新北区人民政府</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网站、E交易平台网站、</w:t>
      </w:r>
      <w:r>
        <w:rPr>
          <w:rFonts w:hint="eastAsia" w:ascii="仿宋_GB2312" w:hAnsi="仿宋_GB2312" w:eastAsia="仿宋_GB2312" w:cs="仿宋_GB2312"/>
          <w:color w:val="000000"/>
          <w:spacing w:val="-2"/>
          <w:sz w:val="32"/>
          <w:szCs w:val="32"/>
        </w:rPr>
        <w:t>江苏中冠工程咨询有限公司</w:t>
      </w:r>
      <w:r>
        <w:rPr>
          <w:rFonts w:hint="eastAsia" w:ascii="仿宋_GB2312" w:hAnsi="仿宋_GB2312" w:eastAsia="仿宋_GB2312" w:cs="仿宋_GB2312"/>
          <w:bCs/>
          <w:color w:val="auto"/>
          <w:sz w:val="32"/>
          <w:szCs w:val="32"/>
          <w:highlight w:val="none"/>
          <w:lang w:bidi="ar"/>
        </w:rPr>
        <w:t>网上发布。</w:t>
      </w:r>
    </w:p>
    <w:p w14:paraId="15F0127D">
      <w:pPr>
        <w:keepNext w:val="0"/>
        <w:keepLines w:val="0"/>
        <w:pageBreakBefore w:val="0"/>
        <w:kinsoku/>
        <w:wordWrap/>
        <w:overflowPunct/>
        <w:topLinePunct w:val="0"/>
        <w:bidi w:val="0"/>
        <w:spacing w:line="560" w:lineRule="exact"/>
        <w:ind w:left="0" w:leftChars="0" w:right="0" w:rightChars="0" w:firstLine="640" w:firstLineChars="200"/>
        <w:rPr>
          <w:rFonts w:ascii="宋体" w:hAnsi="宋体" w:cs="宋体"/>
          <w:color w:val="auto"/>
          <w:kern w:val="0"/>
          <w:sz w:val="24"/>
          <w:highlight w:val="none"/>
        </w:rPr>
      </w:pPr>
      <w:r>
        <w:rPr>
          <w:rFonts w:hint="eastAsia" w:ascii="黑体" w:hAnsi="宋体" w:eastAsia="黑体" w:cs="黑体"/>
          <w:bCs/>
          <w:color w:val="auto"/>
          <w:sz w:val="32"/>
          <w:szCs w:val="32"/>
          <w:highlight w:val="none"/>
          <w:lang w:val="en-US" w:eastAsia="zh-CN" w:bidi="ar"/>
        </w:rPr>
        <w:t>十三</w:t>
      </w:r>
      <w:r>
        <w:rPr>
          <w:rFonts w:hint="eastAsia" w:ascii="黑体" w:hAnsi="宋体" w:eastAsia="黑体" w:cs="黑体"/>
          <w:bCs/>
          <w:color w:val="auto"/>
          <w:sz w:val="32"/>
          <w:szCs w:val="32"/>
          <w:highlight w:val="none"/>
          <w:lang w:bidi="ar"/>
        </w:rPr>
        <w:t xml:space="preserve">、联系方式 </w:t>
      </w:r>
      <w:r>
        <w:rPr>
          <w:rFonts w:hint="eastAsia" w:ascii="宋体" w:hAnsi="宋体" w:cs="宋体"/>
          <w:color w:val="auto"/>
          <w:kern w:val="0"/>
          <w:sz w:val="24"/>
          <w:highlight w:val="none"/>
        </w:rPr>
        <w:t xml:space="preserve">                      </w:t>
      </w:r>
    </w:p>
    <w:tbl>
      <w:tblPr>
        <w:tblStyle w:val="10"/>
        <w:tblW w:w="10031" w:type="dxa"/>
        <w:tblInd w:w="0" w:type="dxa"/>
        <w:tblLayout w:type="autofit"/>
        <w:tblCellMar>
          <w:top w:w="0" w:type="dxa"/>
          <w:left w:w="108" w:type="dxa"/>
          <w:bottom w:w="0" w:type="dxa"/>
          <w:right w:w="108" w:type="dxa"/>
        </w:tblCellMar>
      </w:tblPr>
      <w:tblGrid>
        <w:gridCol w:w="4762"/>
        <w:gridCol w:w="5269"/>
      </w:tblGrid>
      <w:tr w14:paraId="13124904">
        <w:tblPrEx>
          <w:tblCellMar>
            <w:top w:w="0" w:type="dxa"/>
            <w:left w:w="108" w:type="dxa"/>
            <w:bottom w:w="0" w:type="dxa"/>
            <w:right w:w="108" w:type="dxa"/>
          </w:tblCellMar>
        </w:tblPrEx>
        <w:trPr>
          <w:trHeight w:val="454" w:hRule="atLeast"/>
        </w:trPr>
        <w:tc>
          <w:tcPr>
            <w:tcW w:w="4762" w:type="dxa"/>
            <w:noWrap w:val="0"/>
            <w:vAlign w:val="top"/>
          </w:tcPr>
          <w:p w14:paraId="4A3B2101">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招标人：</w:t>
            </w:r>
            <w:r>
              <w:rPr>
                <w:rFonts w:hint="eastAsia" w:ascii="仿宋_GB2312" w:hAnsi="仿宋_GB2312" w:eastAsia="仿宋_GB2312" w:cs="仿宋_GB2312"/>
                <w:bCs/>
                <w:color w:val="auto"/>
                <w:sz w:val="32"/>
                <w:szCs w:val="32"/>
                <w:highlight w:val="none"/>
                <w:lang w:eastAsia="zh-CN" w:bidi="ar"/>
              </w:rPr>
              <w:t>常州产城智慧运营管理有限公司</w:t>
            </w:r>
          </w:p>
        </w:tc>
        <w:tc>
          <w:tcPr>
            <w:tcW w:w="5269" w:type="dxa"/>
            <w:noWrap w:val="0"/>
            <w:vAlign w:val="top"/>
          </w:tcPr>
          <w:p w14:paraId="5290E86F">
            <w:pPr>
              <w:autoSpaceDE w:val="0"/>
              <w:spacing w:line="560" w:lineRule="exact"/>
              <w:jc w:val="left"/>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sz w:val="32"/>
                <w:szCs w:val="32"/>
                <w:lang w:bidi="ar"/>
              </w:rPr>
              <w:t>招标代理机构：江苏中冠工程咨询有限公司</w:t>
            </w:r>
          </w:p>
        </w:tc>
      </w:tr>
      <w:tr w14:paraId="1518D705">
        <w:tblPrEx>
          <w:tblCellMar>
            <w:top w:w="0" w:type="dxa"/>
            <w:left w:w="108" w:type="dxa"/>
            <w:bottom w:w="0" w:type="dxa"/>
            <w:right w:w="108" w:type="dxa"/>
          </w:tblCellMar>
        </w:tblPrEx>
        <w:trPr>
          <w:trHeight w:val="454" w:hRule="atLeast"/>
        </w:trPr>
        <w:tc>
          <w:tcPr>
            <w:tcW w:w="4762" w:type="dxa"/>
            <w:noWrap w:val="0"/>
            <w:vAlign w:val="top"/>
          </w:tcPr>
          <w:p w14:paraId="5F3862CE">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sz w:val="32"/>
                <w:szCs w:val="32"/>
                <w:highlight w:val="none"/>
                <w:lang w:eastAsia="zh-CN" w:bidi="ar"/>
              </w:rPr>
              <w:t>常州市新北区东海路202号</w:t>
            </w:r>
          </w:p>
        </w:tc>
        <w:tc>
          <w:tcPr>
            <w:tcW w:w="5269" w:type="dxa"/>
            <w:noWrap w:val="0"/>
            <w:vAlign w:val="top"/>
          </w:tcPr>
          <w:p w14:paraId="578BE678">
            <w:pPr>
              <w:autoSpaceDE w:val="0"/>
              <w:spacing w:line="560" w:lineRule="exact"/>
              <w:jc w:val="left"/>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sz w:val="32"/>
                <w:szCs w:val="32"/>
                <w:lang w:bidi="ar"/>
              </w:rPr>
              <w:t>地址：常州市新北区龙锦路1259-2号9楼</w:t>
            </w:r>
          </w:p>
        </w:tc>
      </w:tr>
      <w:tr w14:paraId="650EDD13">
        <w:tblPrEx>
          <w:tblCellMar>
            <w:top w:w="0" w:type="dxa"/>
            <w:left w:w="108" w:type="dxa"/>
            <w:bottom w:w="0" w:type="dxa"/>
            <w:right w:w="108" w:type="dxa"/>
          </w:tblCellMar>
        </w:tblPrEx>
        <w:trPr>
          <w:trHeight w:val="467" w:hRule="atLeast"/>
        </w:trPr>
        <w:tc>
          <w:tcPr>
            <w:tcW w:w="4762" w:type="dxa"/>
            <w:noWrap w:val="0"/>
            <w:vAlign w:val="top"/>
          </w:tcPr>
          <w:p w14:paraId="629BE57A">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eastAsia="zh-CN" w:bidi="ar"/>
              </w:rPr>
              <w:t>顾女士</w:t>
            </w:r>
          </w:p>
        </w:tc>
        <w:tc>
          <w:tcPr>
            <w:tcW w:w="5269" w:type="dxa"/>
            <w:noWrap w:val="0"/>
            <w:vAlign w:val="top"/>
          </w:tcPr>
          <w:p w14:paraId="1B3526D6">
            <w:pPr>
              <w:autoSpaceDE w:val="0"/>
              <w:spacing w:line="560" w:lineRule="exact"/>
              <w:jc w:val="left"/>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sz w:val="32"/>
                <w:szCs w:val="32"/>
                <w:lang w:bidi="ar"/>
              </w:rPr>
              <w:t>联系人：</w:t>
            </w:r>
            <w:r>
              <w:rPr>
                <w:rFonts w:hint="eastAsia" w:ascii="仿宋_GB2312" w:hAnsi="仿宋_GB2312" w:eastAsia="仿宋_GB2312" w:cs="仿宋_GB2312"/>
                <w:bCs/>
                <w:sz w:val="32"/>
                <w:szCs w:val="32"/>
                <w:lang w:val="en-US" w:eastAsia="zh-CN" w:bidi="ar"/>
              </w:rPr>
              <w:t>贾工</w:t>
            </w:r>
          </w:p>
        </w:tc>
      </w:tr>
      <w:tr w14:paraId="71B2CD78">
        <w:tblPrEx>
          <w:tblCellMar>
            <w:top w:w="0" w:type="dxa"/>
            <w:left w:w="108" w:type="dxa"/>
            <w:bottom w:w="0" w:type="dxa"/>
            <w:right w:w="108" w:type="dxa"/>
          </w:tblCellMar>
        </w:tblPrEx>
        <w:trPr>
          <w:trHeight w:val="454" w:hRule="atLeast"/>
        </w:trPr>
        <w:tc>
          <w:tcPr>
            <w:tcW w:w="4762" w:type="dxa"/>
            <w:noWrap w:val="0"/>
            <w:vAlign w:val="top"/>
          </w:tcPr>
          <w:p w14:paraId="059F8D7B">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eastAsia="zh-CN" w:bidi="ar"/>
              </w:rPr>
              <w:t>0519-85582503</w:t>
            </w:r>
          </w:p>
        </w:tc>
        <w:tc>
          <w:tcPr>
            <w:tcW w:w="5269" w:type="dxa"/>
            <w:noWrap w:val="0"/>
            <w:vAlign w:val="top"/>
          </w:tcPr>
          <w:p w14:paraId="23824F8F">
            <w:pPr>
              <w:autoSpaceDE w:val="0"/>
              <w:spacing w:line="560" w:lineRule="exact"/>
              <w:jc w:val="left"/>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sz w:val="32"/>
                <w:szCs w:val="32"/>
                <w:lang w:bidi="ar"/>
              </w:rPr>
              <w:t>电话：0519-85581855</w:t>
            </w:r>
          </w:p>
        </w:tc>
      </w:tr>
    </w:tbl>
    <w:p w14:paraId="64D2C9F5">
      <w:pPr>
        <w:keepNext w:val="0"/>
        <w:keepLines w:val="0"/>
        <w:pageBreakBefore w:val="0"/>
        <w:kinsoku/>
        <w:wordWrap/>
        <w:overflowPunct/>
        <w:topLinePunct w:val="0"/>
        <w:bidi w:val="0"/>
        <w:spacing w:line="560" w:lineRule="exact"/>
        <w:ind w:left="0" w:leftChars="0" w:right="0" w:rightChars="0" w:firstLine="562" w:firstLineChars="200"/>
        <w:rPr>
          <w:rFonts w:ascii="宋体" w:hAnsi="宋体" w:cs="Arial"/>
          <w:b/>
          <w:bCs/>
          <w:color w:val="auto"/>
          <w:kern w:val="0"/>
          <w:sz w:val="28"/>
          <w:szCs w:val="28"/>
          <w:highlight w:val="none"/>
        </w:rPr>
      </w:pPr>
    </w:p>
    <w:p w14:paraId="67223A04">
      <w:pPr>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bookmarkStart w:id="0" w:name="_Toc32718"/>
      <w:bookmarkStart w:id="1" w:name="_Toc389065130"/>
      <w:bookmarkStart w:id="2" w:name="_Toc522797139"/>
      <w:r>
        <w:rPr>
          <w:rFonts w:hint="eastAsia" w:ascii="仿宋_GB2312" w:hAnsi="仿宋_GB2312" w:eastAsia="仿宋_GB2312" w:cs="仿宋_GB2312"/>
          <w:bCs/>
          <w:color w:val="auto"/>
          <w:sz w:val="32"/>
          <w:szCs w:val="32"/>
          <w:highlight w:val="none"/>
          <w:lang w:eastAsia="zh-CN" w:bidi="ar"/>
        </w:rPr>
        <w:t>友情提醒：</w:t>
      </w:r>
    </w:p>
    <w:bookmarkEnd w:id="0"/>
    <w:bookmarkEnd w:id="1"/>
    <w:bookmarkEnd w:id="2"/>
    <w:p w14:paraId="65F34D76">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1．信息公布、招投标答疑:常州国家高新区管委会（新北区人民政府）网、江苏中冠工程咨询有限公司网、E交易网。</w:t>
      </w:r>
    </w:p>
    <w:p w14:paraId="184EB0BE">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２．投标人可在本公告发布网页的后续公告栏内查阅本次招投标的“公告发布、招标文件答疑澄清”等全部相关消息，因未能及时了解相关最新信息所引起的投标失误责任自负。</w:t>
      </w:r>
    </w:p>
    <w:p w14:paraId="1CE3C3D2">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３．投标人对招标公告及文件如有异议请联系招标人或招标代理机构。</w:t>
      </w:r>
    </w:p>
    <w:p w14:paraId="7D417301">
      <w:pPr>
        <w:pStyle w:val="2"/>
        <w:ind w:firstLine="640" w:firstLineChars="200"/>
        <w:rPr>
          <w:rFonts w:hint="default"/>
          <w:lang w:val="en-US" w:eastAsia="zh-CN"/>
        </w:rPr>
      </w:pPr>
      <w:r>
        <w:rPr>
          <w:rFonts w:hint="eastAsia" w:ascii="仿宋_GB2312" w:hAnsi="仿宋_GB2312" w:eastAsia="仿宋_GB2312" w:cs="仿宋_GB2312"/>
          <w:bCs/>
          <w:color w:val="auto"/>
          <w:sz w:val="32"/>
          <w:szCs w:val="32"/>
          <w:highlight w:val="none"/>
          <w:lang w:val="en-US" w:eastAsia="zh-CN" w:bidi="ar"/>
        </w:rPr>
        <w:t>4．投诉监督部门：</w:t>
      </w:r>
      <w:r>
        <w:rPr>
          <w:rFonts w:hint="eastAsia" w:ascii="仿宋_GB2312" w:hAnsi="仿宋_GB2312" w:eastAsia="仿宋_GB2312" w:cs="仿宋_GB2312"/>
          <w:bCs/>
          <w:color w:val="auto"/>
          <w:kern w:val="2"/>
          <w:sz w:val="32"/>
          <w:szCs w:val="32"/>
          <w:highlight w:val="none"/>
          <w:lang w:val="en-US" w:eastAsia="zh-CN" w:bidi="ar"/>
        </w:rPr>
        <w:t>合规管理部/纪委办公室 ，联系方式：0519-81808706</w:t>
      </w:r>
    </w:p>
    <w:p w14:paraId="6844554C">
      <w:pPr>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1705F623">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1</w:t>
      </w:r>
    </w:p>
    <w:p w14:paraId="4BC0BDF8">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Arial Unicode MS" w:hAnsi="Times New Roman" w:eastAsia="Arial Unicode MS" w:cs="Arial Unicode MS"/>
          <w:bCs/>
          <w:color w:val="auto"/>
          <w:kern w:val="44"/>
          <w:sz w:val="44"/>
          <w:szCs w:val="44"/>
          <w:highlight w:val="none"/>
          <w:lang w:bidi="ar"/>
        </w:rPr>
      </w:pPr>
      <w:r>
        <w:rPr>
          <w:rFonts w:hint="eastAsia" w:ascii="Arial Unicode MS" w:hAnsi="Times New Roman" w:eastAsia="Arial Unicode MS" w:cs="Arial Unicode MS"/>
          <w:bCs/>
          <w:color w:val="auto"/>
          <w:kern w:val="44"/>
          <w:sz w:val="44"/>
          <w:szCs w:val="44"/>
          <w:highlight w:val="none"/>
          <w:lang w:bidi="ar"/>
        </w:rPr>
        <w:t>资格审查办法（资格后审）</w:t>
      </w:r>
    </w:p>
    <w:p w14:paraId="3E7BE29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一、本工程由招标人委托的评标委员会采用</w:t>
      </w:r>
      <w:r>
        <w:rPr>
          <w:rFonts w:hint="eastAsia" w:ascii="黑体" w:hAnsi="宋体" w:eastAsia="黑体" w:cs="黑体"/>
          <w:bCs/>
          <w:color w:val="auto"/>
          <w:sz w:val="32"/>
          <w:szCs w:val="32"/>
          <w:highlight w:val="none"/>
          <w:u w:val="single"/>
          <w:lang w:bidi="ar"/>
        </w:rPr>
        <w:t xml:space="preserve"> 资格后审 </w:t>
      </w:r>
      <w:r>
        <w:rPr>
          <w:rFonts w:hint="eastAsia" w:ascii="黑体" w:hAnsi="宋体" w:eastAsia="黑体" w:cs="黑体"/>
          <w:bCs/>
          <w:color w:val="auto"/>
          <w:sz w:val="32"/>
          <w:szCs w:val="32"/>
          <w:highlight w:val="none"/>
          <w:lang w:bidi="ar"/>
        </w:rPr>
        <w:t>对投标人进行资格审查。</w:t>
      </w:r>
      <w:r>
        <w:rPr>
          <w:rFonts w:hint="eastAsia" w:ascii="仿宋_GB2312" w:hAnsi="仿宋_GB2312" w:eastAsia="仿宋_GB2312" w:cs="仿宋_GB2312"/>
          <w:color w:val="auto"/>
          <w:sz w:val="32"/>
          <w:szCs w:val="32"/>
          <w:highlight w:val="none"/>
        </w:rPr>
        <w:t xml:space="preserve"> </w:t>
      </w:r>
    </w:p>
    <w:p w14:paraId="49E736A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二、本工程资审合格条件：</w:t>
      </w:r>
      <w:r>
        <w:rPr>
          <w:rFonts w:hint="eastAsia" w:ascii="仿宋_GB2312" w:hAnsi="仿宋_GB2312" w:eastAsia="仿宋_GB2312" w:cs="仿宋_GB2312"/>
          <w:color w:val="auto"/>
          <w:sz w:val="32"/>
          <w:szCs w:val="32"/>
          <w:highlight w:val="none"/>
        </w:rPr>
        <w:t xml:space="preserve"> </w:t>
      </w:r>
    </w:p>
    <w:p w14:paraId="209C22B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1．具有独立签订合同的能力； </w:t>
      </w:r>
    </w:p>
    <w:p w14:paraId="1C4B748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2．未处于被责令停业、投标资格被取消状态； </w:t>
      </w:r>
    </w:p>
    <w:p w14:paraId="6592DE8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3．企业没有因骗取中标或者严重违约以及发生重大工程质量、安全生产事故等违法违规问题，被有关部门暂停投标资格并在暂停期内的；</w:t>
      </w:r>
    </w:p>
    <w:p w14:paraId="499D0AB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4．投标文件中的资格审查资料没有失真或者弄虚作假；</w:t>
      </w:r>
    </w:p>
    <w:p w14:paraId="0805B33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5．企业的资质类别、等级和项目负责人注册专业、资格等级符合国家有关规定；</w:t>
      </w:r>
    </w:p>
    <w:p w14:paraId="3721AA5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6．企业具备安全生产条件，并取得安全生产许可证（相关规定不作要求的除外）；</w:t>
      </w:r>
    </w:p>
    <w:p w14:paraId="22BE8F2F">
      <w:pPr>
        <w:keepNext w:val="0"/>
        <w:keepLines w:val="0"/>
        <w:pageBreakBefore w:val="0"/>
        <w:kinsoku/>
        <w:wordWrap/>
        <w:overflowPunct/>
        <w:topLinePunct w:val="0"/>
        <w:bidi w:val="0"/>
        <w:spacing w:line="560" w:lineRule="exact"/>
        <w:ind w:left="0" w:leftChars="0" w:right="0" w:rightChars="0"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7．投标人在投标文件递交截止时间当日，对于本次招标文件中要求的企业资质，投标人的建筑业企业资质动态监管结果均不得处于不合格状态</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 xml:space="preserve"> </w:t>
      </w:r>
    </w:p>
    <w:p w14:paraId="1243353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8．项目负责人必须满足下列条件：</w:t>
      </w:r>
    </w:p>
    <w:p w14:paraId="09EDCAB2">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（1）投标人拟派项目负责人须具备</w:t>
      </w:r>
      <w:r>
        <w:rPr>
          <w:rFonts w:hint="eastAsia" w:ascii="仿宋_GB2312" w:hAnsi="仿宋_GB2312" w:eastAsia="仿宋_GB2312" w:cs="仿宋_GB2312"/>
          <w:b/>
          <w:bCs/>
          <w:color w:val="auto"/>
          <w:kern w:val="0"/>
          <w:sz w:val="32"/>
          <w:szCs w:val="32"/>
          <w:highlight w:val="none"/>
          <w:u w:val="single"/>
          <w:lang w:eastAsia="zh-CN"/>
        </w:rPr>
        <w:t>机电工程二级及以上注册建造师</w:t>
      </w:r>
      <w:r>
        <w:rPr>
          <w:rFonts w:hint="eastAsia" w:ascii="仿宋_GB2312" w:hAnsi="仿宋_GB2312" w:eastAsia="仿宋_GB2312" w:cs="仿宋_GB2312"/>
          <w:color w:val="auto"/>
          <w:sz w:val="32"/>
          <w:szCs w:val="32"/>
          <w:highlight w:val="none"/>
        </w:rPr>
        <w:t>。</w:t>
      </w:r>
    </w:p>
    <w:p w14:paraId="160E9915">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（2）项目负责人不得同时在两个或者两个以上单位受聘或者执业。</w:t>
      </w:r>
    </w:p>
    <w:p w14:paraId="4644298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9．类似工程业绩要求：/</w:t>
      </w:r>
      <w:r>
        <w:rPr>
          <w:rFonts w:hint="eastAsia" w:ascii="仿宋_GB2312" w:hAnsi="仿宋_GB2312" w:eastAsia="仿宋_GB2312" w:cs="仿宋_GB2312"/>
          <w:color w:val="auto"/>
          <w:sz w:val="32"/>
          <w:szCs w:val="32"/>
          <w:highlight w:val="none"/>
          <w:lang w:eastAsia="zh-CN"/>
        </w:rPr>
        <w:t>；</w:t>
      </w:r>
    </w:p>
    <w:p w14:paraId="35DCF69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10．投标人及项目负责人其他要求：</w:t>
      </w:r>
    </w:p>
    <w:p w14:paraId="3025ECC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（1）企业和拟派项目负责人近三个月（从投标截止时间往前推算）内均没有因串通投标、弄虚作假、以他人名义投标、骗取中标、转包、违法分包等违法行为受到建设等有关部门行政处罚的；</w:t>
      </w:r>
    </w:p>
    <w:p w14:paraId="498E943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（2）企业近1年内（从投标截止日期往前推算）没有无正当理由放弃中标资格（不含项目负责人多投多中后放弃）、不与招标人订立合同、拒不提供履约担保情形的；</w:t>
      </w:r>
    </w:p>
    <w:p w14:paraId="024273A5">
      <w:pPr>
        <w:keepNext w:val="0"/>
        <w:keepLines w:val="0"/>
        <w:pageBreakBefore w:val="0"/>
        <w:kinsoku/>
        <w:wordWrap/>
        <w:overflowPunct/>
        <w:topLinePunct w:val="0"/>
        <w:bidi w:val="0"/>
        <w:adjustRightInd w:val="0"/>
        <w:spacing w:line="560" w:lineRule="exact"/>
        <w:ind w:left="0" w:leftChars="0" w:right="0" w:rightChars="0" w:firstLine="640" w:firstLineChars="200"/>
        <w:jc w:val="lef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（3）企业近3个月（从投标截止时间往前推算）内没有因拖欠工人工资被招标项目所在地省、市、县（市、区）建设行政主管部门行政处罚的。（本条内容与招标文件中所载不一致的，以本招标公告为准）</w:t>
      </w:r>
      <w:r>
        <w:rPr>
          <w:rFonts w:hint="eastAsia" w:ascii="仿宋_GB2312" w:hAnsi="仿宋_GB2312" w:eastAsia="仿宋_GB2312" w:cs="仿宋_GB2312"/>
          <w:color w:val="auto"/>
          <w:sz w:val="32"/>
          <w:szCs w:val="32"/>
          <w:highlight w:val="none"/>
          <w:lang w:eastAsia="zh-CN"/>
        </w:rPr>
        <w:t>；</w:t>
      </w:r>
    </w:p>
    <w:p w14:paraId="51AD6D9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11．本次招标</w:t>
      </w:r>
      <w:r>
        <w:rPr>
          <w:rFonts w:hint="eastAsia" w:ascii="仿宋_GB2312" w:hAnsi="仿宋_GB2312" w:eastAsia="仿宋_GB2312" w:cs="仿宋_GB2312"/>
          <w:b/>
          <w:bCs/>
          <w:color w:val="auto"/>
          <w:sz w:val="32"/>
          <w:szCs w:val="32"/>
          <w:highlight w:val="none"/>
          <w:u w:val="single"/>
        </w:rPr>
        <w:t>不接受（</w:t>
      </w:r>
      <w:r>
        <w:rPr>
          <w:rFonts w:hint="eastAsia" w:ascii="仿宋_GB2312" w:hAnsi="仿宋_GB2312" w:eastAsia="仿宋_GB2312" w:cs="仿宋_GB2312"/>
          <w:color w:val="auto"/>
          <w:sz w:val="32"/>
          <w:szCs w:val="32"/>
          <w:highlight w:val="none"/>
        </w:rPr>
        <w:t>接受/不接受）联合体投标</w:t>
      </w:r>
      <w:r>
        <w:rPr>
          <w:rFonts w:hint="eastAsia" w:ascii="仿宋_GB2312" w:hAnsi="仿宋_GB2312" w:eastAsia="仿宋_GB2312" w:cs="仿宋_GB2312"/>
          <w:color w:val="auto"/>
          <w:sz w:val="32"/>
          <w:szCs w:val="32"/>
          <w:highlight w:val="none"/>
          <w:lang w:eastAsia="zh-CN"/>
        </w:rPr>
        <w:t>；</w:t>
      </w:r>
    </w:p>
    <w:p w14:paraId="3401B2C9">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12．投标人不得存在下列情形之一： </w:t>
      </w:r>
    </w:p>
    <w:p w14:paraId="0C5397F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（1）为招标人不具有独立法人资格的附属机构（单位）； </w:t>
      </w:r>
    </w:p>
    <w:p w14:paraId="3162B7A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（2）为本招标项目的监理人、代建人、项目管理人，以及为本招标项目提供招标代理、设计服务的； </w:t>
      </w:r>
    </w:p>
    <w:p w14:paraId="35F4B0E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（3）与本招标项目的监理人、代建人、招标代理机构同为一个法定代表人的，或者相互控股、参股的； </w:t>
      </w:r>
    </w:p>
    <w:p w14:paraId="6D8E50F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（4）与招标人存在利害关系可能影响招标公正性的； </w:t>
      </w:r>
    </w:p>
    <w:p w14:paraId="5E6143F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（5）单位负责人为同一人或者存在控股、管理关系的不同单位； </w:t>
      </w:r>
    </w:p>
    <w:p w14:paraId="4A93886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（6）处于被责令停业、财产被接管、冻结和破产状态，以及投标资格被取消或者被暂停且在暂停期内； </w:t>
      </w:r>
    </w:p>
    <w:p w14:paraId="409D9C7E">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（7）因拖欠工人工资或者因发生质量安全事故被有关部门限制在招标项目所在地承接工程的； </w:t>
      </w:r>
    </w:p>
    <w:p w14:paraId="074F87C9">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w:t>
      </w:r>
      <w:r>
        <w:rPr>
          <w:rFonts w:hint="eastAsia" w:ascii="仿宋_GB2312" w:hAnsi="仿宋_GB2312" w:eastAsia="仿宋_GB2312" w:cs="仿宋_GB2312"/>
          <w:color w:val="auto"/>
          <w:kern w:val="0"/>
          <w:sz w:val="32"/>
          <w:szCs w:val="32"/>
          <w:highlight w:val="none"/>
          <w:lang w:val="en-US" w:eastAsia="zh-CN"/>
        </w:rPr>
        <w:t>投标人近3年（自投标截止日期往前推算）内有行贿犯罪行为且被记录，或者法定代表人、项目负责人有行贿犯罪记录且自记录之日起未超过5年（自投标截止日期往前推算）的</w:t>
      </w:r>
      <w:r>
        <w:rPr>
          <w:rFonts w:hint="eastAsia" w:ascii="仿宋_GB2312" w:hAnsi="仿宋_GB2312" w:eastAsia="仿宋_GB2312" w:cs="仿宋_GB2312"/>
          <w:color w:val="auto"/>
          <w:kern w:val="0"/>
          <w:sz w:val="32"/>
          <w:szCs w:val="32"/>
          <w:highlight w:val="none"/>
        </w:rPr>
        <w:t>。</w:t>
      </w:r>
    </w:p>
    <w:p w14:paraId="1BE49F8D">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13．符合法律、法规规定的其他条件。</w:t>
      </w:r>
    </w:p>
    <w:p w14:paraId="1DF4BED3">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三、由招标人委托的评标委员会实施对投标人的资格审查。</w:t>
      </w:r>
    </w:p>
    <w:p w14:paraId="7ECC45EC">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四、资格审查提交资料：</w:t>
      </w:r>
    </w:p>
    <w:p w14:paraId="6701FC71">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rPr>
        <w:t>1投标注册建造师第二代居民身份证；</w:t>
      </w:r>
    </w:p>
    <w:p w14:paraId="41504488">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rPr>
        <w:t>2投标注册建造师注册证；</w:t>
      </w:r>
      <w:r>
        <w:rPr>
          <w:rFonts w:hint="eastAsia" w:ascii="仿宋_GB2312" w:hAnsi="仿宋_GB2312" w:eastAsia="仿宋_GB2312" w:cs="仿宋_GB2312"/>
          <w:b w:val="0"/>
          <w:bCs/>
          <w:color w:val="000000"/>
          <w:sz w:val="32"/>
          <w:szCs w:val="32"/>
        </w:rPr>
        <w:t>（注册建造师证书。若投标建造师证书为一级建造师电子证书的，建造师证书须符合《住房和城乡建设部办公厅关于全面实行一级建造师电子注册证书的通知》（建办市</w:t>
      </w:r>
      <w:r>
        <w:rPr>
          <w:rFonts w:hint="eastAsia" w:ascii="微软雅黑" w:hAnsi="微软雅黑" w:eastAsia="微软雅黑" w:cs="微软雅黑"/>
          <w:b w:val="0"/>
          <w:bCs/>
          <w:color w:val="000000"/>
          <w:sz w:val="32"/>
          <w:szCs w:val="32"/>
          <w:lang w:eastAsia="zh-CN"/>
        </w:rPr>
        <w:t>〔</w:t>
      </w:r>
      <w:r>
        <w:rPr>
          <w:rFonts w:hint="eastAsia" w:ascii="仿宋_GB2312" w:hAnsi="仿宋_GB2312" w:eastAsia="仿宋_GB2312" w:cs="仿宋_GB2312"/>
          <w:b w:val="0"/>
          <w:bCs/>
          <w:color w:val="000000"/>
          <w:sz w:val="32"/>
          <w:szCs w:val="32"/>
        </w:rPr>
        <w:t>2021</w:t>
      </w:r>
      <w:r>
        <w:rPr>
          <w:rFonts w:hint="eastAsia" w:ascii="微软雅黑" w:hAnsi="微软雅黑" w:eastAsia="微软雅黑" w:cs="微软雅黑"/>
          <w:b w:val="0"/>
          <w:bCs/>
          <w:color w:val="000000"/>
          <w:sz w:val="32"/>
          <w:szCs w:val="32"/>
          <w:lang w:eastAsia="zh-CN"/>
        </w:rPr>
        <w:t>〕</w:t>
      </w:r>
      <w:r>
        <w:rPr>
          <w:rFonts w:hint="eastAsia" w:ascii="仿宋_GB2312" w:hAnsi="仿宋_GB2312" w:eastAsia="仿宋_GB2312" w:cs="仿宋_GB2312"/>
          <w:b w:val="0"/>
          <w:bCs/>
          <w:color w:val="000000"/>
          <w:sz w:val="32"/>
          <w:szCs w:val="32"/>
        </w:rPr>
        <w:t>40号）要求。</w:t>
      </w:r>
      <w:r>
        <w:rPr>
          <w:rFonts w:hint="eastAsia" w:ascii="仿宋_GB2312" w:hAnsi="仿宋_GB2312" w:eastAsia="仿宋_GB2312" w:cs="仿宋_GB2312"/>
          <w:b w:val="0"/>
          <w:bCs/>
          <w:color w:val="000000"/>
          <w:sz w:val="32"/>
          <w:szCs w:val="32"/>
          <w:lang w:eastAsia="zh-CN"/>
        </w:rPr>
        <w:t>）</w:t>
      </w:r>
    </w:p>
    <w:p w14:paraId="65E1C20C">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安全生产考核合格证（B证）；</w:t>
      </w:r>
    </w:p>
    <w:p w14:paraId="7AE86013">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企业营业执照；企业资质等级证书；企业安全生产许可证；</w:t>
      </w:r>
    </w:p>
    <w:p w14:paraId="44A26FF3">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提供投标建造师相应社保机构出具的投标单位为其缴纳社会基本养老保险的缴纳凭证（加盖社保中心章或社保中心参保缴费证明电子专用章，非社保手册）,缴纳时间为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000000"/>
          <w:sz w:val="32"/>
          <w:szCs w:val="32"/>
          <w:lang w:eastAsia="zh-CN"/>
        </w:rPr>
        <w:t>202</w:t>
      </w: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lang w:eastAsia="zh-CN"/>
        </w:rPr>
        <w:t>年</w:t>
      </w:r>
      <w:r>
        <w:rPr>
          <w:rFonts w:hint="eastAsia" w:ascii="仿宋_GB2312" w:hAnsi="仿宋_GB2312" w:eastAsia="仿宋_GB2312" w:cs="仿宋_GB2312"/>
          <w:b/>
          <w:bCs/>
          <w:color w:val="000000"/>
          <w:sz w:val="32"/>
          <w:szCs w:val="32"/>
          <w:lang w:val="en-US" w:eastAsia="zh-CN"/>
        </w:rPr>
        <w:t>9</w:t>
      </w:r>
      <w:r>
        <w:rPr>
          <w:rFonts w:hint="eastAsia" w:ascii="仿宋_GB2312" w:hAnsi="仿宋_GB2312" w:eastAsia="仿宋_GB2312" w:cs="仿宋_GB2312"/>
          <w:b/>
          <w:bCs/>
          <w:color w:val="000000"/>
          <w:sz w:val="32"/>
          <w:szCs w:val="32"/>
          <w:lang w:eastAsia="zh-CN"/>
        </w:rPr>
        <w:t>月至202</w:t>
      </w: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lang w:eastAsia="zh-CN"/>
        </w:rPr>
        <w:t>年</w:t>
      </w:r>
      <w:r>
        <w:rPr>
          <w:rFonts w:hint="eastAsia" w:ascii="仿宋_GB2312" w:hAnsi="仿宋_GB2312" w:eastAsia="仿宋_GB2312" w:cs="仿宋_GB2312"/>
          <w:b/>
          <w:bCs/>
          <w:color w:val="000000"/>
          <w:sz w:val="32"/>
          <w:szCs w:val="32"/>
          <w:lang w:val="en-US" w:eastAsia="zh-CN"/>
        </w:rPr>
        <w:t>11</w:t>
      </w:r>
      <w:r>
        <w:rPr>
          <w:rFonts w:hint="eastAsia" w:ascii="仿宋_GB2312" w:hAnsi="仿宋_GB2312" w:eastAsia="仿宋_GB2312" w:cs="仿宋_GB2312"/>
          <w:b/>
          <w:bCs/>
          <w:color w:val="000000"/>
          <w:sz w:val="32"/>
          <w:szCs w:val="32"/>
          <w:lang w:eastAsia="zh-CN"/>
        </w:rPr>
        <w:t>月</w:t>
      </w:r>
      <w:r>
        <w:rPr>
          <w:rFonts w:hint="eastAsia" w:ascii="仿宋_GB2312" w:hAnsi="仿宋_GB2312" w:eastAsia="仿宋_GB2312" w:cs="仿宋_GB2312"/>
          <w:color w:val="000000"/>
          <w:sz w:val="32"/>
          <w:szCs w:val="32"/>
        </w:rPr>
        <w:t>连续三个月</w:t>
      </w:r>
      <w:r>
        <w:rPr>
          <w:rFonts w:hint="eastAsia" w:ascii="仿宋_GB2312" w:hAnsi="仿宋_GB2312" w:eastAsia="仿宋_GB2312" w:cs="仿宋_GB2312"/>
          <w:b/>
          <w:bCs/>
          <w:color w:val="000000"/>
          <w:sz w:val="32"/>
          <w:szCs w:val="32"/>
        </w:rPr>
        <w:t>（如为退休返聘人员须提供退休证明及返聘合同）</w:t>
      </w:r>
      <w:r>
        <w:rPr>
          <w:rFonts w:hint="eastAsia" w:ascii="仿宋_GB2312" w:hAnsi="仿宋_GB2312" w:eastAsia="仿宋_GB2312" w:cs="仿宋_GB2312"/>
          <w:color w:val="000000"/>
          <w:sz w:val="32"/>
          <w:szCs w:val="32"/>
        </w:rPr>
        <w:t>。</w:t>
      </w:r>
    </w:p>
    <w:p w14:paraId="68F96A0D">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提供授权委托人相应社保机构出具的投标单位为其缴纳社会基本养老保险的缴纳凭证（加盖社保中心章或社保中心参保缴费证明电子专用章，非社保手册） ,缴纳时间为</w:t>
      </w:r>
      <w:r>
        <w:rPr>
          <w:rFonts w:hint="eastAsia" w:ascii="仿宋_GB2312" w:hAnsi="仿宋_GB2312" w:eastAsia="仿宋_GB2312" w:cs="仿宋_GB2312"/>
          <w:b/>
          <w:bCs/>
          <w:color w:val="000000"/>
          <w:sz w:val="32"/>
          <w:szCs w:val="32"/>
          <w:lang w:eastAsia="zh-CN"/>
        </w:rPr>
        <w:t>202</w:t>
      </w: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lang w:eastAsia="zh-CN"/>
        </w:rPr>
        <w:t>年</w:t>
      </w:r>
      <w:r>
        <w:rPr>
          <w:rFonts w:hint="eastAsia" w:ascii="仿宋_GB2312" w:hAnsi="仿宋_GB2312" w:eastAsia="仿宋_GB2312" w:cs="仿宋_GB2312"/>
          <w:b/>
          <w:bCs/>
          <w:color w:val="000000"/>
          <w:sz w:val="32"/>
          <w:szCs w:val="32"/>
          <w:lang w:val="en-US" w:eastAsia="zh-CN"/>
        </w:rPr>
        <w:t>9</w:t>
      </w:r>
      <w:r>
        <w:rPr>
          <w:rFonts w:hint="eastAsia" w:ascii="仿宋_GB2312" w:hAnsi="仿宋_GB2312" w:eastAsia="仿宋_GB2312" w:cs="仿宋_GB2312"/>
          <w:b/>
          <w:bCs/>
          <w:color w:val="000000"/>
          <w:sz w:val="32"/>
          <w:szCs w:val="32"/>
          <w:lang w:eastAsia="zh-CN"/>
        </w:rPr>
        <w:t>月至202</w:t>
      </w: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lang w:eastAsia="zh-CN"/>
        </w:rPr>
        <w:t>年</w:t>
      </w:r>
      <w:r>
        <w:rPr>
          <w:rFonts w:hint="eastAsia" w:ascii="仿宋_GB2312" w:hAnsi="仿宋_GB2312" w:eastAsia="仿宋_GB2312" w:cs="仿宋_GB2312"/>
          <w:b/>
          <w:bCs/>
          <w:color w:val="000000"/>
          <w:sz w:val="32"/>
          <w:szCs w:val="32"/>
          <w:lang w:val="en-US" w:eastAsia="zh-CN"/>
        </w:rPr>
        <w:t>11</w:t>
      </w:r>
      <w:r>
        <w:rPr>
          <w:rFonts w:hint="eastAsia" w:ascii="仿宋_GB2312" w:hAnsi="仿宋_GB2312" w:eastAsia="仿宋_GB2312" w:cs="仿宋_GB2312"/>
          <w:b/>
          <w:bCs/>
          <w:color w:val="000000"/>
          <w:sz w:val="32"/>
          <w:szCs w:val="32"/>
          <w:lang w:eastAsia="zh-CN"/>
        </w:rPr>
        <w:t>月</w:t>
      </w:r>
      <w:r>
        <w:rPr>
          <w:rFonts w:hint="eastAsia" w:ascii="仿宋_GB2312" w:hAnsi="仿宋_GB2312" w:eastAsia="仿宋_GB2312" w:cs="仿宋_GB2312"/>
          <w:color w:val="000000"/>
          <w:sz w:val="32"/>
          <w:szCs w:val="32"/>
        </w:rPr>
        <w:t>连续三个月</w:t>
      </w:r>
      <w:r>
        <w:rPr>
          <w:rFonts w:hint="eastAsia" w:ascii="仿宋_GB2312" w:hAnsi="仿宋_GB2312" w:eastAsia="仿宋_GB2312" w:cs="仿宋_GB2312"/>
          <w:b/>
          <w:bCs/>
          <w:color w:val="000000"/>
          <w:sz w:val="32"/>
          <w:szCs w:val="32"/>
        </w:rPr>
        <w:t>（如为退休返聘人员须提供退休证明及返聘合同）</w:t>
      </w:r>
      <w:r>
        <w:rPr>
          <w:rFonts w:hint="eastAsia" w:ascii="仿宋_GB2312" w:hAnsi="仿宋_GB2312" w:eastAsia="仿宋_GB2312" w:cs="仿宋_GB2312"/>
          <w:color w:val="000000"/>
          <w:sz w:val="32"/>
          <w:szCs w:val="32"/>
        </w:rPr>
        <w:t>。</w:t>
      </w:r>
    </w:p>
    <w:p w14:paraId="6A5F0EBF">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授权委托人本人第二代居民身份证。</w:t>
      </w:r>
    </w:p>
    <w:p w14:paraId="08326961">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投标人的法定代表人或被委托人必须携带法定代表人资格书（加盖公章、格式详见</w:t>
      </w:r>
      <w:r>
        <w:rPr>
          <w:rFonts w:hint="eastAsia" w:ascii="仿宋_GB2312" w:hAnsi="仿宋_GB2312" w:eastAsia="仿宋_GB2312" w:cs="仿宋_GB2312"/>
          <w:color w:val="000000"/>
          <w:sz w:val="32"/>
          <w:szCs w:val="32"/>
          <w:lang w:eastAsia="zh-CN"/>
        </w:rPr>
        <w:t>附件三</w:t>
      </w:r>
      <w:r>
        <w:rPr>
          <w:rFonts w:hint="eastAsia" w:ascii="仿宋_GB2312" w:hAnsi="仿宋_GB2312" w:eastAsia="仿宋_GB2312" w:cs="仿宋_GB2312"/>
          <w:color w:val="000000"/>
          <w:sz w:val="32"/>
          <w:szCs w:val="32"/>
        </w:rPr>
        <w:t>）、法定代表人授权委托书（加盖公章、法人签章、格式详见</w:t>
      </w:r>
      <w:r>
        <w:rPr>
          <w:rFonts w:hint="eastAsia" w:ascii="仿宋_GB2312" w:hAnsi="仿宋_GB2312" w:eastAsia="仿宋_GB2312" w:cs="仿宋_GB2312"/>
          <w:color w:val="000000"/>
          <w:sz w:val="32"/>
          <w:szCs w:val="32"/>
          <w:lang w:eastAsia="zh-CN"/>
        </w:rPr>
        <w:t>附件三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p>
    <w:p w14:paraId="644CF394">
      <w:pPr>
        <w:pStyle w:val="2"/>
        <w:keepNext w:val="0"/>
        <w:keepLines w:val="0"/>
        <w:pageBreakBefore w:val="0"/>
        <w:kinsoku/>
        <w:wordWrap/>
        <w:overflowPunct/>
        <w:topLinePunct w:val="0"/>
        <w:bidi w:val="0"/>
        <w:spacing w:after="0" w:line="560" w:lineRule="exact"/>
        <w:ind w:left="0"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4.9投标保证金缴款回单。</w:t>
      </w:r>
    </w:p>
    <w:p w14:paraId="28E1C4B8">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lang w:eastAsia="zh-CN"/>
        </w:rPr>
        <w:t>投标人信用承诺书</w:t>
      </w:r>
      <w:r>
        <w:rPr>
          <w:rFonts w:hint="eastAsia" w:ascii="仿宋_GB2312" w:hAnsi="仿宋_GB2312" w:eastAsia="仿宋_GB2312" w:cs="仿宋_GB2312"/>
          <w:color w:val="000000"/>
          <w:sz w:val="32"/>
          <w:szCs w:val="32"/>
        </w:rPr>
        <w:t>（详见</w:t>
      </w:r>
      <w:r>
        <w:rPr>
          <w:rFonts w:hint="eastAsia" w:ascii="仿宋_GB2312" w:hAnsi="仿宋_GB2312" w:eastAsia="仿宋_GB2312" w:cs="仿宋_GB2312"/>
          <w:color w:val="000000"/>
          <w:sz w:val="32"/>
          <w:szCs w:val="32"/>
          <w:lang w:eastAsia="zh-CN"/>
        </w:rPr>
        <w:t>附件四</w:t>
      </w:r>
      <w:r>
        <w:rPr>
          <w:rFonts w:hint="eastAsia" w:ascii="仿宋_GB2312" w:hAnsi="仿宋_GB2312" w:eastAsia="仿宋_GB2312" w:cs="仿宋_GB2312"/>
          <w:color w:val="000000"/>
          <w:sz w:val="32"/>
          <w:szCs w:val="32"/>
        </w:rPr>
        <w:t>）。</w:t>
      </w:r>
    </w:p>
    <w:p w14:paraId="7F60DEBB">
      <w:pPr>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特别提醒：</w:t>
      </w:r>
    </w:p>
    <w:p w14:paraId="66C16169">
      <w:pPr>
        <w:pStyle w:val="15"/>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①以上所有资料资格审查时必须提供有效复印件二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w:t>
      </w:r>
    </w:p>
    <w:p w14:paraId="6DECCD0C">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02DABF5C">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 xml:space="preserve">③在规定时间内未能按上述要求提供以上资料的作资审不合格处理。 </w:t>
      </w:r>
    </w:p>
    <w:p w14:paraId="013B231B">
      <w:pPr>
        <w:keepNext w:val="0"/>
        <w:keepLines w:val="0"/>
        <w:pageBreakBefore w:val="0"/>
        <w:kinsoku/>
        <w:wordWrap/>
        <w:overflowPunct/>
        <w:topLinePunct w:val="0"/>
        <w:bidi w:val="0"/>
        <w:adjustRightInd w:val="0"/>
        <w:spacing w:line="560" w:lineRule="exact"/>
        <w:ind w:left="0" w:leftChars="0" w:right="0" w:rightChars="0" w:firstLine="643" w:firstLineChars="200"/>
        <w:jc w:val="left"/>
        <w:textAlignment w:val="baseline"/>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④投标人在投标文件递交截止时间当日，对于本次招标公告中要求的企业资质，投标单位在江苏省建筑市场监管与诚信信息一体化平台动态监管不合格资质查询中显示不合格的，按资审不合格处理。</w:t>
      </w:r>
    </w:p>
    <w:p w14:paraId="650A26CA">
      <w:pPr>
        <w:keepNext w:val="0"/>
        <w:keepLines w:val="0"/>
        <w:pageBreakBefore w:val="0"/>
        <w:kinsoku/>
        <w:wordWrap/>
        <w:overflowPunct/>
        <w:topLinePunct w:val="0"/>
        <w:bidi w:val="0"/>
        <w:adjustRightInd w:val="0"/>
        <w:spacing w:line="560" w:lineRule="exact"/>
        <w:ind w:left="0" w:leftChars="0" w:right="0" w:rightChars="0" w:firstLine="640" w:firstLineChars="200"/>
        <w:jc w:val="left"/>
        <w:textAlignment w:val="baseline"/>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val="en-US" w:eastAsia="zh-CN" w:bidi="ar"/>
        </w:rPr>
        <w:t>五、开标（包括资格后审）时间、地点：</w:t>
      </w:r>
      <w:r>
        <w:rPr>
          <w:rFonts w:hint="eastAsia" w:ascii="仿宋_GB2312" w:hAnsi="仿宋_GB2312" w:eastAsia="仿宋_GB2312" w:cs="仿宋_GB2312"/>
          <w:color w:val="auto"/>
          <w:sz w:val="32"/>
          <w:szCs w:val="32"/>
          <w:highlight w:val="none"/>
        </w:rPr>
        <w:t>详见招标文件投标人须知。</w:t>
      </w:r>
    </w:p>
    <w:p w14:paraId="78DAE5B2">
      <w:pPr>
        <w:pStyle w:val="2"/>
        <w:ind w:firstLine="640" w:firstLineChars="200"/>
        <w:rPr>
          <w:rFonts w:hint="eastAsia" w:ascii="黑体" w:hAnsi="宋体" w:eastAsia="黑体" w:cs="黑体"/>
          <w:bCs/>
          <w:color w:val="auto"/>
          <w:kern w:val="2"/>
          <w:sz w:val="32"/>
          <w:szCs w:val="32"/>
          <w:highlight w:val="none"/>
          <w:lang w:val="en-US" w:eastAsia="zh-CN" w:bidi="ar"/>
        </w:rPr>
      </w:pPr>
      <w:r>
        <w:rPr>
          <w:rFonts w:hint="eastAsia" w:ascii="黑体" w:hAnsi="宋体" w:eastAsia="黑体" w:cs="黑体"/>
          <w:bCs/>
          <w:color w:val="auto"/>
          <w:kern w:val="2"/>
          <w:sz w:val="32"/>
          <w:szCs w:val="32"/>
          <w:highlight w:val="none"/>
          <w:lang w:val="en-US" w:eastAsia="zh-CN" w:bidi="ar"/>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0A36B293">
      <w:pPr>
        <w:pStyle w:val="2"/>
        <w:numPr>
          <w:ilvl w:val="0"/>
          <w:numId w:val="0"/>
        </w:numPr>
        <w:ind w:right="-2" w:rightChars="-1"/>
        <w:rPr>
          <w:rFonts w:hint="eastAsia" w:ascii="仿宋_GB2312" w:hAnsi="仿宋_GB2312" w:eastAsia="仿宋_GB2312" w:cs="仿宋_GB2312"/>
          <w:color w:val="auto"/>
          <w:kern w:val="2"/>
          <w:sz w:val="32"/>
          <w:szCs w:val="32"/>
          <w:highlight w:val="none"/>
          <w:lang w:val="en-US" w:eastAsia="zh-CN" w:bidi="ar-SA"/>
        </w:rPr>
      </w:pPr>
    </w:p>
    <w:p w14:paraId="6AE19106">
      <w:pPr>
        <w:pStyle w:val="2"/>
        <w:numPr>
          <w:ilvl w:val="0"/>
          <w:numId w:val="0"/>
        </w:numPr>
        <w:ind w:right="-2" w:rightChars="-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备注：</w:t>
      </w:r>
    </w:p>
    <w:p w14:paraId="204E6D53">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信息公布、招标文件（工程量清单、图纸）的下载、招标控制价的下载、招投标答疑：“</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w:t>
      </w:r>
    </w:p>
    <w:p w14:paraId="5EF011FB">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本工程所有的资审资料，都必须在有效期内。 </w:t>
      </w:r>
    </w:p>
    <w:p w14:paraId="01FF634D">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本工程不满3家投标将重新组织招标。</w:t>
      </w:r>
    </w:p>
    <w:p w14:paraId="0B667DA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本工程的图纸设计单位不得参与投标。</w:t>
      </w:r>
    </w:p>
    <w:p w14:paraId="1FFE3A91">
      <w:pPr>
        <w:bidi w:val="0"/>
        <w:rPr>
          <w:rFonts w:hint="eastAsia" w:ascii="仿宋_GB2312" w:hAnsi="仿宋_GB2312" w:eastAsia="仿宋_GB2312" w:cs="仿宋_GB2312"/>
          <w:color w:val="auto"/>
          <w:sz w:val="32"/>
          <w:szCs w:val="32"/>
          <w:highlight w:val="none"/>
        </w:rPr>
      </w:pPr>
    </w:p>
    <w:p w14:paraId="415836EE">
      <w:pPr>
        <w:bidi w:val="0"/>
        <w:jc w:val="left"/>
        <w:rPr>
          <w:rFonts w:hint="eastAsia" w:ascii="仿宋_GB2312" w:hAnsi="仿宋_GB2312" w:eastAsia="黑体"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br w:type="page"/>
      </w: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2</w:t>
      </w:r>
    </w:p>
    <w:p w14:paraId="2ACF4877">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Arial Unicode MS" w:hAnsi="Times New Roman" w:eastAsia="Arial Unicode MS" w:cs="Arial Unicode MS"/>
          <w:bCs/>
          <w:color w:val="auto"/>
          <w:kern w:val="44"/>
          <w:sz w:val="44"/>
          <w:szCs w:val="44"/>
          <w:highlight w:val="none"/>
          <w:lang w:bidi="ar"/>
        </w:rPr>
      </w:pPr>
      <w:r>
        <w:rPr>
          <w:rFonts w:hint="eastAsia" w:ascii="Arial Unicode MS" w:hAnsi="Times New Roman" w:eastAsia="Arial Unicode MS" w:cs="Arial Unicode MS"/>
          <w:bCs/>
          <w:color w:val="auto"/>
          <w:kern w:val="44"/>
          <w:sz w:val="44"/>
          <w:szCs w:val="44"/>
          <w:highlight w:val="none"/>
          <w:lang w:bidi="ar"/>
        </w:rPr>
        <w:t>评 标 细 则</w:t>
      </w:r>
    </w:p>
    <w:p w14:paraId="700E27B5">
      <w:pPr>
        <w:pStyle w:val="9"/>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本着公平、公正、公开的原则对各投标单位投标文件中的商务标等方面进行评分。具体办法如下：（共计100分） </w:t>
      </w:r>
    </w:p>
    <w:p w14:paraId="6251B164">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第一步：投标文件能够满足招标文件的实质性要求； </w:t>
      </w:r>
    </w:p>
    <w:p w14:paraId="19813350">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第二步：符合性清标，商务标符合招标文件的实质性要求； </w:t>
      </w:r>
    </w:p>
    <w:p w14:paraId="356BBDB0">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第三步：投标报价得分。</w:t>
      </w:r>
    </w:p>
    <w:p w14:paraId="6DAEC4FF">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一、投标报价（100 分） </w:t>
      </w:r>
    </w:p>
    <w:p w14:paraId="14CC8EAC">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1、确定有效投标报价。 </w:t>
      </w:r>
    </w:p>
    <w:p w14:paraId="1E1D6A6E">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凡符合招标文件、招标答疑纪要等有关招标实质性要求，且在招标控制</w:t>
      </w:r>
      <w:r>
        <w:rPr>
          <w:rFonts w:hint="eastAsia" w:ascii="仿宋_GB2312" w:hAnsi="仿宋_GB2312" w:eastAsia="仿宋_GB2312" w:cs="仿宋_GB2312"/>
          <w:b w:val="0"/>
          <w:bCs w:val="0"/>
          <w:color w:val="auto"/>
          <w:sz w:val="32"/>
          <w:szCs w:val="32"/>
          <w:highlight w:val="none"/>
        </w:rPr>
        <w:t>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总价和综合单价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rPr>
        <w:t xml:space="preserve">及以下的投标文件均为有效投标文件，未能实质性响应上述有关招标要求的投标文件为无效投标文件。 </w:t>
      </w:r>
    </w:p>
    <w:p w14:paraId="12999966">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2、打分 </w:t>
      </w:r>
    </w:p>
    <w:p w14:paraId="5B733D68">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以有效投标文件的最低评标价为评标基准价，评标价等于评标基准价的得满分；偏离评标基准价的，评标价相对评标基准价每高1%，扣0.3分，偏离不足1%的，按照插入法计算得分，得分保留二位小数。  </w:t>
      </w:r>
    </w:p>
    <w:p w14:paraId="4B84CF50">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定标办法</w:t>
      </w:r>
    </w:p>
    <w:p w14:paraId="3FBA72C1">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（1）以上得分最高者为第一中标候选人；若得分相同，则选择其中投标报价低者为中标候选人；若得分相同，投标报价也相同，当场按签到顺序抽签确定中标候选人。</w:t>
      </w:r>
    </w:p>
    <w:p w14:paraId="53832E4A">
      <w:pPr>
        <w:keepNext w:val="0"/>
        <w:keepLines w:val="0"/>
        <w:pageBreakBefore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207CA717">
      <w:pPr>
        <w:keepNext w:val="0"/>
        <w:keepLines w:val="0"/>
        <w:pageBreakBefore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注意事项：</w:t>
      </w:r>
    </w:p>
    <w:p w14:paraId="79ADB9FA">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１．</w:t>
      </w:r>
      <w:r>
        <w:rPr>
          <w:rFonts w:hint="eastAsia" w:ascii="仿宋_GB2312" w:hAnsi="仿宋_GB2312" w:eastAsia="仿宋_GB2312" w:cs="仿宋_GB2312"/>
          <w:color w:val="auto"/>
          <w:sz w:val="32"/>
          <w:szCs w:val="32"/>
        </w:rPr>
        <w:t xml:space="preserve">一旦发现中标候选单位的投标建造师已有在建或已另有工程中标的，则取消其中标候选人资格，同时按相关法律法规处罚。 </w:t>
      </w:r>
    </w:p>
    <w:p w14:paraId="2016DC14">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２．</w:t>
      </w:r>
      <w:r>
        <w:rPr>
          <w:rFonts w:hint="eastAsia" w:ascii="仿宋_GB2312" w:hAnsi="仿宋_GB2312" w:eastAsia="仿宋_GB2312" w:cs="仿宋_GB2312"/>
          <w:color w:val="auto"/>
          <w:sz w:val="32"/>
          <w:szCs w:val="32"/>
        </w:rPr>
        <w:t xml:space="preserve">一旦发现中标单位存在非法转包、转让、挂靠等行为的， 将依法进行处理 ，给招标人造成损失的，依法承担赔偿责任。 </w:t>
      </w:r>
    </w:p>
    <w:p w14:paraId="47F36CEC">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３．</w:t>
      </w:r>
      <w:r>
        <w:rPr>
          <w:rFonts w:hint="eastAsia" w:ascii="仿宋_GB2312" w:hAnsi="仿宋_GB2312" w:eastAsia="仿宋_GB2312" w:cs="仿宋_GB2312"/>
          <w:color w:val="auto"/>
          <w:sz w:val="32"/>
          <w:szCs w:val="32"/>
        </w:rPr>
        <w:t>本工程招标公告中的评标细则与招标文件中的评标细则不一致时，以招标公告中的评标细则为准。</w:t>
      </w:r>
    </w:p>
    <w:p w14:paraId="1F24B8CA">
      <w:pPr>
        <w:keepNext w:val="0"/>
        <w:keepLines w:val="0"/>
        <w:pageBreakBefore w:val="0"/>
        <w:widowControl w:val="0"/>
        <w:tabs>
          <w:tab w:val="left" w:pos="540"/>
          <w:tab w:val="left" w:pos="720"/>
          <w:tab w:val="left" w:pos="900"/>
          <w:tab w:val="left" w:pos="1080"/>
        </w:tabs>
        <w:kinsoku/>
        <w:wordWrap/>
        <w:overflowPunct/>
        <w:topLinePunct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sectPr>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pPr>
    </w:p>
    <w:p w14:paraId="449EE3AE">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3</w:t>
      </w:r>
    </w:p>
    <w:p w14:paraId="55681AB3">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rPr>
      </w:pPr>
    </w:p>
    <w:p w14:paraId="6B4138DD">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Arial Unicode MS" w:hAnsi="Times New Roman" w:eastAsia="Arial Unicode MS" w:cs="Arial Unicode MS"/>
          <w:bCs/>
          <w:color w:val="auto"/>
          <w:kern w:val="44"/>
          <w:sz w:val="44"/>
          <w:szCs w:val="44"/>
          <w:highlight w:val="none"/>
          <w:lang w:bidi="ar"/>
        </w:rPr>
      </w:pPr>
      <w:r>
        <w:rPr>
          <w:rFonts w:hint="eastAsia" w:ascii="Arial Unicode MS" w:hAnsi="Times New Roman" w:eastAsia="Arial Unicode MS" w:cs="Arial Unicode MS"/>
          <w:bCs/>
          <w:color w:val="auto"/>
          <w:kern w:val="44"/>
          <w:sz w:val="44"/>
          <w:szCs w:val="44"/>
          <w:highlight w:val="none"/>
          <w:lang w:bidi="ar"/>
        </w:rPr>
        <w:t>法定代表人资格书</w:t>
      </w:r>
    </w:p>
    <w:p w14:paraId="1E0C0382">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w:t>
      </w:r>
    </w:p>
    <w:p w14:paraId="34DFDA62">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14:paraId="40CCD937">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             性别：          年龄：          职务：</w:t>
      </w:r>
    </w:p>
    <w:p w14:paraId="2A4D4861">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的法定代表人。为施工、竣工和保修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的工程，签署上述工程的报名材料、资审材料、投标文件、进行合同谈判、签署合同和处理与之有关的一切事务。</w:t>
      </w:r>
    </w:p>
    <w:p w14:paraId="669277FD">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20B07965">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19861F8A">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11E15044">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0C90E2E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4933950" cy="2882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02824272">
                            <w:pPr>
                              <w:rPr>
                                <w:b/>
                              </w:rPr>
                            </w:pPr>
                            <w:r>
                              <w:rPr>
                                <w:rFonts w:hint="eastAsia"/>
                                <w:b/>
                              </w:rPr>
                              <w:t>（此处为法定代表人身份证复印件粘贴处，未提供复印件的视为无效身份证明）</w:t>
                            </w:r>
                          </w:p>
                          <w:p w14:paraId="29FEDC15"/>
                        </w:txbxContent>
                      </wps:txbx>
                      <wps:bodyPr upright="1"/>
                    </wps:wsp>
                  </a:graphicData>
                </a:graphic>
              </wp:anchor>
            </w:drawing>
          </mc:Choice>
          <mc:Fallback>
            <w:pict>
              <v:shape id="_x0000_s1026" o:spid="_x0000_s1026" o:spt="202" type="#_x0000_t202" style="position:absolute;left:0pt;margin-left:18.2pt;margin-top:20.35pt;height:227pt;width:388.5pt;z-index:251659264;mso-width-relative:page;mso-height-relative:page;" filled="f" stroked="t" coordsize="21600,21600" o:gfxdata="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mJ731gAAAAkBAAAPAAAAAAAAAAEAIAAA&#10;ACIAAABkcnMvZG93bnJldi54bWxQSwECFAAUAAAACACHTuJAGUz52A4CAAAcBAAADgAAAAAAAAAB&#10;ACAAAAAlAQAAZHJzL2Uyb0RvYy54bWxQSwUGAAAAAAYABgBZAQAApQUAAAAA&#10;">
                <v:fill on="f" focussize="0,0"/>
                <v:stroke color="#000000" joinstyle="miter"/>
                <v:imagedata o:title=""/>
                <o:lock v:ext="edit" aspectratio="f"/>
                <v:textbox>
                  <w:txbxContent>
                    <w:p w14:paraId="02824272">
                      <w:pPr>
                        <w:rPr>
                          <w:b/>
                        </w:rPr>
                      </w:pPr>
                      <w:r>
                        <w:rPr>
                          <w:rFonts w:hint="eastAsia"/>
                          <w:b/>
                        </w:rPr>
                        <w:t>（此处为法定代表人身份证复印件粘贴处，未提供复印件的视为无效身份证明）</w:t>
                      </w:r>
                    </w:p>
                    <w:p w14:paraId="29FEDC15"/>
                  </w:txbxContent>
                </v:textbox>
              </v:shape>
            </w:pict>
          </mc:Fallback>
        </mc:AlternateContent>
      </w:r>
    </w:p>
    <w:p w14:paraId="2E45A9C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140A77A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50BAD2E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6811CA1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522D11B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6CEE541D">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br w:type="page"/>
      </w:r>
      <w:r>
        <w:rPr>
          <w:rFonts w:hint="eastAsia" w:ascii="Arial Unicode MS" w:hAnsi="Times New Roman" w:eastAsia="Arial Unicode MS" w:cs="Arial Unicode MS"/>
          <w:bCs/>
          <w:color w:val="auto"/>
          <w:kern w:val="44"/>
          <w:sz w:val="44"/>
          <w:szCs w:val="44"/>
          <w:highlight w:val="none"/>
          <w:lang w:bidi="ar"/>
        </w:rPr>
        <w:t>授权委托书</w:t>
      </w:r>
    </w:p>
    <w:p w14:paraId="5F2B71C4">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（姓名）为我公司代理人，参加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（招标人）的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工程的投标活动。代理人在报名、资审、开标、评标、合同谈判过程中所签署的一切文件和处理与之有关的一切事务，我均予以承认。</w:t>
      </w:r>
    </w:p>
    <w:p w14:paraId="0395FEB4">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代理人无转委权。特此委托。</w:t>
      </w:r>
    </w:p>
    <w:p w14:paraId="5BDDBADE">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     性别：    出生日期：</w:t>
      </w:r>
    </w:p>
    <w:p w14:paraId="620D1C6E">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       部门：    职务：</w:t>
      </w:r>
    </w:p>
    <w:p w14:paraId="46F84A75">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314DD8FE">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p>
    <w:p w14:paraId="58DA26A5">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1685B1A8">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4933950" cy="2330450"/>
                <wp:effectExtent l="4445" t="4445" r="14605" b="12065"/>
                <wp:wrapNone/>
                <wp:docPr id="5" name="文本框 5"/>
                <wp:cNvGraphicFramePr/>
                <a:graphic xmlns:a="http://schemas.openxmlformats.org/drawingml/2006/main">
                  <a:graphicData uri="http://schemas.microsoft.com/office/word/2010/wordprocessingShape">
                    <wps:wsp>
                      <wps:cNvSpPr txBox="1"/>
                      <wps:spPr>
                        <a:xfrm>
                          <a:off x="0" y="0"/>
                          <a:ext cx="4933950" cy="2330450"/>
                        </a:xfrm>
                        <a:prstGeom prst="rect">
                          <a:avLst/>
                        </a:prstGeom>
                        <a:noFill/>
                        <a:ln w="9525" cap="flat" cmpd="sng">
                          <a:solidFill>
                            <a:srgbClr val="000000"/>
                          </a:solidFill>
                          <a:prstDash val="solid"/>
                          <a:miter/>
                          <a:headEnd type="none" w="med" len="med"/>
                          <a:tailEnd type="none" w="med" len="med"/>
                        </a:ln>
                        <a:effectLst/>
                      </wps:spPr>
                      <wps:txbx>
                        <w:txbxContent>
                          <w:p w14:paraId="1B6752DB">
                            <w:pPr>
                              <w:rPr>
                                <w:b/>
                              </w:rPr>
                            </w:pPr>
                            <w:r>
                              <w:rPr>
                                <w:rFonts w:hint="eastAsia"/>
                                <w:b/>
                              </w:rPr>
                              <w:t>（此处为被委托人身份证复印件粘贴处，未提供复印件的视为无效身份证明）</w:t>
                            </w:r>
                          </w:p>
                          <w:p w14:paraId="42BA5627"/>
                        </w:txbxContent>
                      </wps:txbx>
                      <wps:bodyPr upright="1"/>
                    </wps:wsp>
                  </a:graphicData>
                </a:graphic>
              </wp:anchor>
            </w:drawing>
          </mc:Choice>
          <mc:Fallback>
            <w:pict>
              <v:shape id="_x0000_s1026" o:spid="_x0000_s1026" o:spt="202" type="#_x0000_t202" style="position:absolute;left:0pt;margin-left:26.95pt;margin-top:15.5pt;height:183.5pt;width:388.5pt;z-index:251660288;mso-width-relative:page;mso-height-relative:page;" filled="f" stroked="t" coordsize="21600,21600" o:gfxdata="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gffzTAAAACQEAAA8AAAAAAAAAAQAgAAAAIgAAAGRy&#10;cy9kb3ducmV2LnhtbFBLAQIUABQAAAAIAIdO4kDQ6uo9CgIAABwEAAAOAAAAAAAAAAEAIAAAACIB&#10;AABkcnMvZTJvRG9jLnhtbFBLBQYAAAAABgAGAFkBAACeBQAAAAA=&#10;">
                <v:fill on="f" focussize="0,0"/>
                <v:stroke color="#000000" joinstyle="miter"/>
                <v:imagedata o:title=""/>
                <o:lock v:ext="edit" aspectratio="f"/>
                <v:textbox>
                  <w:txbxContent>
                    <w:p w14:paraId="1B6752DB">
                      <w:pPr>
                        <w:rPr>
                          <w:b/>
                        </w:rPr>
                      </w:pPr>
                      <w:r>
                        <w:rPr>
                          <w:rFonts w:hint="eastAsia"/>
                          <w:b/>
                        </w:rPr>
                        <w:t>（此处为被委托人身份证复印件粘贴处，未提供复印件的视为无效身份证明）</w:t>
                      </w:r>
                    </w:p>
                    <w:p w14:paraId="42BA5627"/>
                  </w:txbxContent>
                </v:textbox>
              </v:shape>
            </w:pict>
          </mc:Fallback>
        </mc:AlternateContent>
      </w:r>
    </w:p>
    <w:p w14:paraId="5CD3CA7D">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205D0E49">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4C66FC9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41D4584E">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042E2C22">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3786E9B4">
      <w:pPr>
        <w:keepNext w:val="0"/>
        <w:keepLines w:val="0"/>
        <w:pageBreakBefore w:val="0"/>
        <w:tabs>
          <w:tab w:val="left" w:pos="0"/>
          <w:tab w:val="left" w:pos="993"/>
          <w:tab w:val="left" w:pos="1134"/>
        </w:tabs>
        <w:kinsoku/>
        <w:wordWrap/>
        <w:overflowPunct/>
        <w:topLinePunct w:val="0"/>
        <w:bidi w:val="0"/>
        <w:adjustRightInd w:val="0"/>
        <w:snapToGrid w:val="0"/>
        <w:spacing w:line="560" w:lineRule="exact"/>
        <w:ind w:left="0" w:leftChars="0" w:right="0" w:rightChars="0" w:firstLine="643" w:firstLineChars="200"/>
        <w:rPr>
          <w:rFonts w:hint="eastAsia" w:ascii="仿宋_GB2312" w:hAnsi="仿宋_GB2312" w:eastAsia="仿宋_GB2312" w:cs="仿宋_GB2312"/>
          <w:b/>
          <w:color w:val="auto"/>
          <w:sz w:val="32"/>
          <w:szCs w:val="32"/>
        </w:rPr>
      </w:pPr>
    </w:p>
    <w:p w14:paraId="0917140D">
      <w:pPr>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25AE0187">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4</w:t>
      </w:r>
    </w:p>
    <w:p w14:paraId="180348E7">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Arial Unicode MS" w:hAnsi="Times New Roman" w:eastAsia="Arial Unicode MS" w:cs="Arial Unicode MS"/>
          <w:bCs/>
          <w:color w:val="auto"/>
          <w:kern w:val="44"/>
          <w:sz w:val="44"/>
          <w:szCs w:val="44"/>
          <w:highlight w:val="none"/>
          <w:lang w:bidi="ar"/>
        </w:rPr>
      </w:pPr>
      <w:r>
        <w:rPr>
          <w:rFonts w:hint="eastAsia" w:ascii="Arial Unicode MS" w:hAnsi="Times New Roman" w:eastAsia="Arial Unicode MS" w:cs="Arial Unicode MS"/>
          <w:bCs/>
          <w:color w:val="auto"/>
          <w:kern w:val="44"/>
          <w:sz w:val="44"/>
          <w:szCs w:val="44"/>
          <w:highlight w:val="none"/>
          <w:lang w:bidi="ar"/>
        </w:rPr>
        <w:t>投标人信用承诺书</w:t>
      </w:r>
    </w:p>
    <w:p w14:paraId="2708324E">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本单位及法定代表人，清楚知晓并参与本项目的招投标活动，并作出承诺如下：</w:t>
      </w:r>
    </w:p>
    <w:p w14:paraId="632E5B01">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一、遵循公开、公平、公正和诚实信用的原则，依法依规参与本项目招投标活动。</w:t>
      </w:r>
    </w:p>
    <w:p w14:paraId="059DDADC">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二、严格按照本次招标文件中的投标人资格要求提供相应投标资料，并在</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 xml:space="preserve"> 中录入的所有企业信息和上传的企业资料都是真实、有效、准确且合法的，没有弄虚作假的情形。</w:t>
      </w:r>
    </w:p>
    <w:p w14:paraId="1AA98726">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三、在参与本项目招标投标活动中，不存在任何围标串标活动，也不存在以他人名义投标的行为。</w:t>
      </w:r>
    </w:p>
    <w:p w14:paraId="04A9DBCE">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四、在参与本项目招投标活动中，投标项目负责人无在建工程。</w:t>
      </w:r>
    </w:p>
    <w:p w14:paraId="745FCBBC">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五、在参与本项目招投标活动中，若投标人或项目负责人为失信被执行人的，自愿放弃本次投标资格。</w:t>
      </w:r>
    </w:p>
    <w:p w14:paraId="4CC4E911">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六、正确履行法律法规规定的投标人权利和义务，遵纪守法，清正廉洁，不徇私枉法，服从建设等行政主管部门监管，接受社会监督。</w:t>
      </w:r>
    </w:p>
    <w:p w14:paraId="42965AA1">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47000548">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本承诺书一经签订即作为中标合同的组成部分，对本单位参与本项目招投标活动的行为具有法律约束力。 </w:t>
      </w:r>
    </w:p>
    <w:p w14:paraId="59002D46">
      <w:pPr>
        <w:keepNext w:val="0"/>
        <w:keepLines w:val="0"/>
        <w:pageBreakBefore w:val="0"/>
        <w:kinsoku/>
        <w:wordWrap/>
        <w:overflowPunct/>
        <w:topLinePunct w:val="0"/>
        <w:bidi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投标人（盖章）：</w:t>
      </w:r>
    </w:p>
    <w:p w14:paraId="52F24025">
      <w:pPr>
        <w:keepNext w:val="0"/>
        <w:keepLines w:val="0"/>
        <w:pageBreakBefore w:val="0"/>
        <w:kinsoku/>
        <w:wordWrap/>
        <w:overflowPunct/>
        <w:topLinePunct w:val="0"/>
        <w:bidi w:val="0"/>
        <w:snapToGrid w:val="0"/>
        <w:spacing w:line="560" w:lineRule="exact"/>
        <w:ind w:left="0" w:leftChars="0" w:right="0" w:rightChars="0"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法定代表人（签字或盖章）：    </w:t>
      </w:r>
    </w:p>
    <w:p w14:paraId="1E2A3A5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67A51CD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00F828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4495418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6F586E7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161B282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6D3776C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0CF2FAD1">
      <w:pPr>
        <w:keepNext w:val="0"/>
        <w:keepLines w:val="0"/>
        <w:pageBreakBefore w:val="0"/>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rPr>
      </w:pPr>
    </w:p>
    <w:p w14:paraId="398BF3EE">
      <w:pPr>
        <w:keepNext w:val="0"/>
        <w:keepLines w:val="0"/>
        <w:pageBreakBefore w:val="0"/>
        <w:kinsoku/>
        <w:wordWrap/>
        <w:overflowPunct/>
        <w:topLinePunct w:val="0"/>
        <w:autoSpaceDE w:val="0"/>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p>
    <w:p w14:paraId="46A913C3">
      <w:pPr>
        <w:keepNext w:val="0"/>
        <w:keepLines w:val="0"/>
        <w:pageBreakBefore w:val="0"/>
        <w:kinsoku/>
        <w:wordWrap/>
        <w:overflowPunct/>
        <w:topLinePunct w:val="0"/>
        <w:autoSpaceDE w:val="0"/>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p>
    <w:p w14:paraId="4688515C">
      <w:pPr>
        <w:keepNext w:val="0"/>
        <w:keepLines w:val="0"/>
        <w:pageBreakBefore w:val="0"/>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p>
    <w:sectPr>
      <w:footerReference r:id="rId6" w:type="default"/>
      <w:pgSz w:w="11906" w:h="16838"/>
      <w:pgMar w:top="1928" w:right="1361" w:bottom="215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71C8262-6D91-425D-B998-040D4C78EFB5}"/>
  </w:font>
  <w:font w:name="黑体">
    <w:panose1 w:val="02010609060101010101"/>
    <w:charset w:val="86"/>
    <w:family w:val="auto"/>
    <w:pitch w:val="default"/>
    <w:sig w:usb0="800002BF" w:usb1="38CF7CFA" w:usb2="00000016" w:usb3="00000000" w:csb0="00040001" w:csb1="00000000"/>
    <w:embedRegular r:id="rId2" w:fontKey="{F69AD776-C20D-4600-A020-B7A1E10E5C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embedRegular r:id="rId3" w:fontKey="{D9BA441C-01FD-4E23-9703-56925D592022}"/>
  </w:font>
  <w:font w:name="仿宋_GB2312">
    <w:panose1 w:val="02010609030101010101"/>
    <w:charset w:val="86"/>
    <w:family w:val="auto"/>
    <w:pitch w:val="default"/>
    <w:sig w:usb0="00000001" w:usb1="080E0000" w:usb2="00000000" w:usb3="00000000" w:csb0="00040000" w:csb1="00000000"/>
    <w:embedRegular r:id="rId4" w:fontKey="{A1C2B3C5-9A6A-4188-BAE8-FB4FBCABBF20}"/>
  </w:font>
  <w:font w:name="微软雅黑">
    <w:panose1 w:val="020B0503020204020204"/>
    <w:charset w:val="86"/>
    <w:family w:val="auto"/>
    <w:pitch w:val="default"/>
    <w:sig w:usb0="80000287" w:usb1="2ACF3C50" w:usb2="00000016" w:usb3="00000000" w:csb0="0004001F" w:csb1="00000000"/>
    <w:embedRegular r:id="rId5" w:fontKey="{3F0487D6-0E64-4580-8742-BED808D2CD3C}"/>
  </w:font>
  <w:font w:name="WPSEMBED6">
    <w:panose1 w:val="020B0604020202020204"/>
    <w:charset w:val="86"/>
    <w:family w:val="auto"/>
    <w:pitch w:val="default"/>
    <w:sig w:usb0="FFFFFFFF" w:usb1="E9FFFFFF" w:usb2="0000003F" w:usb3="00000000" w:csb0="603F01FF" w:csb1="FFFF0000"/>
  </w:font>
  <w:font w:name="WPSEMBED7">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1E50">
    <w:pPr>
      <w:pStyle w:val="7"/>
      <w:framePr w:wrap="around" w:vAnchor="text" w:hAnchor="margin" w:xAlign="center" w:y="2"/>
      <w:rPr>
        <w:rStyle w:val="13"/>
      </w:rPr>
    </w:pPr>
    <w:r>
      <w:fldChar w:fldCharType="begin"/>
    </w:r>
    <w:r>
      <w:rPr>
        <w:rStyle w:val="13"/>
      </w:rPr>
      <w:instrText xml:space="preserve">PAGE  </w:instrText>
    </w:r>
    <w:r>
      <w:fldChar w:fldCharType="separate"/>
    </w:r>
    <w:r>
      <w:rPr>
        <w:rStyle w:val="13"/>
      </w:rPr>
      <w:t>2</w:t>
    </w:r>
    <w:r>
      <w:fldChar w:fldCharType="end"/>
    </w:r>
  </w:p>
  <w:p w14:paraId="401ED4F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C009">
    <w:pPr>
      <w:pStyle w:val="7"/>
      <w:framePr w:wrap="around" w:vAnchor="text" w:hAnchor="margin" w:xAlign="center" w:y="2"/>
      <w:rPr>
        <w:rStyle w:val="13"/>
      </w:rPr>
    </w:pPr>
    <w:r>
      <w:fldChar w:fldCharType="begin"/>
    </w:r>
    <w:r>
      <w:rPr>
        <w:rStyle w:val="13"/>
      </w:rPr>
      <w:instrText xml:space="preserve">PAGE  </w:instrText>
    </w:r>
    <w:r>
      <w:fldChar w:fldCharType="end"/>
    </w:r>
  </w:p>
  <w:p w14:paraId="398AA21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DE14">
    <w:pPr>
      <w:pStyle w:val="7"/>
      <w:ind w:firstLine="360"/>
    </w:pPr>
    <w:r>
      <mc:AlternateContent>
        <mc:Choice Requires="wps">
          <w:drawing>
            <wp:anchor distT="0" distB="0" distL="114300" distR="114300" simplePos="0" relativeHeight="251659264" behindDoc="0" locked="0" layoutInCell="1" allowOverlap="1">
              <wp:simplePos x="0" y="0"/>
              <wp:positionH relativeFrom="margin">
                <wp:posOffset>2546985</wp:posOffset>
              </wp:positionH>
              <wp:positionV relativeFrom="paragraph">
                <wp:posOffset>-130810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102B8">
                          <w:pPr>
                            <w:pStyle w:val="7"/>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5pt;margin-top:-10.3pt;height:22.2pt;width:47.45pt;mso-position-horizontal-relative:margin;z-index:251659264;mso-width-relative:page;mso-height-relative:page;" filled="f" stroked="f" coordsize="21600,21600" o:gfxdata="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kdzZ2QAAAAoBAAAPAAAAAAAAAAEAIAAAACIAAABkcnMvZG93bnJldi54bWxQ&#10;SwECFAAUAAAACACHTuJAvS1t1C8CAABVBAAADgAAAAAAAAABACAAAAAoAQAAZHJzL2Uyb0RvYy54&#10;bWxQSwUGAAAAAAYABgBZAQAAyQUAAAAA&#10;">
              <v:fill on="f" focussize="0,0"/>
              <v:stroke on="f" weight="0.5pt"/>
              <v:imagedata o:title=""/>
              <o:lock v:ext="edit" aspectratio="f"/>
              <v:textbox inset="0mm,0mm,0mm,0mm">
                <w:txbxContent>
                  <w:p w14:paraId="22F102B8">
                    <w:pPr>
                      <w:pStyle w:val="7"/>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AA2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DJhOGQyNjk0MWY4MjFkYWRjODc3ZmY5YzM2OGQifQ=="/>
  </w:docVars>
  <w:rsids>
    <w:rsidRoot w:val="4E7A625A"/>
    <w:rsid w:val="00A01A0A"/>
    <w:rsid w:val="00A221F9"/>
    <w:rsid w:val="00B51FAF"/>
    <w:rsid w:val="00C220B7"/>
    <w:rsid w:val="00F0589F"/>
    <w:rsid w:val="018E14F6"/>
    <w:rsid w:val="03647853"/>
    <w:rsid w:val="05CB4E38"/>
    <w:rsid w:val="06033F82"/>
    <w:rsid w:val="06236B88"/>
    <w:rsid w:val="06690735"/>
    <w:rsid w:val="068E3768"/>
    <w:rsid w:val="06940536"/>
    <w:rsid w:val="073C3880"/>
    <w:rsid w:val="08AD2EF4"/>
    <w:rsid w:val="0A305844"/>
    <w:rsid w:val="0AC63F81"/>
    <w:rsid w:val="0BBE4019"/>
    <w:rsid w:val="0C10591B"/>
    <w:rsid w:val="0C7B72F6"/>
    <w:rsid w:val="0D9E069F"/>
    <w:rsid w:val="0E96630C"/>
    <w:rsid w:val="10495085"/>
    <w:rsid w:val="105E7254"/>
    <w:rsid w:val="10623011"/>
    <w:rsid w:val="113B44EC"/>
    <w:rsid w:val="11B81FE1"/>
    <w:rsid w:val="12396644"/>
    <w:rsid w:val="13B33406"/>
    <w:rsid w:val="140A17A1"/>
    <w:rsid w:val="157C2289"/>
    <w:rsid w:val="1586742B"/>
    <w:rsid w:val="168D7598"/>
    <w:rsid w:val="17251F02"/>
    <w:rsid w:val="17F81389"/>
    <w:rsid w:val="191507FE"/>
    <w:rsid w:val="19694374"/>
    <w:rsid w:val="1A1850E2"/>
    <w:rsid w:val="1A797BAB"/>
    <w:rsid w:val="1B213295"/>
    <w:rsid w:val="1B4A3ACE"/>
    <w:rsid w:val="1B565763"/>
    <w:rsid w:val="1C10029E"/>
    <w:rsid w:val="1C391C39"/>
    <w:rsid w:val="1C3D736A"/>
    <w:rsid w:val="1CA20C86"/>
    <w:rsid w:val="1CB117C2"/>
    <w:rsid w:val="1D777799"/>
    <w:rsid w:val="1E56319D"/>
    <w:rsid w:val="1F325180"/>
    <w:rsid w:val="1F8343DB"/>
    <w:rsid w:val="20396400"/>
    <w:rsid w:val="20480747"/>
    <w:rsid w:val="21DA2518"/>
    <w:rsid w:val="21DD7533"/>
    <w:rsid w:val="220B1557"/>
    <w:rsid w:val="225E628C"/>
    <w:rsid w:val="22993263"/>
    <w:rsid w:val="24A7216D"/>
    <w:rsid w:val="24AA7A3F"/>
    <w:rsid w:val="24BB4C9A"/>
    <w:rsid w:val="257419FF"/>
    <w:rsid w:val="25CA2B30"/>
    <w:rsid w:val="269F1681"/>
    <w:rsid w:val="26B618CC"/>
    <w:rsid w:val="26B92096"/>
    <w:rsid w:val="27DE2FC0"/>
    <w:rsid w:val="2A614A98"/>
    <w:rsid w:val="2C244FA1"/>
    <w:rsid w:val="2C6142AE"/>
    <w:rsid w:val="2C6E6376"/>
    <w:rsid w:val="2CCF4C96"/>
    <w:rsid w:val="2DFA3107"/>
    <w:rsid w:val="2EA3406A"/>
    <w:rsid w:val="2FBD0A5E"/>
    <w:rsid w:val="2FE619F1"/>
    <w:rsid w:val="31E141DA"/>
    <w:rsid w:val="33D32CCC"/>
    <w:rsid w:val="34FD1935"/>
    <w:rsid w:val="35C208D5"/>
    <w:rsid w:val="35E81ABA"/>
    <w:rsid w:val="38296BB0"/>
    <w:rsid w:val="384977AD"/>
    <w:rsid w:val="39741EA2"/>
    <w:rsid w:val="3CA533CD"/>
    <w:rsid w:val="3DDE0DD4"/>
    <w:rsid w:val="3DF8713D"/>
    <w:rsid w:val="3E0A4B97"/>
    <w:rsid w:val="3EA9688B"/>
    <w:rsid w:val="3EFD02AE"/>
    <w:rsid w:val="3F6F2FB1"/>
    <w:rsid w:val="3F716AD8"/>
    <w:rsid w:val="3FE24949"/>
    <w:rsid w:val="410200B3"/>
    <w:rsid w:val="425158A3"/>
    <w:rsid w:val="42AC759A"/>
    <w:rsid w:val="42C002CF"/>
    <w:rsid w:val="44FA347A"/>
    <w:rsid w:val="45290F50"/>
    <w:rsid w:val="45812155"/>
    <w:rsid w:val="484D176C"/>
    <w:rsid w:val="48F32012"/>
    <w:rsid w:val="4A7B65EB"/>
    <w:rsid w:val="4B751DCD"/>
    <w:rsid w:val="4D1865A3"/>
    <w:rsid w:val="4E3E6DEE"/>
    <w:rsid w:val="4E7A625A"/>
    <w:rsid w:val="4E921BF3"/>
    <w:rsid w:val="4EDD74E8"/>
    <w:rsid w:val="4F020368"/>
    <w:rsid w:val="4F80608F"/>
    <w:rsid w:val="4FC43323"/>
    <w:rsid w:val="50155128"/>
    <w:rsid w:val="503572C0"/>
    <w:rsid w:val="511D4F82"/>
    <w:rsid w:val="51B3364F"/>
    <w:rsid w:val="55AD03B6"/>
    <w:rsid w:val="566B3D9C"/>
    <w:rsid w:val="57DD440B"/>
    <w:rsid w:val="57F24E68"/>
    <w:rsid w:val="58BB30A2"/>
    <w:rsid w:val="58EF4377"/>
    <w:rsid w:val="58F447C2"/>
    <w:rsid w:val="594E12AA"/>
    <w:rsid w:val="59537B91"/>
    <w:rsid w:val="59C15A6E"/>
    <w:rsid w:val="5AB3021C"/>
    <w:rsid w:val="5B432946"/>
    <w:rsid w:val="5BD73D3B"/>
    <w:rsid w:val="5C1473E0"/>
    <w:rsid w:val="5E137A36"/>
    <w:rsid w:val="5E5553C7"/>
    <w:rsid w:val="607C3927"/>
    <w:rsid w:val="612B684E"/>
    <w:rsid w:val="61527712"/>
    <w:rsid w:val="619914FD"/>
    <w:rsid w:val="63176E75"/>
    <w:rsid w:val="637A5646"/>
    <w:rsid w:val="639A01CB"/>
    <w:rsid w:val="63F4603A"/>
    <w:rsid w:val="63FA4B54"/>
    <w:rsid w:val="64093F70"/>
    <w:rsid w:val="651346D9"/>
    <w:rsid w:val="65923B91"/>
    <w:rsid w:val="66017F6E"/>
    <w:rsid w:val="66D90E30"/>
    <w:rsid w:val="68110444"/>
    <w:rsid w:val="68352BB8"/>
    <w:rsid w:val="68AB6990"/>
    <w:rsid w:val="69173724"/>
    <w:rsid w:val="6AA40BD1"/>
    <w:rsid w:val="6BEB5FCA"/>
    <w:rsid w:val="6D0F5545"/>
    <w:rsid w:val="6D4E508A"/>
    <w:rsid w:val="6E2C2368"/>
    <w:rsid w:val="6F257305"/>
    <w:rsid w:val="70162D6E"/>
    <w:rsid w:val="704045D3"/>
    <w:rsid w:val="71726A12"/>
    <w:rsid w:val="72223297"/>
    <w:rsid w:val="72713C8B"/>
    <w:rsid w:val="73697BBA"/>
    <w:rsid w:val="73B75D5F"/>
    <w:rsid w:val="74231ACE"/>
    <w:rsid w:val="748553D3"/>
    <w:rsid w:val="76527987"/>
    <w:rsid w:val="773E295A"/>
    <w:rsid w:val="77B57F4F"/>
    <w:rsid w:val="77D15D7E"/>
    <w:rsid w:val="78091B5E"/>
    <w:rsid w:val="78AD248D"/>
    <w:rsid w:val="7C907F65"/>
    <w:rsid w:val="7C98391B"/>
    <w:rsid w:val="7D64046A"/>
    <w:rsid w:val="7D8A04D8"/>
    <w:rsid w:val="7E5D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00" w:line="440" w:lineRule="exact"/>
      <w:ind w:right="-2" w:rightChars="-1"/>
    </w:pPr>
    <w:rPr>
      <w:rFonts w:ascii="宋体" w:hAnsi="宋体"/>
      <w:sz w:val="28"/>
    </w:rPr>
  </w:style>
  <w:style w:type="paragraph" w:styleId="4">
    <w:name w:val="Body Text Indent"/>
    <w:basedOn w:val="1"/>
    <w:next w:val="5"/>
    <w:qFormat/>
    <w:uiPriority w:val="0"/>
    <w:pPr>
      <w:spacing w:line="360" w:lineRule="auto"/>
      <w:ind w:firstLine="570"/>
    </w:pPr>
    <w:rPr>
      <w:sz w:val="24"/>
    </w:rPr>
  </w:style>
  <w:style w:type="paragraph" w:styleId="5">
    <w:name w:val="Body Text First Indent 2"/>
    <w:basedOn w:val="1"/>
    <w:next w:val="1"/>
    <w:qFormat/>
    <w:uiPriority w:val="99"/>
    <w:pPr>
      <w:spacing w:after="120"/>
      <w:ind w:left="420" w:leftChars="200" w:firstLine="420"/>
    </w:pPr>
    <w:rPr>
      <w:color w:val="000000"/>
      <w:sz w:val="20"/>
    </w:rPr>
  </w:style>
  <w:style w:type="paragraph" w:styleId="6">
    <w:name w:val="Plain Text"/>
    <w:basedOn w:val="1"/>
    <w:qFormat/>
    <w:uiPriority w:val="0"/>
    <w:rPr>
      <w:rFonts w:ascii="宋体" w:hAnsi="Courier New"/>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22"/>
    <w:rPr>
      <w:b/>
      <w:bCs/>
    </w:rPr>
  </w:style>
  <w:style w:type="character" w:styleId="13">
    <w:name w:val="page number"/>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5010</Words>
  <Characters>5214</Characters>
  <Lines>19</Lines>
  <Paragraphs>5</Paragraphs>
  <TotalTime>25</TotalTime>
  <ScaleCrop>false</ScaleCrop>
  <LinksUpToDate>false</LinksUpToDate>
  <CharactersWithSpaces>5482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2024-01-31T19:09:00Z</dcterms:created>
  <dc:creator>糖果</dc:creator>
  <cp:lastModifiedBy>刘潍</cp:lastModifiedBy>
  <dcterms:modified xsi:type="dcterms:W3CDTF">2025-12-19T08:52:14Z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FA618D9D1B3640E8B784603B27EA59CD_13</vt:lpwstr>
  </property>
  <property fmtid="{D5CDD505-2E9C-101B-9397-08002B2CF9AE}" pid="4" name="KSOTemplateDocerSaveRecord">
    <vt:lpwstr>eyJoZGlkIjoiMTk5ZTE3MzAzZDMyNmQ3YzE5NzdiMDEyMjMzYzc3ODgiLCJ1c2VySWQiOiIzNzkyODY0MjUifQ==</vt:lpwstr>
  </property>
</Properties>
</file>