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AD0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2"/>
          <w:sz w:val="44"/>
          <w:szCs w:val="44"/>
          <w:lang w:val="en-US" w:eastAsia="zh-CN"/>
        </w:rPr>
      </w:pPr>
      <w:r>
        <w:rPr>
          <w:rFonts w:hint="eastAsia" w:ascii="Times New Roman" w:hAnsi="Times New Roman" w:eastAsia="方正小标宋简体" w:cs="Times New Roman"/>
          <w:color w:val="000000"/>
          <w:kern w:val="2"/>
          <w:sz w:val="44"/>
          <w:szCs w:val="44"/>
          <w:lang w:val="en-US" w:eastAsia="zh-CN"/>
        </w:rPr>
        <w:t>202</w:t>
      </w:r>
      <w:r>
        <w:rPr>
          <w:rFonts w:hint="eastAsia" w:ascii="Times New Roman" w:eastAsia="方正小标宋简体" w:cs="Times New Roman"/>
          <w:color w:val="000000"/>
          <w:kern w:val="2"/>
          <w:sz w:val="44"/>
          <w:szCs w:val="44"/>
          <w:lang w:val="en-US" w:eastAsia="zh-CN"/>
        </w:rPr>
        <w:t>5</w:t>
      </w:r>
      <w:r>
        <w:rPr>
          <w:rFonts w:hint="eastAsia" w:ascii="Times New Roman" w:hAnsi="Times New Roman" w:eastAsia="方正小标宋简体" w:cs="Times New Roman"/>
          <w:color w:val="000000"/>
          <w:kern w:val="2"/>
          <w:sz w:val="44"/>
          <w:szCs w:val="44"/>
          <w:lang w:val="en-US" w:eastAsia="zh-CN"/>
        </w:rPr>
        <w:t>年新北区</w:t>
      </w:r>
      <w:r>
        <w:rPr>
          <w:rFonts w:hint="eastAsia" w:ascii="Times New Roman" w:eastAsia="方正小标宋简体" w:cs="Times New Roman"/>
          <w:color w:val="000000"/>
          <w:kern w:val="2"/>
          <w:sz w:val="44"/>
          <w:szCs w:val="44"/>
          <w:lang w:val="en-US" w:eastAsia="zh-CN"/>
        </w:rPr>
        <w:t>车用汽柴油</w:t>
      </w:r>
      <w:r>
        <w:rPr>
          <w:rFonts w:hint="eastAsia" w:ascii="Times New Roman" w:hAnsi="Times New Roman" w:eastAsia="方正小标宋简体" w:cs="Times New Roman"/>
          <w:color w:val="000000"/>
          <w:kern w:val="2"/>
          <w:sz w:val="44"/>
          <w:szCs w:val="44"/>
          <w:lang w:val="en-US" w:eastAsia="zh-CN"/>
        </w:rPr>
        <w:t>产品质量</w:t>
      </w:r>
    </w:p>
    <w:p w14:paraId="1FBB5B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2"/>
          <w:szCs w:val="32"/>
          <w:lang w:val="en-US" w:bidi="ar-SA"/>
        </w:rPr>
      </w:pPr>
      <w:r>
        <w:rPr>
          <w:rFonts w:hint="eastAsia" w:ascii="Times New Roman" w:hAnsi="Times New Roman" w:eastAsia="方正小标宋简体" w:cs="Times New Roman"/>
          <w:color w:val="000000"/>
          <w:kern w:val="2"/>
          <w:sz w:val="44"/>
          <w:szCs w:val="44"/>
          <w:lang w:val="en-US" w:eastAsia="zh-CN"/>
        </w:rPr>
        <w:t>监督抽查分析报告</w:t>
      </w:r>
    </w:p>
    <w:p w14:paraId="216B490A">
      <w:pPr>
        <w:spacing w:line="570" w:lineRule="exact"/>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w:t>
      </w:r>
      <w:bookmarkStart w:id="0" w:name="_bookmark3"/>
      <w:bookmarkEnd w:id="0"/>
      <w:r>
        <w:rPr>
          <w:rFonts w:hint="eastAsia" w:ascii="黑体" w:hAnsi="黑体" w:eastAsia="黑体" w:cs="黑体"/>
          <w:b w:val="0"/>
          <w:bCs w:val="0"/>
          <w:kern w:val="2"/>
          <w:sz w:val="32"/>
          <w:szCs w:val="32"/>
          <w:lang w:val="en-US" w:eastAsia="zh-CN" w:bidi="ar-SA"/>
        </w:rPr>
        <w:t>总体情况</w:t>
      </w:r>
    </w:p>
    <w:p w14:paraId="0009EB4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sz w:val="32"/>
          <w:szCs w:val="32"/>
        </w:rPr>
      </w:pPr>
      <w:r>
        <w:rPr>
          <w:rFonts w:hint="eastAsia" w:ascii="仿宋" w:hAnsi="仿宋" w:eastAsia="仿宋" w:cs="仿宋"/>
          <w:sz w:val="32"/>
          <w:szCs w:val="32"/>
          <w:lang w:val="en-US" w:eastAsia="zh-CN" w:bidi="ar-SA"/>
        </w:rPr>
        <w:t>2025年常州国家高新技术产业开发区（新北区）市场监督管理局委托</w:t>
      </w:r>
      <w:r>
        <w:rPr>
          <w:rFonts w:hint="eastAsia" w:ascii="仿宋" w:hAnsi="仿宋" w:eastAsia="仿宋"/>
          <w:sz w:val="32"/>
          <w:szCs w:val="32"/>
        </w:rPr>
        <w:t>常州检验检测标准认证研究院</w:t>
      </w:r>
      <w:r>
        <w:rPr>
          <w:rFonts w:hint="eastAsia" w:ascii="仿宋" w:hAnsi="仿宋" w:eastAsia="仿宋" w:cs="仿宋"/>
          <w:sz w:val="32"/>
          <w:szCs w:val="32"/>
          <w:lang w:val="en-US" w:eastAsia="zh-CN" w:bidi="ar-SA"/>
        </w:rPr>
        <w:t>对车用汽柴油开展定期监督抽查。</w:t>
      </w:r>
      <w:r>
        <w:rPr>
          <w:rFonts w:hint="eastAsia" w:ascii="仿宋_GB2312" w:hAnsi="宋体" w:eastAsia="仿宋_GB2312"/>
          <w:sz w:val="32"/>
          <w:szCs w:val="32"/>
        </w:rPr>
        <w:t>本次监督抽查对象为区内加油站，抽查范围为全区</w:t>
      </w:r>
      <w:r>
        <w:rPr>
          <w:rFonts w:hint="eastAsia" w:ascii="仿宋_GB2312" w:hAnsi="宋体" w:eastAsia="仿宋_GB2312" w:cs="宋体"/>
          <w:color w:val="000000"/>
          <w:sz w:val="32"/>
          <w:szCs w:val="32"/>
          <w:lang w:bidi="ar"/>
        </w:rPr>
        <w:t>加油站</w:t>
      </w:r>
      <w:r>
        <w:rPr>
          <w:rFonts w:hint="eastAsia" w:ascii="仿宋_GB2312" w:hAnsi="仿宋" w:eastAsia="仿宋_GB2312" w:cs="宋体"/>
          <w:sz w:val="32"/>
          <w:szCs w:val="32"/>
        </w:rPr>
        <w:t>经营</w:t>
      </w:r>
      <w:r>
        <w:rPr>
          <w:rFonts w:hint="eastAsia" w:ascii="仿宋_GB2312" w:hAnsi="宋体" w:eastAsia="仿宋_GB2312" w:cs="宋体"/>
          <w:color w:val="000000"/>
          <w:sz w:val="32"/>
          <w:szCs w:val="32"/>
          <w:lang w:bidi="ar"/>
        </w:rPr>
        <w:t>的车用汽柴油产品</w:t>
      </w:r>
      <w:r>
        <w:rPr>
          <w:rFonts w:hint="eastAsia" w:ascii="仿宋_GB2312" w:hAnsi="宋体" w:eastAsia="仿宋_GB2312" w:cs="宋体"/>
          <w:sz w:val="32"/>
          <w:szCs w:val="32"/>
        </w:rPr>
        <w:t>，各加油站抽取</w:t>
      </w:r>
      <w:r>
        <w:rPr>
          <w:rFonts w:hint="eastAsia" w:ascii="Times New Roman" w:hAnsi="Times New Roman" w:eastAsia="仿宋_GB2312" w:cs="Times New Roman"/>
          <w:sz w:val="32"/>
          <w:szCs w:val="32"/>
        </w:rPr>
        <w:t>3</w:t>
      </w:r>
      <w:r>
        <w:rPr>
          <w:rFonts w:ascii="仿宋_GB2312" w:hAnsi="宋体" w:eastAsia="仿宋_GB2312" w:cs="宋体"/>
          <w:sz w:val="32"/>
          <w:szCs w:val="32"/>
        </w:rPr>
        <w:t>批次</w:t>
      </w:r>
      <w:r>
        <w:rPr>
          <w:rFonts w:hint="eastAsia" w:ascii="仿宋_GB2312" w:hAnsi="宋体" w:eastAsia="仿宋_GB2312"/>
          <w:sz w:val="32"/>
          <w:szCs w:val="32"/>
        </w:rPr>
        <w:t>，共抽查</w:t>
      </w:r>
      <w:r>
        <w:rPr>
          <w:rFonts w:hint="eastAsia" w:ascii="Times New Roman" w:hAnsi="Times New Roman" w:eastAsia="仿宋_GB2312" w:cs="Times New Roman"/>
          <w:sz w:val="32"/>
          <w:szCs w:val="32"/>
        </w:rPr>
        <w:t>30</w:t>
      </w:r>
      <w:r>
        <w:rPr>
          <w:rFonts w:hint="eastAsia" w:ascii="仿宋_GB2312" w:hAnsi="宋体" w:eastAsia="仿宋_GB2312"/>
          <w:sz w:val="32"/>
          <w:szCs w:val="32"/>
        </w:rPr>
        <w:t>批次。根据本次车用</w:t>
      </w:r>
      <w:r>
        <w:rPr>
          <w:rFonts w:hint="eastAsia" w:ascii="仿宋_GB2312" w:hAnsi="宋体" w:eastAsia="仿宋_GB2312" w:cs="宋体"/>
          <w:sz w:val="32"/>
          <w:szCs w:val="32"/>
        </w:rPr>
        <w:t>汽柴油</w:t>
      </w:r>
      <w:r>
        <w:rPr>
          <w:rFonts w:hint="eastAsia" w:ascii="仿宋_GB2312" w:hAnsi="宋体" w:eastAsia="仿宋_GB2312"/>
          <w:sz w:val="32"/>
          <w:szCs w:val="32"/>
        </w:rPr>
        <w:t>抽检数据分析，共抽查车用</w:t>
      </w:r>
      <w:r>
        <w:rPr>
          <w:rFonts w:hint="eastAsia" w:ascii="仿宋_GB2312" w:hAnsi="宋体" w:eastAsia="仿宋_GB2312" w:cs="宋体"/>
          <w:sz w:val="32"/>
          <w:szCs w:val="32"/>
        </w:rPr>
        <w:t>汽油</w:t>
      </w:r>
      <w:r>
        <w:rPr>
          <w:rFonts w:hint="eastAsia" w:ascii="仿宋_GB2312" w:hAnsi="宋体" w:eastAsia="仿宋_GB2312"/>
          <w:sz w:val="32"/>
          <w:szCs w:val="32"/>
        </w:rPr>
        <w:t>产品</w:t>
      </w:r>
      <w:r>
        <w:rPr>
          <w:rFonts w:hint="eastAsia" w:ascii="Times New Roman" w:hAnsi="Times New Roman" w:eastAsia="仿宋_GB2312" w:cs="Times New Roman"/>
          <w:sz w:val="32"/>
          <w:szCs w:val="32"/>
          <w:lang w:val="en-US"/>
        </w:rPr>
        <w:t>20</w:t>
      </w:r>
      <w:r>
        <w:rPr>
          <w:rFonts w:hint="eastAsia" w:ascii="仿宋_GB2312" w:hAnsi="宋体" w:eastAsia="仿宋_GB2312"/>
          <w:sz w:val="32"/>
          <w:szCs w:val="32"/>
        </w:rPr>
        <w:t>批次，合格</w:t>
      </w:r>
      <w:r>
        <w:rPr>
          <w:rFonts w:hint="eastAsia" w:ascii="Times New Roman" w:hAnsi="Times New Roman" w:eastAsia="仿宋_GB2312" w:cs="Times New Roman"/>
          <w:sz w:val="32"/>
          <w:szCs w:val="32"/>
          <w:lang w:val="en-US"/>
        </w:rPr>
        <w:t>20</w:t>
      </w:r>
      <w:r>
        <w:rPr>
          <w:rFonts w:hint="eastAsia" w:ascii="仿宋_GB2312" w:hAnsi="宋体" w:eastAsia="仿宋_GB2312"/>
          <w:sz w:val="32"/>
          <w:szCs w:val="32"/>
        </w:rPr>
        <w:t>批次。共抽查车用</w:t>
      </w:r>
      <w:r>
        <w:rPr>
          <w:rFonts w:hint="eastAsia" w:ascii="仿宋_GB2312" w:hAnsi="宋体" w:eastAsia="仿宋_GB2312" w:cs="宋体"/>
          <w:sz w:val="32"/>
          <w:szCs w:val="32"/>
        </w:rPr>
        <w:t>柴油</w:t>
      </w:r>
      <w:r>
        <w:rPr>
          <w:rFonts w:hint="eastAsia" w:ascii="仿宋_GB2312" w:hAnsi="宋体" w:eastAsia="仿宋_GB2312"/>
          <w:sz w:val="32"/>
          <w:szCs w:val="32"/>
        </w:rPr>
        <w:t>产品</w:t>
      </w:r>
      <w:r>
        <w:rPr>
          <w:rFonts w:hint="eastAsia" w:ascii="Times New Roman" w:hAnsi="Times New Roman" w:eastAsia="仿宋_GB2312" w:cs="Times New Roman"/>
          <w:sz w:val="32"/>
          <w:szCs w:val="32"/>
          <w:lang w:val="en-US"/>
        </w:rPr>
        <w:t>10</w:t>
      </w:r>
      <w:r>
        <w:rPr>
          <w:rFonts w:hint="eastAsia" w:ascii="仿宋_GB2312" w:hAnsi="宋体" w:eastAsia="仿宋_GB2312"/>
          <w:sz w:val="32"/>
          <w:szCs w:val="32"/>
        </w:rPr>
        <w:t>批次，合格</w:t>
      </w:r>
      <w:r>
        <w:rPr>
          <w:rFonts w:hint="eastAsia" w:ascii="Times New Roman" w:hAnsi="Times New Roman" w:eastAsia="仿宋_GB2312" w:cs="Times New Roman"/>
          <w:sz w:val="32"/>
          <w:szCs w:val="32"/>
          <w:lang w:val="en-US"/>
        </w:rPr>
        <w:t>10</w:t>
      </w:r>
      <w:r>
        <w:rPr>
          <w:rFonts w:hint="eastAsia" w:ascii="仿宋_GB2312" w:hAnsi="宋体" w:eastAsia="仿宋_GB2312"/>
          <w:sz w:val="32"/>
          <w:szCs w:val="32"/>
        </w:rPr>
        <w:t>批次。整体情况</w:t>
      </w:r>
      <w:r>
        <w:rPr>
          <w:rFonts w:hint="eastAsia" w:ascii="仿宋_GB2312" w:hAnsi="宋体" w:eastAsia="仿宋_GB2312"/>
          <w:sz w:val="32"/>
          <w:szCs w:val="32"/>
          <w:lang w:val="en-US" w:eastAsia="zh-CN"/>
        </w:rPr>
        <w:t>较好</w:t>
      </w:r>
      <w:r>
        <w:rPr>
          <w:rFonts w:hint="eastAsia" w:ascii="仿宋_GB2312" w:hAnsi="宋体" w:eastAsia="仿宋_GB2312"/>
          <w:sz w:val="32"/>
          <w:szCs w:val="32"/>
        </w:rPr>
        <w:t>。</w:t>
      </w:r>
    </w:p>
    <w:p w14:paraId="5FDE29AE">
      <w:pPr>
        <w:adjustRightInd w:val="0"/>
        <w:snapToGrid w:val="0"/>
        <w:spacing w:line="570" w:lineRule="exact"/>
        <w:jc w:val="center"/>
        <w:rPr>
          <w:rFonts w:ascii="仿宋_GB2312" w:hAnsi="宋体" w:eastAsia="仿宋_GB2312"/>
          <w:b w:val="0"/>
          <w:bCs/>
          <w:sz w:val="32"/>
          <w:szCs w:val="32"/>
        </w:rPr>
      </w:pPr>
      <w:r>
        <w:rPr>
          <w:rFonts w:hint="eastAsia" w:ascii="仿宋_GB2312" w:hAnsi="宋体" w:eastAsia="仿宋_GB2312"/>
          <w:b w:val="0"/>
          <w:bCs/>
          <w:sz w:val="32"/>
          <w:szCs w:val="32"/>
        </w:rPr>
        <w:t>表</w:t>
      </w:r>
      <w:r>
        <w:rPr>
          <w:rFonts w:ascii="Times New Roman" w:hAnsi="Times New Roman" w:eastAsia="仿宋_GB2312" w:cs="Times New Roman"/>
          <w:b w:val="0"/>
          <w:bCs/>
          <w:sz w:val="32"/>
          <w:szCs w:val="32"/>
        </w:rPr>
        <w:t>1</w:t>
      </w:r>
      <w:r>
        <w:rPr>
          <w:rFonts w:hint="eastAsia" w:ascii="仿宋_GB2312" w:hAnsi="宋体" w:eastAsia="仿宋_GB2312"/>
          <w:b w:val="0"/>
          <w:bCs/>
          <w:sz w:val="32"/>
          <w:szCs w:val="32"/>
        </w:rPr>
        <w:t>：车用汽柴油样品来源</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7"/>
        <w:gridCol w:w="5902"/>
      </w:tblGrid>
      <w:tr w14:paraId="1768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357" w:type="dxa"/>
            <w:vAlign w:val="center"/>
          </w:tcPr>
          <w:p w14:paraId="7E1965EC">
            <w:pPr>
              <w:spacing w:line="570" w:lineRule="exact"/>
              <w:jc w:val="center"/>
              <w:rPr>
                <w:rFonts w:ascii="仿宋_GB2312" w:hAnsi="宋体" w:eastAsia="仿宋_GB2312"/>
                <w:sz w:val="32"/>
                <w:szCs w:val="32"/>
              </w:rPr>
            </w:pPr>
            <w:r>
              <w:rPr>
                <w:rFonts w:hint="eastAsia" w:ascii="仿宋_GB2312" w:hAnsi="宋体" w:eastAsia="仿宋_GB2312"/>
                <w:sz w:val="32"/>
                <w:szCs w:val="32"/>
              </w:rPr>
              <w:t>产品类别</w:t>
            </w:r>
          </w:p>
        </w:tc>
        <w:tc>
          <w:tcPr>
            <w:tcW w:w="5902" w:type="dxa"/>
            <w:vAlign w:val="center"/>
          </w:tcPr>
          <w:p w14:paraId="3A0231BA">
            <w:pPr>
              <w:spacing w:line="570" w:lineRule="exact"/>
              <w:jc w:val="center"/>
              <w:rPr>
                <w:rFonts w:ascii="仿宋_GB2312" w:hAnsi="宋体" w:eastAsia="仿宋_GB2312"/>
                <w:sz w:val="32"/>
                <w:szCs w:val="32"/>
                <w:lang w:val="en-US"/>
              </w:rPr>
            </w:pPr>
            <w:r>
              <w:rPr>
                <w:rFonts w:hint="eastAsia" w:ascii="仿宋_GB2312" w:hAnsi="宋体" w:eastAsia="仿宋_GB2312"/>
                <w:sz w:val="32"/>
                <w:szCs w:val="32"/>
                <w:lang w:val="en-US"/>
              </w:rPr>
              <w:t>抽查批次</w:t>
            </w:r>
          </w:p>
        </w:tc>
      </w:tr>
      <w:tr w14:paraId="323D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57" w:type="dxa"/>
            <w:vAlign w:val="center"/>
          </w:tcPr>
          <w:p w14:paraId="0CBC61FB">
            <w:pPr>
              <w:spacing w:line="570" w:lineRule="exact"/>
              <w:jc w:val="center"/>
              <w:rPr>
                <w:rFonts w:ascii="仿宋_GB2312" w:hAnsi="宋体" w:eastAsia="仿宋_GB2312"/>
                <w:sz w:val="32"/>
                <w:szCs w:val="32"/>
              </w:rPr>
            </w:pPr>
            <w:r>
              <w:rPr>
                <w:rFonts w:hint="eastAsia" w:ascii="仿宋_GB2312" w:hAnsi="宋体" w:eastAsia="仿宋_GB2312"/>
                <w:sz w:val="32"/>
                <w:szCs w:val="32"/>
              </w:rPr>
              <w:t>车用汽油</w:t>
            </w:r>
          </w:p>
        </w:tc>
        <w:tc>
          <w:tcPr>
            <w:tcW w:w="5902" w:type="dxa"/>
            <w:vAlign w:val="center"/>
          </w:tcPr>
          <w:p w14:paraId="567C41A0">
            <w:pPr>
              <w:spacing w:line="570" w:lineRule="exact"/>
              <w:jc w:val="center"/>
              <w:rPr>
                <w:rFonts w:ascii="仿宋_GB2312" w:hAnsi="宋体" w:eastAsia="仿宋_GB2312" w:cs="宋体"/>
                <w:sz w:val="32"/>
                <w:szCs w:val="32"/>
              </w:rPr>
            </w:pPr>
            <w:r>
              <w:rPr>
                <w:rFonts w:hint="eastAsia" w:ascii="Times New Roman" w:hAnsi="Times New Roman" w:eastAsia="仿宋_GB2312" w:cs="Times New Roman"/>
                <w:sz w:val="32"/>
                <w:szCs w:val="32"/>
              </w:rPr>
              <w:t>20</w:t>
            </w:r>
            <w:r>
              <w:rPr>
                <w:rFonts w:hint="eastAsia" w:ascii="仿宋_GB2312" w:hAnsi="宋体" w:eastAsia="仿宋_GB2312" w:cs="宋体"/>
                <w:sz w:val="32"/>
                <w:szCs w:val="32"/>
              </w:rPr>
              <w:t>批次</w:t>
            </w:r>
          </w:p>
        </w:tc>
      </w:tr>
      <w:tr w14:paraId="36E0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57" w:type="dxa"/>
            <w:vAlign w:val="center"/>
          </w:tcPr>
          <w:p w14:paraId="655914A3">
            <w:pPr>
              <w:spacing w:line="570" w:lineRule="exact"/>
              <w:jc w:val="center"/>
              <w:rPr>
                <w:rFonts w:ascii="仿宋_GB2312" w:hAnsi="宋体" w:eastAsia="仿宋_GB2312"/>
                <w:sz w:val="32"/>
                <w:szCs w:val="32"/>
              </w:rPr>
            </w:pPr>
            <w:r>
              <w:rPr>
                <w:rFonts w:hint="eastAsia" w:ascii="仿宋_GB2312" w:hAnsi="宋体" w:eastAsia="仿宋_GB2312"/>
                <w:sz w:val="32"/>
                <w:szCs w:val="32"/>
              </w:rPr>
              <w:t>车用柴油</w:t>
            </w:r>
          </w:p>
        </w:tc>
        <w:tc>
          <w:tcPr>
            <w:tcW w:w="5902" w:type="dxa"/>
            <w:vAlign w:val="center"/>
          </w:tcPr>
          <w:p w14:paraId="6EA35299">
            <w:pPr>
              <w:spacing w:line="570" w:lineRule="exact"/>
              <w:jc w:val="center"/>
              <w:rPr>
                <w:rFonts w:ascii="仿宋_GB2312" w:hAnsi="宋体" w:eastAsia="仿宋_GB2312" w:cs="宋体"/>
                <w:sz w:val="32"/>
                <w:szCs w:val="32"/>
              </w:rPr>
            </w:pPr>
            <w:r>
              <w:rPr>
                <w:rFonts w:hint="eastAsia" w:ascii="Times New Roman" w:hAnsi="Times New Roman" w:eastAsia="仿宋_GB2312" w:cs="Times New Roman"/>
                <w:sz w:val="32"/>
                <w:szCs w:val="32"/>
              </w:rPr>
              <w:t>10</w:t>
            </w:r>
            <w:r>
              <w:rPr>
                <w:rFonts w:hint="eastAsia" w:ascii="仿宋_GB2312" w:hAnsi="宋体" w:eastAsia="仿宋_GB2312" w:cs="宋体"/>
                <w:sz w:val="32"/>
                <w:szCs w:val="32"/>
              </w:rPr>
              <w:t>批次</w:t>
            </w:r>
          </w:p>
        </w:tc>
      </w:tr>
    </w:tbl>
    <w:p w14:paraId="46822AFB">
      <w:pPr>
        <w:spacing w:line="570" w:lineRule="exact"/>
        <w:jc w:val="both"/>
        <w:rPr>
          <w:rFonts w:hint="eastAsia" w:ascii="仿宋_GB2312" w:hAnsi="宋体" w:eastAsia="仿宋_GB2312"/>
          <w:sz w:val="32"/>
          <w:szCs w:val="32"/>
          <w:lang w:val="en-US" w:eastAsia="zh-CN"/>
        </w:rPr>
      </w:pPr>
    </w:p>
    <w:p w14:paraId="22C246D3">
      <w:pPr>
        <w:keepNext w:val="0"/>
        <w:keepLines w:val="0"/>
        <w:pageBreakBefore w:val="0"/>
        <w:widowControl w:val="0"/>
        <w:kinsoku/>
        <w:wordWrap/>
        <w:overflowPunct/>
        <w:topLinePunct w:val="0"/>
        <w:autoSpaceDE/>
        <w:autoSpaceDN/>
        <w:bidi w:val="0"/>
        <w:adjustRightInd/>
        <w:spacing w:line="520" w:lineRule="exact"/>
        <w:textAlignment w:val="auto"/>
        <w:rPr>
          <w:rFonts w:hint="default"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二、综合分析</w:t>
      </w:r>
    </w:p>
    <w:p w14:paraId="2FBD0868">
      <w:pPr>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（一）</w:t>
      </w:r>
      <w:r>
        <w:rPr>
          <w:rFonts w:hint="eastAsia" w:ascii="楷体_GB2312" w:hAnsi="宋体" w:eastAsia="楷体_GB2312"/>
          <w:b w:val="0"/>
          <w:bCs/>
          <w:sz w:val="32"/>
          <w:szCs w:val="32"/>
        </w:rPr>
        <w:t>产品质量抽查情况</w:t>
      </w:r>
    </w:p>
    <w:p w14:paraId="18E6B58E">
      <w:pPr>
        <w:tabs>
          <w:tab w:val="left" w:pos="1313"/>
        </w:tabs>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本次抽检车用汽油产品</w:t>
      </w:r>
      <w:r>
        <w:rPr>
          <w:rFonts w:hint="eastAsia" w:ascii="Times New Roman" w:hAnsi="Times New Roman" w:eastAsia="仿宋_GB2312" w:cs="Times New Roman"/>
          <w:sz w:val="32"/>
          <w:szCs w:val="32"/>
          <w:lang w:val="en-US"/>
        </w:rPr>
        <w:t>20</w:t>
      </w:r>
      <w:r>
        <w:rPr>
          <w:rFonts w:hint="eastAsia" w:ascii="仿宋_GB2312" w:hAnsi="宋体" w:eastAsia="仿宋_GB2312"/>
          <w:sz w:val="32"/>
          <w:szCs w:val="32"/>
          <w:lang w:val="en-US"/>
        </w:rPr>
        <w:t>批次，</w:t>
      </w:r>
      <w:r>
        <w:rPr>
          <w:rFonts w:hint="eastAsia" w:ascii="仿宋_GB2312" w:hAnsi="宋体" w:eastAsia="仿宋_GB2312"/>
          <w:sz w:val="32"/>
          <w:szCs w:val="32"/>
        </w:rPr>
        <w:t>车用柴油产品</w:t>
      </w:r>
      <w:r>
        <w:rPr>
          <w:rFonts w:hint="eastAsia" w:ascii="Times New Roman" w:hAnsi="Times New Roman" w:eastAsia="仿宋_GB2312" w:cs="Times New Roman"/>
          <w:sz w:val="32"/>
          <w:szCs w:val="32"/>
          <w:lang w:val="en-US"/>
        </w:rPr>
        <w:t>10</w:t>
      </w:r>
      <w:r>
        <w:rPr>
          <w:rFonts w:hint="eastAsia" w:ascii="仿宋_GB2312" w:hAnsi="宋体" w:eastAsia="仿宋_GB2312"/>
          <w:sz w:val="32"/>
          <w:szCs w:val="32"/>
          <w:lang w:val="en-US"/>
        </w:rPr>
        <w:t>批次，共计</w:t>
      </w:r>
      <w:r>
        <w:rPr>
          <w:rFonts w:hint="eastAsia" w:ascii="Times New Roman" w:hAnsi="Times New Roman" w:eastAsia="仿宋_GB2312" w:cs="Times New Roman"/>
          <w:sz w:val="32"/>
          <w:szCs w:val="32"/>
          <w:lang w:val="en-US"/>
        </w:rPr>
        <w:t>30</w:t>
      </w:r>
      <w:r>
        <w:rPr>
          <w:rFonts w:hint="eastAsia" w:ascii="仿宋_GB2312" w:hAnsi="宋体" w:eastAsia="仿宋_GB2312"/>
          <w:sz w:val="32"/>
          <w:szCs w:val="32"/>
          <w:lang w:val="en-US"/>
        </w:rPr>
        <w:t>批次。经检测，合格</w:t>
      </w:r>
      <w:r>
        <w:rPr>
          <w:rFonts w:hint="eastAsia" w:ascii="Times New Roman" w:hAnsi="Times New Roman" w:eastAsia="仿宋_GB2312" w:cs="Times New Roman"/>
          <w:sz w:val="32"/>
          <w:szCs w:val="32"/>
          <w:lang w:val="en-US"/>
        </w:rPr>
        <w:t>30</w:t>
      </w:r>
      <w:r>
        <w:rPr>
          <w:rFonts w:hint="eastAsia" w:ascii="仿宋_GB2312" w:hAnsi="宋体" w:eastAsia="仿宋_GB2312"/>
          <w:sz w:val="32"/>
          <w:szCs w:val="32"/>
          <w:lang w:val="en-US"/>
        </w:rPr>
        <w:t>批次，合格率为</w:t>
      </w:r>
      <w:r>
        <w:rPr>
          <w:rFonts w:ascii="Times New Roman" w:hAnsi="Times New Roman" w:eastAsia="仿宋_GB2312" w:cs="Times New Roman"/>
          <w:sz w:val="32"/>
          <w:szCs w:val="32"/>
        </w:rPr>
        <w:t>100</w:t>
      </w:r>
      <w:r>
        <w:rPr>
          <w:rFonts w:hint="eastAsia" w:ascii="仿宋_GB2312" w:hAnsi="宋体" w:eastAsia="仿宋_GB2312"/>
          <w:sz w:val="32"/>
          <w:szCs w:val="32"/>
        </w:rPr>
        <w:t>%。</w:t>
      </w:r>
    </w:p>
    <w:p w14:paraId="6B32EA54">
      <w:pPr>
        <w:tabs>
          <w:tab w:val="left" w:pos="1313"/>
        </w:tabs>
        <w:spacing w:line="570" w:lineRule="exact"/>
        <w:rPr>
          <w:rFonts w:ascii="仿宋_GB2312" w:hAnsi="宋体" w:eastAsia="仿宋_GB2312" w:cs="宋体"/>
          <w:b/>
          <w:bCs/>
          <w:sz w:val="32"/>
          <w:szCs w:val="32"/>
        </w:rPr>
      </w:pPr>
      <w:bookmarkStart w:id="1" w:name="_Hlk42093049"/>
      <w:r>
        <w:rPr>
          <w:rFonts w:ascii="Times New Roman" w:hAnsi="Times New Roman" w:eastAsia="仿宋_GB2312" w:cs="Times New Roman"/>
          <w:b/>
          <w:bCs/>
          <w:sz w:val="32"/>
          <w:szCs w:val="32"/>
        </w:rPr>
        <w:t>1</w:t>
      </w:r>
      <w:r>
        <w:rPr>
          <w:rFonts w:hint="eastAsia" w:ascii="仿宋_GB2312" w:hAnsi="宋体" w:eastAsia="仿宋_GB2312" w:cs="宋体"/>
          <w:b/>
          <w:bCs/>
          <w:sz w:val="32"/>
          <w:szCs w:val="32"/>
        </w:rPr>
        <w:t>、各产品监督抽查情况</w:t>
      </w:r>
      <w:bookmarkEnd w:id="1"/>
    </w:p>
    <w:p w14:paraId="1AE4EE74">
      <w:pPr>
        <w:tabs>
          <w:tab w:val="left" w:pos="1313"/>
        </w:tabs>
        <w:spacing w:line="570" w:lineRule="exact"/>
        <w:jc w:val="center"/>
        <w:rPr>
          <w:rFonts w:ascii="仿宋_GB2312" w:hAnsi="宋体" w:eastAsia="仿宋_GB2312" w:cs="宋体"/>
          <w:b w:val="0"/>
          <w:bCs/>
          <w:sz w:val="32"/>
          <w:szCs w:val="32"/>
        </w:rPr>
      </w:pPr>
      <w:r>
        <w:rPr>
          <w:rFonts w:hint="eastAsia" w:ascii="仿宋_GB2312" w:hAnsi="宋体" w:eastAsia="仿宋_GB2312" w:cs="宋体"/>
          <w:b w:val="0"/>
          <w:bCs/>
          <w:sz w:val="32"/>
          <w:szCs w:val="32"/>
        </w:rPr>
        <w:t>表</w:t>
      </w:r>
      <w:r>
        <w:rPr>
          <w:rFonts w:hint="eastAsia" w:ascii="仿宋_GB2312" w:hAnsi="宋体" w:eastAsia="仿宋_GB2312" w:cs="宋体"/>
          <w:b w:val="0"/>
          <w:bCs/>
          <w:sz w:val="32"/>
          <w:szCs w:val="32"/>
          <w:lang w:val="en-US" w:eastAsia="zh-CN"/>
        </w:rPr>
        <w:t>2</w:t>
      </w:r>
      <w:r>
        <w:rPr>
          <w:rFonts w:hint="eastAsia" w:ascii="仿宋_GB2312" w:hAnsi="宋体" w:eastAsia="仿宋_GB2312" w:cs="宋体"/>
          <w:b w:val="0"/>
          <w:bCs/>
          <w:sz w:val="32"/>
          <w:szCs w:val="32"/>
          <w:lang w:val="en-US"/>
        </w:rPr>
        <w:t>：</w:t>
      </w:r>
      <w:r>
        <w:rPr>
          <w:rFonts w:hint="eastAsia" w:ascii="仿宋_GB2312" w:hAnsi="宋体" w:eastAsia="仿宋_GB2312" w:cs="宋体"/>
          <w:b w:val="0"/>
          <w:bCs/>
          <w:sz w:val="32"/>
          <w:szCs w:val="32"/>
        </w:rPr>
        <w:t>车用汽柴油监督抽查情况</w:t>
      </w:r>
    </w:p>
    <w:tbl>
      <w:tblPr>
        <w:tblStyle w:val="14"/>
        <w:tblW w:w="485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06"/>
        <w:gridCol w:w="1848"/>
        <w:gridCol w:w="1572"/>
        <w:gridCol w:w="1685"/>
        <w:gridCol w:w="1625"/>
        <w:gridCol w:w="1087"/>
      </w:tblGrid>
      <w:tr w14:paraId="20087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pct"/>
            <w:shd w:val="clear" w:color="auto" w:fill="auto"/>
            <w:vAlign w:val="center"/>
          </w:tcPr>
          <w:p w14:paraId="1FB5D15F">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序号</w:t>
            </w:r>
          </w:p>
        </w:tc>
        <w:tc>
          <w:tcPr>
            <w:tcW w:w="1047" w:type="pct"/>
            <w:shd w:val="clear" w:color="auto" w:fill="auto"/>
            <w:vAlign w:val="center"/>
          </w:tcPr>
          <w:p w14:paraId="28417C7D">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抽样地区</w:t>
            </w:r>
          </w:p>
        </w:tc>
        <w:tc>
          <w:tcPr>
            <w:tcW w:w="891" w:type="pct"/>
            <w:shd w:val="clear" w:color="auto" w:fill="auto"/>
            <w:vAlign w:val="center"/>
          </w:tcPr>
          <w:p w14:paraId="6B3D8EC4">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抽查批次</w:t>
            </w:r>
          </w:p>
        </w:tc>
        <w:tc>
          <w:tcPr>
            <w:tcW w:w="955" w:type="pct"/>
            <w:shd w:val="clear" w:color="auto" w:fill="auto"/>
            <w:vAlign w:val="center"/>
          </w:tcPr>
          <w:p w14:paraId="586A0031">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合格批次</w:t>
            </w:r>
          </w:p>
        </w:tc>
        <w:tc>
          <w:tcPr>
            <w:tcW w:w="921" w:type="pct"/>
            <w:shd w:val="clear" w:color="auto" w:fill="auto"/>
            <w:vAlign w:val="center"/>
          </w:tcPr>
          <w:p w14:paraId="43A0093C">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不合格批次</w:t>
            </w:r>
          </w:p>
        </w:tc>
        <w:tc>
          <w:tcPr>
            <w:tcW w:w="616" w:type="pct"/>
            <w:shd w:val="clear" w:color="auto" w:fill="auto"/>
            <w:vAlign w:val="center"/>
          </w:tcPr>
          <w:p w14:paraId="4CC91DBA">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合格率</w:t>
            </w:r>
          </w:p>
        </w:tc>
      </w:tr>
      <w:tr w14:paraId="6F099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pct"/>
            <w:shd w:val="clear" w:color="auto" w:fill="auto"/>
            <w:vAlign w:val="center"/>
          </w:tcPr>
          <w:p w14:paraId="0ADE57E5">
            <w:pPr>
              <w:adjustRightInd w:val="0"/>
              <w:snapToGrid w:val="0"/>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1047" w:type="pct"/>
            <w:shd w:val="clear" w:color="auto" w:fill="auto"/>
            <w:vAlign w:val="center"/>
          </w:tcPr>
          <w:p w14:paraId="7C364E11">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新北区</w:t>
            </w:r>
          </w:p>
        </w:tc>
        <w:tc>
          <w:tcPr>
            <w:tcW w:w="891" w:type="pct"/>
            <w:shd w:val="clear" w:color="auto" w:fill="auto"/>
            <w:vAlign w:val="center"/>
          </w:tcPr>
          <w:p w14:paraId="09575A57">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汽油</w:t>
            </w:r>
            <w:r>
              <w:rPr>
                <w:rFonts w:hint="eastAsia" w:ascii="Times New Roman" w:hAnsi="Times New Roman" w:eastAsia="仿宋_GB2312" w:cs="Times New Roman"/>
                <w:sz w:val="32"/>
                <w:szCs w:val="32"/>
              </w:rPr>
              <w:t>20</w:t>
            </w:r>
          </w:p>
        </w:tc>
        <w:tc>
          <w:tcPr>
            <w:tcW w:w="955" w:type="pct"/>
            <w:shd w:val="clear" w:color="auto" w:fill="auto"/>
            <w:vAlign w:val="center"/>
          </w:tcPr>
          <w:p w14:paraId="14F8A883">
            <w:pPr>
              <w:spacing w:line="57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w:t>
            </w:r>
          </w:p>
        </w:tc>
        <w:tc>
          <w:tcPr>
            <w:tcW w:w="921" w:type="pct"/>
            <w:shd w:val="clear" w:color="auto" w:fill="auto"/>
            <w:vAlign w:val="center"/>
          </w:tcPr>
          <w:p w14:paraId="7BF569DD">
            <w:pPr>
              <w:adjustRightInd w:val="0"/>
              <w:snapToGrid w:val="0"/>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16" w:type="pct"/>
            <w:shd w:val="clear" w:color="auto" w:fill="auto"/>
            <w:vAlign w:val="center"/>
          </w:tcPr>
          <w:p w14:paraId="4588EA4A">
            <w:pPr>
              <w:adjustRightInd w:val="0"/>
              <w:snapToGrid w:val="0"/>
              <w:spacing w:line="570" w:lineRule="exact"/>
              <w:jc w:val="center"/>
              <w:rPr>
                <w:rFonts w:ascii="仿宋_GB2312" w:hAnsi="宋体" w:eastAsia="仿宋_GB2312" w:cs="宋体"/>
                <w:sz w:val="32"/>
                <w:szCs w:val="32"/>
              </w:rPr>
            </w:pPr>
            <w:r>
              <w:rPr>
                <w:rFonts w:ascii="Times New Roman" w:hAnsi="Times New Roman" w:eastAsia="仿宋_GB2312" w:cs="Times New Roman"/>
                <w:sz w:val="32"/>
                <w:szCs w:val="32"/>
              </w:rPr>
              <w:t>100</w:t>
            </w:r>
            <w:r>
              <w:rPr>
                <w:rFonts w:hint="eastAsia" w:ascii="仿宋_GB2312" w:hAnsi="宋体" w:eastAsia="仿宋_GB2312" w:cs="宋体"/>
                <w:sz w:val="32"/>
                <w:szCs w:val="32"/>
              </w:rPr>
              <w:t>%</w:t>
            </w:r>
          </w:p>
        </w:tc>
      </w:tr>
      <w:tr w14:paraId="79FBD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pct"/>
            <w:shd w:val="clear" w:color="auto" w:fill="auto"/>
            <w:vAlign w:val="center"/>
          </w:tcPr>
          <w:p w14:paraId="32D8C482">
            <w:pPr>
              <w:adjustRightInd w:val="0"/>
              <w:snapToGrid w:val="0"/>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1047" w:type="pct"/>
            <w:shd w:val="clear" w:color="auto" w:fill="auto"/>
            <w:vAlign w:val="center"/>
          </w:tcPr>
          <w:p w14:paraId="4B9AFB0F">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新北区</w:t>
            </w:r>
          </w:p>
        </w:tc>
        <w:tc>
          <w:tcPr>
            <w:tcW w:w="891" w:type="pct"/>
            <w:shd w:val="clear" w:color="auto" w:fill="auto"/>
            <w:vAlign w:val="center"/>
          </w:tcPr>
          <w:p w14:paraId="0B3A379E">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柴油</w:t>
            </w:r>
            <w:r>
              <w:rPr>
                <w:rFonts w:hint="eastAsia" w:ascii="Times New Roman" w:hAnsi="Times New Roman" w:eastAsia="仿宋_GB2312" w:cs="Times New Roman"/>
                <w:sz w:val="32"/>
                <w:szCs w:val="32"/>
              </w:rPr>
              <w:t>10</w:t>
            </w:r>
          </w:p>
        </w:tc>
        <w:tc>
          <w:tcPr>
            <w:tcW w:w="955" w:type="pct"/>
            <w:shd w:val="clear" w:color="auto" w:fill="auto"/>
            <w:vAlign w:val="center"/>
          </w:tcPr>
          <w:p w14:paraId="521DD1B1">
            <w:pPr>
              <w:spacing w:line="57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w:t>
            </w:r>
          </w:p>
        </w:tc>
        <w:tc>
          <w:tcPr>
            <w:tcW w:w="921" w:type="pct"/>
            <w:shd w:val="clear" w:color="auto" w:fill="auto"/>
            <w:vAlign w:val="center"/>
          </w:tcPr>
          <w:p w14:paraId="60691A42">
            <w:pPr>
              <w:adjustRightInd w:val="0"/>
              <w:snapToGrid w:val="0"/>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16" w:type="pct"/>
            <w:shd w:val="clear" w:color="auto" w:fill="auto"/>
            <w:vAlign w:val="center"/>
          </w:tcPr>
          <w:p w14:paraId="2F6F5738">
            <w:pPr>
              <w:adjustRightInd w:val="0"/>
              <w:snapToGrid w:val="0"/>
              <w:spacing w:line="570" w:lineRule="exact"/>
              <w:jc w:val="center"/>
              <w:rPr>
                <w:rFonts w:ascii="仿宋_GB2312" w:hAnsi="宋体" w:eastAsia="仿宋_GB2312" w:cs="宋体"/>
                <w:sz w:val="32"/>
                <w:szCs w:val="32"/>
              </w:rPr>
            </w:pPr>
            <w:r>
              <w:rPr>
                <w:rFonts w:ascii="Times New Roman" w:hAnsi="Times New Roman" w:eastAsia="仿宋_GB2312" w:cs="Times New Roman"/>
                <w:sz w:val="32"/>
                <w:szCs w:val="32"/>
              </w:rPr>
              <w:t>100</w:t>
            </w:r>
            <w:r>
              <w:rPr>
                <w:rFonts w:hint="eastAsia" w:ascii="仿宋_GB2312" w:hAnsi="宋体" w:eastAsia="仿宋_GB2312" w:cs="宋体"/>
                <w:sz w:val="32"/>
                <w:szCs w:val="32"/>
              </w:rPr>
              <w:t>%</w:t>
            </w:r>
          </w:p>
        </w:tc>
      </w:tr>
      <w:tr w14:paraId="0F7B9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17" w:type="pct"/>
            <w:gridSpan w:val="2"/>
            <w:shd w:val="clear" w:color="auto" w:fill="auto"/>
            <w:vAlign w:val="center"/>
          </w:tcPr>
          <w:p w14:paraId="12B46A87">
            <w:pPr>
              <w:spacing w:line="570" w:lineRule="exact"/>
              <w:ind w:firstLine="480"/>
              <w:jc w:val="center"/>
              <w:rPr>
                <w:rFonts w:ascii="仿宋_GB2312" w:hAnsi="宋体" w:eastAsia="仿宋_GB2312" w:cs="宋体"/>
                <w:sz w:val="32"/>
                <w:szCs w:val="32"/>
              </w:rPr>
            </w:pPr>
            <w:r>
              <w:rPr>
                <w:rFonts w:hint="eastAsia" w:ascii="仿宋_GB2312" w:hAnsi="宋体" w:eastAsia="仿宋_GB2312" w:cs="宋体"/>
                <w:sz w:val="32"/>
                <w:szCs w:val="32"/>
              </w:rPr>
              <w:t>合计</w:t>
            </w:r>
          </w:p>
        </w:tc>
        <w:tc>
          <w:tcPr>
            <w:tcW w:w="891" w:type="pct"/>
            <w:shd w:val="clear" w:color="auto" w:fill="auto"/>
            <w:vAlign w:val="center"/>
          </w:tcPr>
          <w:p w14:paraId="202E7D03">
            <w:pPr>
              <w:spacing w:line="570" w:lineRule="exact"/>
              <w:jc w:val="center"/>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rPr>
              <w:t>30</w:t>
            </w:r>
          </w:p>
        </w:tc>
        <w:tc>
          <w:tcPr>
            <w:tcW w:w="955" w:type="pct"/>
            <w:shd w:val="clear" w:color="auto" w:fill="auto"/>
            <w:vAlign w:val="center"/>
          </w:tcPr>
          <w:p w14:paraId="0D32336C">
            <w:pPr>
              <w:spacing w:line="570" w:lineRule="exact"/>
              <w:jc w:val="center"/>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rPr>
              <w:t>30</w:t>
            </w:r>
          </w:p>
        </w:tc>
        <w:tc>
          <w:tcPr>
            <w:tcW w:w="921" w:type="pct"/>
            <w:shd w:val="clear" w:color="auto" w:fill="auto"/>
            <w:vAlign w:val="center"/>
          </w:tcPr>
          <w:p w14:paraId="6C95ADEF">
            <w:pPr>
              <w:spacing w:line="570" w:lineRule="exact"/>
              <w:jc w:val="center"/>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0</w:t>
            </w:r>
          </w:p>
        </w:tc>
        <w:tc>
          <w:tcPr>
            <w:tcW w:w="616" w:type="pct"/>
            <w:shd w:val="clear" w:color="auto" w:fill="auto"/>
            <w:vAlign w:val="center"/>
          </w:tcPr>
          <w:p w14:paraId="460E4474">
            <w:pPr>
              <w:spacing w:line="570" w:lineRule="exact"/>
              <w:jc w:val="center"/>
              <w:rPr>
                <w:rFonts w:ascii="仿宋_GB2312" w:hAnsi="宋体" w:eastAsia="仿宋_GB2312" w:cs="宋体"/>
                <w:sz w:val="32"/>
                <w:szCs w:val="32"/>
              </w:rPr>
            </w:pPr>
            <w:r>
              <w:rPr>
                <w:rFonts w:ascii="Times New Roman" w:hAnsi="Times New Roman" w:eastAsia="仿宋_GB2312" w:cs="Times New Roman"/>
                <w:sz w:val="32"/>
                <w:szCs w:val="32"/>
              </w:rPr>
              <w:t>100</w:t>
            </w:r>
            <w:r>
              <w:rPr>
                <w:rFonts w:hint="eastAsia" w:ascii="仿宋_GB2312" w:hAnsi="宋体" w:eastAsia="仿宋_GB2312" w:cs="宋体"/>
                <w:sz w:val="32"/>
                <w:szCs w:val="32"/>
              </w:rPr>
              <w:t>%</w:t>
            </w:r>
          </w:p>
        </w:tc>
      </w:tr>
    </w:tbl>
    <w:p w14:paraId="611B3AC4">
      <w:pPr>
        <w:keepNext w:val="0"/>
        <w:keepLines w:val="0"/>
        <w:pageBreakBefore w:val="0"/>
        <w:widowControl w:val="0"/>
        <w:kinsoku/>
        <w:wordWrap/>
        <w:overflowPunct/>
        <w:topLinePunct w:val="0"/>
        <w:autoSpaceDE w:val="0"/>
        <w:autoSpaceDN w:val="0"/>
        <w:bidi w:val="0"/>
        <w:adjustRightInd w:val="0"/>
        <w:spacing w:line="560" w:lineRule="exact"/>
        <w:textAlignment w:val="auto"/>
        <w:rPr>
          <w:rFonts w:ascii="楷体_GB2312" w:hAnsi="宋体" w:eastAsia="楷体_GB2312"/>
          <w:b w:val="0"/>
          <w:bCs w:val="0"/>
          <w:sz w:val="32"/>
          <w:szCs w:val="32"/>
        </w:rPr>
      </w:pPr>
      <w:r>
        <w:rPr>
          <w:rFonts w:hint="eastAsia" w:ascii="楷体_GB2312" w:hAnsi="宋体" w:eastAsia="楷体_GB2312"/>
          <w:b w:val="0"/>
          <w:bCs w:val="0"/>
          <w:sz w:val="32"/>
          <w:szCs w:val="32"/>
        </w:rPr>
        <w:t>（二）产品质量抽查结果分析</w:t>
      </w:r>
    </w:p>
    <w:p w14:paraId="6B24AB3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cs="宋体"/>
          <w:color w:val="000000"/>
          <w:sz w:val="32"/>
          <w:szCs w:val="32"/>
          <w:lang w:bidi="ar"/>
        </w:rPr>
        <w:t>本次抽检车用汽油</w:t>
      </w:r>
      <w:r>
        <w:rPr>
          <w:rFonts w:hint="eastAsia" w:ascii="仿宋_GB2312" w:hAnsi="宋体" w:eastAsia="仿宋_GB2312" w:cs="宋体"/>
          <w:sz w:val="32"/>
          <w:szCs w:val="32"/>
        </w:rPr>
        <w:t xml:space="preserve">产品抽检性能指标按GB </w:t>
      </w:r>
      <w:r>
        <w:rPr>
          <w:rFonts w:ascii="Times New Roman" w:hAnsi="Times New Roman" w:eastAsia="仿宋_GB2312" w:cs="Times New Roman"/>
          <w:sz w:val="32"/>
          <w:szCs w:val="32"/>
        </w:rPr>
        <w:t>17930</w:t>
      </w:r>
      <w:r>
        <w:rPr>
          <w:rFonts w:hint="eastAsia" w:ascii="仿宋_GB2312" w:hAnsi="宋体" w:eastAsia="仿宋_GB2312" w:cs="宋体"/>
          <w:sz w:val="32"/>
          <w:szCs w:val="32"/>
        </w:rPr>
        <w:t>-</w:t>
      </w:r>
      <w:r>
        <w:rPr>
          <w:rFonts w:ascii="Times New Roman" w:hAnsi="Times New Roman" w:eastAsia="仿宋_GB2312" w:cs="Times New Roman"/>
          <w:sz w:val="32"/>
          <w:szCs w:val="32"/>
        </w:rPr>
        <w:t>2016</w:t>
      </w:r>
      <w:r>
        <w:rPr>
          <w:rFonts w:hint="eastAsia" w:ascii="仿宋_GB2312" w:hAnsi="宋体" w:eastAsia="仿宋_GB2312"/>
          <w:sz w:val="32"/>
          <w:szCs w:val="32"/>
        </w:rPr>
        <w:t>标准检测。其中研究法辛烷值、硫含量、馏程是车用汽油的重要检测项目，与燃烧性能和环保指标有重大关系。</w:t>
      </w:r>
    </w:p>
    <w:p w14:paraId="797E55F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研究法辛烷值（RON）：研究法辛烷值（RON）代表的是汽油在较低的负荷工况下抗爆震燃烧的能力，反映汽车在市区慢速行驶时的汽油抗爆性。它是在缓和的测定条件下，以汽油在发动机中产生爆震的倾向来评定其辛烷值。其数值高表示抗爆性好。不同等级的汽油辛烷值不同，等级越高，辛烷值越高，抗爆性越好。但对于不同车辆而言，研究法辛烷值（RON）也不是越高越好，消费者应使用厂商推荐牌号的车用汽油，避免车辆出现故障。</w:t>
      </w:r>
    </w:p>
    <w:p w14:paraId="7119B69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馏程：汽油馏程是指汽油中各组分的沸点范围。</w:t>
      </w:r>
      <w:r>
        <w:rPr>
          <w:rFonts w:ascii="Times New Roman" w:hAnsi="Times New Roman" w:eastAsia="仿宋_GB2312" w:cs="Times New Roman"/>
          <w:sz w:val="32"/>
          <w:szCs w:val="32"/>
        </w:rPr>
        <w:t>10</w:t>
      </w:r>
      <w:r>
        <w:rPr>
          <w:rFonts w:hint="eastAsia" w:ascii="仿宋_GB2312" w:hAnsi="宋体" w:eastAsia="仿宋_GB2312"/>
          <w:sz w:val="32"/>
          <w:szCs w:val="32"/>
        </w:rPr>
        <w:t>%蒸发温度表示汽油的冷启动性能，与发动机在冬季启动的难易和夏季使用中是否发生“气阻”有关。</w:t>
      </w:r>
      <w:r>
        <w:rPr>
          <w:rFonts w:ascii="Times New Roman" w:hAnsi="Times New Roman" w:eastAsia="仿宋_GB2312" w:cs="Times New Roman"/>
          <w:sz w:val="32"/>
          <w:szCs w:val="32"/>
        </w:rPr>
        <w:t>50</w:t>
      </w:r>
      <w:r>
        <w:rPr>
          <w:rFonts w:hint="eastAsia" w:ascii="仿宋_GB2312" w:hAnsi="宋体" w:eastAsia="仿宋_GB2312"/>
          <w:sz w:val="32"/>
          <w:szCs w:val="32"/>
        </w:rPr>
        <w:t>%蒸发温度表示汽油的行车加速性能，对发动机的预热和加速有一定影响。</w:t>
      </w:r>
      <w:r>
        <w:rPr>
          <w:rFonts w:ascii="Times New Roman" w:hAnsi="Times New Roman" w:eastAsia="仿宋_GB2312" w:cs="Times New Roman"/>
          <w:sz w:val="32"/>
          <w:szCs w:val="32"/>
        </w:rPr>
        <w:t>90</w:t>
      </w:r>
      <w:r>
        <w:rPr>
          <w:rFonts w:hint="eastAsia" w:ascii="仿宋_GB2312" w:hAnsi="宋体" w:eastAsia="仿宋_GB2312"/>
          <w:sz w:val="32"/>
          <w:szCs w:val="32"/>
        </w:rPr>
        <w:t>%蒸发温度和终馏点表示汽油在气缸中蒸发的完全程度，这两个温度低表示其中不易蒸发的重质组分少，能够完全燃烧。</w:t>
      </w:r>
    </w:p>
    <w:p w14:paraId="0E1B94F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宋体" w:eastAsia="仿宋_GB2312" w:cs="仿宋_GB2312"/>
          <w:sz w:val="32"/>
          <w:szCs w:val="32"/>
        </w:rPr>
      </w:pPr>
      <w:bookmarkStart w:id="2" w:name="_GoBack"/>
      <w:bookmarkEnd w:id="2"/>
      <w:r>
        <w:rPr>
          <w:rFonts w:hint="eastAsia" w:ascii="仿宋_GB2312" w:hAnsi="宋体" w:eastAsia="仿宋_GB2312"/>
          <w:sz w:val="32"/>
          <w:szCs w:val="32"/>
        </w:rPr>
        <w:t>硫含量：硫含量是衡量汽油中硫化物含量的指标，硫含量过高会导致发动机腐蚀和磨损。</w:t>
      </w:r>
      <w:r>
        <w:rPr>
          <w:rFonts w:hint="eastAsia" w:ascii="仿宋_GB2312" w:hAnsi="宋体" w:eastAsia="仿宋_GB2312" w:cs="仿宋_GB2312"/>
          <w:sz w:val="32"/>
          <w:szCs w:val="32"/>
        </w:rPr>
        <w:t>其次排放物会严重污染大气，造成酸雨，同时危害人和生物体的健康。硫含量超标的主要原因一是炼油厂没有脱硫装置或废弃不用；二也可能是不法商家用含硫量高的油品调和汽油所致；三是一些加油站用燃料油</w:t>
      </w:r>
      <w:r>
        <w:rPr>
          <w:rFonts w:hint="eastAsia" w:ascii="仿宋_GB2312" w:hAnsi="宋体" w:eastAsia="仿宋_GB2312" w:cs="仿宋_GB2312"/>
          <w:sz w:val="32"/>
          <w:szCs w:val="32"/>
          <w:lang w:eastAsia="zh-CN"/>
        </w:rPr>
        <w:t>当作</w:t>
      </w:r>
      <w:r>
        <w:rPr>
          <w:rFonts w:hint="eastAsia" w:ascii="仿宋_GB2312" w:hAnsi="宋体" w:eastAsia="仿宋_GB2312" w:cs="仿宋_GB2312"/>
          <w:sz w:val="32"/>
          <w:szCs w:val="32"/>
        </w:rPr>
        <w:t>车用汽油来销售。</w:t>
      </w:r>
    </w:p>
    <w:p w14:paraId="2EBFA7B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color w:val="000000"/>
          <w:sz w:val="32"/>
          <w:szCs w:val="32"/>
          <w:lang w:bidi="ar"/>
        </w:rPr>
        <w:t>本次抽检车用柴油</w:t>
      </w:r>
      <w:r>
        <w:rPr>
          <w:rFonts w:hint="eastAsia" w:ascii="仿宋_GB2312" w:hAnsi="宋体" w:eastAsia="仿宋_GB2312" w:cs="宋体"/>
          <w:sz w:val="32"/>
          <w:szCs w:val="32"/>
        </w:rPr>
        <w:t xml:space="preserve">产品抽检性能指标按GB </w:t>
      </w:r>
      <w:r>
        <w:rPr>
          <w:rFonts w:ascii="Times New Roman" w:hAnsi="Times New Roman" w:eastAsia="仿宋_GB2312" w:cs="Times New Roman"/>
          <w:sz w:val="32"/>
          <w:szCs w:val="32"/>
        </w:rPr>
        <w:t>19147</w:t>
      </w:r>
      <w:r>
        <w:rPr>
          <w:rFonts w:hint="eastAsia" w:ascii="仿宋_GB2312" w:hAnsi="宋体" w:eastAsia="仿宋_GB2312" w:cs="宋体"/>
          <w:sz w:val="32"/>
          <w:szCs w:val="32"/>
        </w:rPr>
        <w:t>-</w:t>
      </w:r>
      <w:r>
        <w:rPr>
          <w:rFonts w:ascii="Times New Roman" w:hAnsi="Times New Roman" w:eastAsia="仿宋_GB2312" w:cs="Times New Roman"/>
          <w:sz w:val="32"/>
          <w:szCs w:val="32"/>
        </w:rPr>
        <w:t>2016</w:t>
      </w:r>
      <w:r>
        <w:rPr>
          <w:rFonts w:hint="eastAsia" w:ascii="仿宋_GB2312" w:hAnsi="宋体" w:eastAsia="仿宋_GB2312"/>
          <w:sz w:val="32"/>
          <w:szCs w:val="32"/>
        </w:rPr>
        <w:t>标准检测。其中闪点</w:t>
      </w:r>
      <w:r>
        <w:rPr>
          <w:rFonts w:hint="eastAsia" w:ascii="仿宋_GB2312" w:hAnsi="宋体" w:eastAsia="仿宋_GB2312" w:cs="宋体"/>
          <w:sz w:val="32"/>
          <w:szCs w:val="32"/>
        </w:rPr>
        <w:t>（闭口）</w:t>
      </w:r>
      <w:r>
        <w:rPr>
          <w:rFonts w:hint="eastAsia" w:ascii="仿宋_GB2312" w:hAnsi="宋体" w:eastAsia="仿宋_GB2312"/>
          <w:sz w:val="32"/>
          <w:szCs w:val="32"/>
        </w:rPr>
        <w:t>、硫含量、馏程是车用柴油的重要检测项目，与燃烧性能、安全性能和环保指标有重大关系。</w:t>
      </w:r>
    </w:p>
    <w:p w14:paraId="0E480E7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闪点（闭口）：是柴油安全性能的重要指标，闪点过低将对柴油贮存、运输、使用以及发生交通事故后的安全性带来极大的安全隐患。</w:t>
      </w:r>
    </w:p>
    <w:p w14:paraId="0BEF050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硫含量：</w:t>
      </w:r>
      <w:r>
        <w:rPr>
          <w:rFonts w:hint="eastAsia" w:ascii="仿宋_GB2312" w:hAnsi="宋体" w:eastAsia="仿宋_GB2312"/>
          <w:sz w:val="32"/>
          <w:szCs w:val="32"/>
        </w:rPr>
        <w:t>硫含量是衡量柴油中硫化物含量的指标，硫含量过高会导致发动机腐蚀和磨损。</w:t>
      </w:r>
      <w:r>
        <w:rPr>
          <w:rFonts w:hint="eastAsia" w:ascii="仿宋_GB2312" w:hAnsi="宋体" w:eastAsia="仿宋_GB2312" w:cs="仿宋_GB2312"/>
          <w:sz w:val="32"/>
          <w:szCs w:val="32"/>
        </w:rPr>
        <w:t>其次排放物会严重污染大气，造成酸雨，同时危害人和生物体的健康。硫含量超标的主要原因一是炼油厂没有脱硫装置或废弃不用；二也可能是不法商家用含硫量高的油品调和柴油所致；三是一些加油站用燃料油</w:t>
      </w:r>
      <w:r>
        <w:rPr>
          <w:rFonts w:hint="eastAsia" w:ascii="仿宋_GB2312" w:hAnsi="宋体" w:eastAsia="仿宋_GB2312" w:cs="仿宋_GB2312"/>
          <w:sz w:val="32"/>
          <w:szCs w:val="32"/>
          <w:lang w:eastAsia="zh-CN"/>
        </w:rPr>
        <w:t>当作</w:t>
      </w:r>
      <w:r>
        <w:rPr>
          <w:rFonts w:hint="eastAsia" w:ascii="仿宋_GB2312" w:hAnsi="宋体" w:eastAsia="仿宋_GB2312" w:cs="仿宋_GB2312"/>
          <w:sz w:val="32"/>
          <w:szCs w:val="32"/>
        </w:rPr>
        <w:t>车用柴油来销售。</w:t>
      </w:r>
    </w:p>
    <w:p w14:paraId="3D80184E">
      <w:pPr>
        <w:keepNext w:val="0"/>
        <w:keepLines w:val="0"/>
        <w:pageBreakBefore w:val="0"/>
        <w:widowControl w:val="0"/>
        <w:kinsoku/>
        <w:wordWrap/>
        <w:overflowPunct/>
        <w:topLinePunct w:val="0"/>
        <w:autoSpaceDE w:val="0"/>
        <w:autoSpaceDN w:val="0"/>
        <w:bidi w:val="0"/>
        <w:adjustRightInd w:val="0"/>
        <w:spacing w:line="560" w:lineRule="exact"/>
        <w:textAlignment w:val="auto"/>
        <w:rPr>
          <w:rFonts w:ascii="黑体" w:hAnsi="黑体" w:eastAsia="黑体" w:cs="Times New Roman"/>
          <w:bCs/>
          <w:sz w:val="32"/>
          <w:szCs w:val="32"/>
        </w:rPr>
      </w:pPr>
      <w:r>
        <w:rPr>
          <w:rFonts w:hint="eastAsia" w:ascii="黑体" w:hAnsi="黑体" w:eastAsia="黑体" w:cs="Times New Roman"/>
          <w:bCs/>
          <w:sz w:val="32"/>
          <w:szCs w:val="32"/>
          <w:lang w:val="en-US" w:eastAsia="zh-CN"/>
        </w:rPr>
        <w:t>三</w:t>
      </w:r>
      <w:r>
        <w:rPr>
          <w:rFonts w:hint="eastAsia" w:ascii="黑体" w:hAnsi="黑体" w:eastAsia="黑体" w:cs="Times New Roman"/>
          <w:bCs/>
          <w:sz w:val="32"/>
          <w:szCs w:val="32"/>
        </w:rPr>
        <w:t>、消费建议</w:t>
      </w:r>
    </w:p>
    <w:p w14:paraId="0689185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合格车用柴油应为无色、淡黄色或浅棕色的透明液体，无特殊异味</w:t>
      </w:r>
      <w:r>
        <w:rPr>
          <w:rFonts w:hint="eastAsia" w:ascii="仿宋_GB2312" w:hAnsi="宋体" w:eastAsia="仿宋_GB2312"/>
          <w:sz w:val="32"/>
          <w:szCs w:val="32"/>
          <w:lang w:eastAsia="zh-CN"/>
        </w:rPr>
        <w:t>；</w:t>
      </w:r>
      <w:r>
        <w:rPr>
          <w:rFonts w:hint="eastAsia" w:ascii="仿宋_GB2312" w:hAnsi="宋体" w:eastAsia="仿宋_GB2312"/>
          <w:sz w:val="32"/>
          <w:szCs w:val="32"/>
        </w:rPr>
        <w:t>如发现柴油浑浊、呈酱油色、有臭味、沉积物等情况，应避免使用。</w:t>
      </w:r>
      <w:r>
        <w:rPr>
          <w:rFonts w:hint="eastAsia" w:eastAsia="仿宋_GB2312"/>
          <w:sz w:val="32"/>
          <w:szCs w:val="32"/>
        </w:rPr>
        <w:t>合格车用汽油颜色较浅，清澈透明，有淡淡的芳香，如发现汽油颜色发黑、发暗、显浑浊、有</w:t>
      </w:r>
      <w:r>
        <w:rPr>
          <w:rFonts w:hint="eastAsia" w:eastAsia="仿宋_GB2312"/>
          <w:sz w:val="32"/>
          <w:szCs w:val="32"/>
          <w:lang w:eastAsia="zh-CN"/>
        </w:rPr>
        <w:t>其他</w:t>
      </w:r>
      <w:r>
        <w:rPr>
          <w:rFonts w:hint="eastAsia" w:eastAsia="仿宋_GB2312"/>
          <w:sz w:val="32"/>
          <w:szCs w:val="32"/>
        </w:rPr>
        <w:t>异味，应避免使用。</w:t>
      </w:r>
    </w:p>
    <w:p w14:paraId="2013AB13">
      <w:pPr>
        <w:keepNext w:val="0"/>
        <w:keepLines w:val="0"/>
        <w:pageBreakBefore w:val="0"/>
        <w:widowControl w:val="0"/>
        <w:kinsoku/>
        <w:wordWrap/>
        <w:overflowPunct/>
        <w:topLinePunct w:val="0"/>
        <w:autoSpaceDE w:val="0"/>
        <w:autoSpaceDN w:val="0"/>
        <w:bidi w:val="0"/>
        <w:adjustRightInd w:val="0"/>
        <w:spacing w:line="560" w:lineRule="exact"/>
        <w:ind w:firstLine="640"/>
        <w:textAlignment w:val="auto"/>
        <w:rPr>
          <w:rFonts w:eastAsia="仿宋_GB2312"/>
          <w:sz w:val="32"/>
          <w:szCs w:val="32"/>
        </w:rPr>
      </w:pPr>
      <w:r>
        <w:rPr>
          <w:rFonts w:ascii="Times New Roman" w:hAnsi="Times New Roman" w:eastAsia="仿宋_GB2312" w:cs="Times New Roman"/>
          <w:sz w:val="32"/>
          <w:szCs w:val="32"/>
        </w:rPr>
        <w:t>2</w:t>
      </w:r>
      <w:r>
        <w:rPr>
          <w:rFonts w:hint="eastAsia" w:eastAsia="仿宋_GB2312"/>
          <w:sz w:val="32"/>
          <w:szCs w:val="32"/>
        </w:rPr>
        <w:t>、选择合适标号。根据车辆使用说明书以及发动机的压缩比选择适合自身车辆标号的车用汽油。并不是标号越高质量越好。</w:t>
      </w:r>
    </w:p>
    <w:p w14:paraId="642E6D90">
      <w:pPr>
        <w:keepNext w:val="0"/>
        <w:keepLines w:val="0"/>
        <w:pageBreakBefore w:val="0"/>
        <w:widowControl w:val="0"/>
        <w:kinsoku/>
        <w:wordWrap/>
        <w:overflowPunct/>
        <w:topLinePunct w:val="0"/>
        <w:autoSpaceDE w:val="0"/>
        <w:autoSpaceDN w:val="0"/>
        <w:bidi w:val="0"/>
        <w:adjustRightInd w:val="0"/>
        <w:spacing w:line="560" w:lineRule="exact"/>
        <w:ind w:firstLine="640"/>
        <w:textAlignment w:val="auto"/>
        <w:rPr>
          <w:rFonts w:eastAsia="仿宋_GB2312"/>
          <w:sz w:val="32"/>
          <w:szCs w:val="32"/>
        </w:rPr>
      </w:pPr>
      <w:r>
        <w:rPr>
          <w:rFonts w:ascii="Times New Roman" w:hAnsi="Times New Roman" w:eastAsia="仿宋_GB2312" w:cs="Times New Roman"/>
          <w:sz w:val="32"/>
          <w:szCs w:val="32"/>
        </w:rPr>
        <w:t>3</w:t>
      </w:r>
      <w:r>
        <w:rPr>
          <w:rFonts w:hint="eastAsia" w:eastAsia="仿宋_GB2312"/>
          <w:sz w:val="32"/>
          <w:szCs w:val="32"/>
        </w:rPr>
        <w:t>、消费者在加油时，尽量选择大型连锁加油站，大型油品企业的储油库有内部实验室可以定期检测油品质量。其次大公司对油品进货及运输有严格的控制，进货时检测手段齐全，运输时汽油车、柴油车区分严格，专车专用，不容易产生质量问题。</w:t>
      </w:r>
    </w:p>
    <w:p w14:paraId="06C243B4">
      <w:pPr>
        <w:keepNext w:val="0"/>
        <w:keepLines w:val="0"/>
        <w:pageBreakBefore w:val="0"/>
        <w:widowControl w:val="0"/>
        <w:kinsoku/>
        <w:wordWrap/>
        <w:overflowPunct/>
        <w:topLinePunct w:val="0"/>
        <w:autoSpaceDE w:val="0"/>
        <w:autoSpaceDN w:val="0"/>
        <w:bidi w:val="0"/>
        <w:adjustRightInd w:val="0"/>
        <w:spacing w:line="560" w:lineRule="exact"/>
        <w:ind w:firstLine="640"/>
        <w:textAlignment w:val="auto"/>
        <w:rPr>
          <w:rFonts w:ascii="仿宋_GB2312" w:hAnsi="宋体" w:eastAsia="仿宋_GB2312"/>
          <w:sz w:val="32"/>
          <w:szCs w:val="32"/>
        </w:rPr>
      </w:pPr>
      <w:r>
        <w:rPr>
          <w:rFonts w:ascii="Times New Roman" w:hAnsi="Times New Roman" w:eastAsia="仿宋_GB2312" w:cs="Times New Roman"/>
          <w:sz w:val="32"/>
          <w:szCs w:val="32"/>
        </w:rPr>
        <w:t>4</w:t>
      </w:r>
      <w:r>
        <w:rPr>
          <w:rFonts w:hint="eastAsia" w:ascii="仿宋_GB2312" w:hAnsi="宋体" w:eastAsia="仿宋_GB2312"/>
          <w:sz w:val="32"/>
          <w:szCs w:val="32"/>
        </w:rPr>
        <w:t>、尽量定点加油，在加完油后应及时索要加油票据。如果因使用油品引起车辆故障，也较容易查找原因，以维护自己的合法权益。</w:t>
      </w:r>
    </w:p>
    <w:p w14:paraId="0272CA15">
      <w:pPr>
        <w:adjustRightInd w:val="0"/>
        <w:snapToGrid w:val="0"/>
        <w:spacing w:line="570" w:lineRule="exact"/>
        <w:ind w:firstLine="800" w:firstLineChars="250"/>
        <w:rPr>
          <w:rFonts w:hint="eastAsia" w:ascii="仿宋_GB2312" w:hAnsi="宋体" w:eastAsia="仿宋_GB2312" w:cs="仿宋_GB2312"/>
          <w:sz w:val="32"/>
          <w:szCs w:val="32"/>
        </w:rPr>
      </w:pPr>
    </w:p>
    <w:p w14:paraId="42E1542E">
      <w:pPr>
        <w:adjustRightInd w:val="0"/>
        <w:snapToGrid w:val="0"/>
        <w:spacing w:line="360" w:lineRule="auto"/>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p>
    <w:sectPr>
      <w:footerReference r:id="rId3" w:type="default"/>
      <w:pgSz w:w="11906" w:h="16838"/>
      <w:pgMar w:top="2154" w:right="1361" w:bottom="1928" w:left="1474" w:header="851" w:footer="1134" w:gutter="0"/>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FCC4">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2565400</wp:posOffset>
              </wp:positionH>
              <wp:positionV relativeFrom="paragraph">
                <wp:posOffset>-352425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F2BB7">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pt;margin-top:-27.75pt;height:144pt;width:144pt;mso-position-horizontal-relative:margin;mso-wrap-style:none;z-index:251659264;mso-width-relative:page;mso-height-relative:page;" filled="f" stroked="f" coordsize="21600,21600" o:gfxdata="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fMA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68FF2BB7">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ZjMwMmMxZTZhNjI1OTQ2NjM1ZGU0MzU4NTgxZmYifQ=="/>
  </w:docVars>
  <w:rsids>
    <w:rsidRoot w:val="00000000"/>
    <w:rsid w:val="019B3110"/>
    <w:rsid w:val="01F64D0F"/>
    <w:rsid w:val="021603B2"/>
    <w:rsid w:val="040A4AA1"/>
    <w:rsid w:val="05E50846"/>
    <w:rsid w:val="075D1A4D"/>
    <w:rsid w:val="0869448C"/>
    <w:rsid w:val="0C580AA0"/>
    <w:rsid w:val="0D465BE4"/>
    <w:rsid w:val="0D834329"/>
    <w:rsid w:val="0F694D72"/>
    <w:rsid w:val="1032477F"/>
    <w:rsid w:val="11816503"/>
    <w:rsid w:val="12B97DBE"/>
    <w:rsid w:val="13655850"/>
    <w:rsid w:val="139D612C"/>
    <w:rsid w:val="146B158C"/>
    <w:rsid w:val="15325C06"/>
    <w:rsid w:val="183D0B4A"/>
    <w:rsid w:val="197C1B46"/>
    <w:rsid w:val="1B3D5497"/>
    <w:rsid w:val="1BD94E2F"/>
    <w:rsid w:val="1C3E7845"/>
    <w:rsid w:val="1F1F71FB"/>
    <w:rsid w:val="23E6478B"/>
    <w:rsid w:val="255E0351"/>
    <w:rsid w:val="26B91CE3"/>
    <w:rsid w:val="2A7C3754"/>
    <w:rsid w:val="2A9C3DF6"/>
    <w:rsid w:val="2C4B2A08"/>
    <w:rsid w:val="2C8573E5"/>
    <w:rsid w:val="30156EFC"/>
    <w:rsid w:val="307F7AFA"/>
    <w:rsid w:val="34F367C5"/>
    <w:rsid w:val="351153E0"/>
    <w:rsid w:val="358D4A67"/>
    <w:rsid w:val="37CE746E"/>
    <w:rsid w:val="3870241E"/>
    <w:rsid w:val="3B4167A1"/>
    <w:rsid w:val="3D87339C"/>
    <w:rsid w:val="3E8E35FE"/>
    <w:rsid w:val="42CE08A9"/>
    <w:rsid w:val="47596E9F"/>
    <w:rsid w:val="48D83DF3"/>
    <w:rsid w:val="492E6109"/>
    <w:rsid w:val="4CC34DBA"/>
    <w:rsid w:val="4EB64BD7"/>
    <w:rsid w:val="4F7C7BCE"/>
    <w:rsid w:val="5281374D"/>
    <w:rsid w:val="53D17DBD"/>
    <w:rsid w:val="53F65A75"/>
    <w:rsid w:val="564E3440"/>
    <w:rsid w:val="589917F1"/>
    <w:rsid w:val="5A17122F"/>
    <w:rsid w:val="5A20384C"/>
    <w:rsid w:val="5A70032F"/>
    <w:rsid w:val="5B5C018E"/>
    <w:rsid w:val="5BC528FD"/>
    <w:rsid w:val="5DD706C5"/>
    <w:rsid w:val="5E541D16"/>
    <w:rsid w:val="5E567766"/>
    <w:rsid w:val="611B6B1B"/>
    <w:rsid w:val="6200643D"/>
    <w:rsid w:val="64305657"/>
    <w:rsid w:val="68356714"/>
    <w:rsid w:val="6AE6019A"/>
    <w:rsid w:val="6E58315D"/>
    <w:rsid w:val="6E625D89"/>
    <w:rsid w:val="6F3D03A5"/>
    <w:rsid w:val="6FEF189F"/>
    <w:rsid w:val="70E92792"/>
    <w:rsid w:val="71AD50A1"/>
    <w:rsid w:val="71FE226D"/>
    <w:rsid w:val="72563E57"/>
    <w:rsid w:val="72987FCC"/>
    <w:rsid w:val="75D752AF"/>
    <w:rsid w:val="75DD3A84"/>
    <w:rsid w:val="76AE4262"/>
    <w:rsid w:val="773F310C"/>
    <w:rsid w:val="7761738C"/>
    <w:rsid w:val="79F144F9"/>
    <w:rsid w:val="7E413C0D"/>
    <w:rsid w:val="7F511C2E"/>
    <w:rsid w:val="7F7D0C7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2">
    <w:name w:val="heading 4"/>
    <w:basedOn w:val="1"/>
    <w:next w:val="1"/>
    <w:qFormat/>
    <w:uiPriority w:val="9"/>
    <w:pPr>
      <w:keepNext/>
      <w:keepLines/>
      <w:widowControl w:val="0"/>
      <w:spacing w:before="280" w:after="290" w:line="376" w:lineRule="auto"/>
      <w:jc w:val="both"/>
      <w:outlineLvl w:val="3"/>
    </w:pPr>
    <w:rPr>
      <w:rFonts w:ascii="Calibri Light" w:hAnsi="Calibri Light" w:eastAsia="宋体" w:cs="Times New Roman"/>
      <w:b/>
      <w:bCs/>
      <w:kern w:val="2"/>
      <w:sz w:val="28"/>
      <w:szCs w:val="28"/>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snapToGrid/>
      <w:spacing w:line="240" w:lineRule="auto"/>
      <w:ind w:firstLine="420"/>
    </w:pPr>
    <w:rPr>
      <w:sz w:val="21"/>
    </w:rPr>
  </w:style>
  <w:style w:type="paragraph" w:styleId="4">
    <w:name w:val="Body Text"/>
    <w:basedOn w:val="1"/>
    <w:unhideWhenUsed/>
    <w:qFormat/>
    <w:uiPriority w:val="1"/>
    <w:pPr>
      <w:autoSpaceDE w:val="0"/>
      <w:autoSpaceDN w:val="0"/>
      <w:ind w:left="140" w:firstLine="419"/>
      <w:jc w:val="left"/>
    </w:pPr>
    <w:rPr>
      <w:rFonts w:ascii="宋体" w:hAnsi="宋体" w:cs="宋体" w:eastAsiaTheme="minorEastAsia"/>
      <w:szCs w:val="21"/>
      <w:lang w:val="zh-CN" w:bidi="zh-CN"/>
    </w:rPr>
  </w:style>
  <w:style w:type="paragraph" w:styleId="5">
    <w:name w:val="Body Text Indent"/>
    <w:basedOn w:val="1"/>
    <w:next w:val="6"/>
    <w:unhideWhenUsed/>
    <w:qFormat/>
    <w:uiPriority w:val="0"/>
    <w:pPr>
      <w:spacing w:after="120"/>
      <w:ind w:left="420" w:leftChars="200"/>
    </w:pPr>
  </w:style>
  <w:style w:type="paragraph" w:styleId="6">
    <w:name w:val="envelope return"/>
    <w:basedOn w:val="1"/>
    <w:qFormat/>
    <w:uiPriority w:val="0"/>
    <w:rPr>
      <w:rFonts w:ascii="Arial" w:hAnsi="Arial"/>
    </w:rPr>
  </w:style>
  <w:style w:type="paragraph" w:styleId="7">
    <w:name w:val="Plain Text"/>
    <w:basedOn w:val="1"/>
    <w:qFormat/>
    <w:uiPriority w:val="0"/>
    <w:pPr>
      <w:adjustRightInd/>
      <w:snapToGrid/>
      <w:spacing w:line="240" w:lineRule="auto"/>
      <w:ind w:firstLine="0" w:firstLineChars="0"/>
    </w:pPr>
    <w:rPr>
      <w:rFonts w:ascii="宋体" w:hAnsi="Courier New" w:cs="Courier New"/>
      <w:sz w:val="21"/>
      <w:szCs w:val="21"/>
    </w:rPr>
  </w:style>
  <w:style w:type="paragraph" w:styleId="8">
    <w:name w:val="Body Text Indent 2"/>
    <w:basedOn w:val="1"/>
    <w:unhideWhenUsed/>
    <w:qFormat/>
    <w:uiPriority w:val="99"/>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unhideWhenUsed/>
    <w:qFormat/>
    <w:uiPriority w:val="99"/>
    <w:pPr>
      <w:spacing w:after="120"/>
      <w:ind w:left="420" w:leftChars="200"/>
    </w:pPr>
    <w:rPr>
      <w:sz w:val="16"/>
      <w:szCs w:val="16"/>
    </w:rPr>
  </w:style>
  <w:style w:type="paragraph" w:styleId="1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rmal (Web)"/>
    <w:basedOn w:val="1"/>
    <w:unhideWhenUsed/>
    <w:qFormat/>
    <w:uiPriority w:val="99"/>
    <w:rPr>
      <w:sz w:val="24"/>
    </w:rPr>
  </w:style>
  <w:style w:type="table" w:styleId="15">
    <w:name w:val="Table Grid"/>
    <w:basedOn w:val="14"/>
    <w:qFormat/>
    <w:uiPriority w:val="3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Table Paragraph"/>
    <w:basedOn w:val="1"/>
    <w:qFormat/>
    <w:uiPriority w:val="1"/>
    <w:pPr>
      <w:autoSpaceDE w:val="0"/>
      <w:autoSpaceDN w:val="0"/>
      <w:spacing w:before="100"/>
      <w:jc w:val="center"/>
    </w:pPr>
    <w:rPr>
      <w:rFonts w:ascii="宋体" w:hAnsi="宋体" w:cs="宋体"/>
      <w:kern w:val="0"/>
      <w:sz w:val="22"/>
      <w:szCs w:val="22"/>
      <w:lang w:val="zh-CN" w:bidi="zh-CN"/>
    </w:rPr>
  </w:style>
  <w:style w:type="paragraph" w:customStyle="1" w:styleId="18">
    <w:name w:val="正文 + (西文) Times New Roman"/>
    <w:basedOn w:val="13"/>
    <w:qFormat/>
    <w:uiPriority w:val="99"/>
    <w:pPr>
      <w:widowControl/>
      <w:spacing w:line="360" w:lineRule="auto"/>
      <w:ind w:firstLine="560" w:firstLineChars="200"/>
      <w:jc w:val="left"/>
    </w:pPr>
    <w:rPr>
      <w:rFonts w:ascii="仿宋_GB2312" w:hAnsi="宋体" w:eastAsia="仿宋_GB2312"/>
      <w:color w:val="000000"/>
      <w:sz w:val="28"/>
      <w:szCs w:val="28"/>
    </w:rPr>
  </w:style>
  <w:style w:type="paragraph" w:styleId="19">
    <w:name w:val="List Paragraph"/>
    <w:basedOn w:val="1"/>
    <w:qFormat/>
    <w:uiPriority w:val="34"/>
    <w:pPr>
      <w:ind w:firstLine="420" w:firstLineChars="200"/>
    </w:pPr>
  </w:style>
  <w:style w:type="paragraph" w:customStyle="1" w:styleId="20">
    <w:name w:val="列出段落2"/>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1555</Words>
  <Characters>1622</Characters>
  <Lines>0</Lines>
  <Paragraphs>0</Paragraphs>
  <TotalTime>2</TotalTime>
  <ScaleCrop>false</ScaleCrop>
  <LinksUpToDate>false</LinksUpToDate>
  <CharactersWithSpaces>1624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2024-06-11T02:46:00Z</dcterms:created>
  <dc:creator>SDB</dc:creator>
  <cp:lastModifiedBy>盛</cp:lastModifiedBy>
  <dcterms:modified xsi:type="dcterms:W3CDTF">2025-12-30T07:31:17Z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CEFB21BCDEF34FF7B17E29F7E9725B81_12</vt:lpwstr>
  </property>
  <property fmtid="{D5CDD505-2E9C-101B-9397-08002B2CF9AE}" pid="4" name="KSOTemplateDocerSaveRecord">
    <vt:lpwstr>eyJoZGlkIjoiYTg0ZjMwMmMxZTZhNjI1OTQ2NjM1ZGU0MzU4NTgxZmYiLCJ1c2VySWQiOiIyNzU2NDE1MDYifQ==</vt:lpwstr>
  </property>
</Properties>
</file>