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电动自行车</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6975866B">
      <w:pPr>
        <w:pStyle w:val="11"/>
        <w:keepNext w:val="0"/>
        <w:keepLines w:val="0"/>
        <w:pageBreakBefore w:val="0"/>
        <w:widowControl w:val="0"/>
        <w:kinsoku/>
        <w:wordWrap/>
        <w:overflowPunct/>
        <w:topLinePunct w:val="0"/>
        <w:autoSpaceDE/>
        <w:autoSpaceDN/>
        <w:bidi w:val="0"/>
        <w:adjustRightInd/>
        <w:snapToGrid w:val="0"/>
        <w:spacing w:before="313" w:beforeLines="100" w:after="0"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一、内容摘要</w:t>
      </w:r>
    </w:p>
    <w:p w14:paraId="53191CC9">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2025年，常州国家高新技术产业开发区（新北区）市场监督管理局委托安徽省江淮质量技术检测服务有限公司对电动自行车产品开展定期监督抽查。</w:t>
      </w:r>
      <w:r>
        <w:rPr>
          <w:rFonts w:hint="eastAsia" w:ascii="仿宋_GB2312" w:hAnsi="宋体" w:eastAsia="仿宋_GB2312"/>
          <w:sz w:val="32"/>
          <w:szCs w:val="32"/>
        </w:rPr>
        <w:t>本次监督抽查对象为</w:t>
      </w:r>
      <w:r>
        <w:rPr>
          <w:rFonts w:hint="eastAsia" w:ascii="仿宋_GB2312" w:hAnsi="宋体" w:eastAsia="仿宋_GB2312"/>
          <w:sz w:val="32"/>
          <w:szCs w:val="32"/>
          <w:lang w:val="en-US" w:eastAsia="zh-CN"/>
        </w:rPr>
        <w:t>新北区</w:t>
      </w:r>
      <w:r>
        <w:rPr>
          <w:rFonts w:hint="eastAsia" w:ascii="仿宋_GB2312" w:hAnsi="宋体" w:eastAsia="仿宋_GB2312"/>
          <w:sz w:val="32"/>
          <w:szCs w:val="32"/>
        </w:rPr>
        <w:t>实体店</w:t>
      </w:r>
      <w:r>
        <w:rPr>
          <w:rFonts w:hint="eastAsia" w:ascii="仿宋_GB2312" w:hAnsi="宋体" w:eastAsia="仿宋_GB2312"/>
          <w:sz w:val="32"/>
          <w:szCs w:val="32"/>
          <w:lang w:eastAsia="zh-CN"/>
        </w:rPr>
        <w:t>，</w:t>
      </w:r>
      <w:r>
        <w:rPr>
          <w:rFonts w:hint="eastAsia" w:ascii="仿宋_GB2312" w:eastAsia="仿宋_GB2312"/>
          <w:sz w:val="32"/>
          <w:szCs w:val="32"/>
        </w:rPr>
        <w:t>实际抽到</w:t>
      </w:r>
      <w:r>
        <w:rPr>
          <w:rFonts w:hint="eastAsia" w:ascii="Times New Roman" w:hAnsi="Times New Roman" w:eastAsia="仿宋_GB2312" w:cs="Times New Roman"/>
          <w:sz w:val="32"/>
          <w:szCs w:val="32"/>
          <w:lang w:val="en-US" w:eastAsia="zh-CN"/>
        </w:rPr>
        <w:t>10</w:t>
      </w:r>
      <w:r>
        <w:rPr>
          <w:rFonts w:hint="eastAsia" w:ascii="仿宋_GB2312" w:eastAsia="仿宋_GB2312"/>
          <w:sz w:val="32"/>
          <w:szCs w:val="32"/>
        </w:rPr>
        <w:t>批次</w:t>
      </w:r>
      <w:r>
        <w:rPr>
          <w:rFonts w:hint="eastAsia" w:ascii="仿宋_GB2312" w:hAnsi="仿宋" w:eastAsia="仿宋_GB2312"/>
          <w:color w:val="000000"/>
          <w:sz w:val="32"/>
          <w:szCs w:val="32"/>
        </w:rPr>
        <w:t>。</w:t>
      </w:r>
      <w:r>
        <w:rPr>
          <w:rFonts w:hint="eastAsia" w:ascii="仿宋_GB2312" w:hAnsi="宋体" w:eastAsia="仿宋_GB2312" w:cs="宋体"/>
          <w:color w:val="000000"/>
          <w:sz w:val="32"/>
          <w:szCs w:val="32"/>
        </w:rPr>
        <w:t>经检</w:t>
      </w:r>
      <w:r>
        <w:rPr>
          <w:rFonts w:hint="eastAsia" w:ascii="仿宋_GB2312" w:hAnsi="宋体" w:eastAsia="仿宋_GB2312" w:cs="宋体"/>
          <w:color w:val="000000"/>
          <w:sz w:val="32"/>
          <w:szCs w:val="32"/>
          <w:lang w:val="en-US"/>
        </w:rPr>
        <w:t>测</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10</w:t>
      </w:r>
      <w:r>
        <w:rPr>
          <w:rFonts w:hint="eastAsia" w:ascii="仿宋_GB2312" w:hAnsi="宋体" w:eastAsia="仿宋_GB2312" w:cs="宋体"/>
          <w:color w:val="000000"/>
          <w:sz w:val="32"/>
          <w:szCs w:val="32"/>
        </w:rPr>
        <w:t>批次</w:t>
      </w:r>
      <w:r>
        <w:rPr>
          <w:rFonts w:hint="eastAsia" w:ascii="仿宋_GB2312" w:hAnsi="宋体" w:eastAsia="仿宋_GB2312" w:cs="宋体"/>
          <w:color w:val="000000"/>
          <w:sz w:val="32"/>
          <w:szCs w:val="32"/>
          <w:lang w:eastAsia="zh-CN"/>
        </w:rPr>
        <w:t>样品</w:t>
      </w:r>
      <w:r>
        <w:rPr>
          <w:rFonts w:hint="eastAsia" w:ascii="仿宋_GB2312" w:hAnsi="宋体" w:eastAsia="仿宋_GB2312" w:cs="宋体"/>
          <w:color w:val="000000"/>
          <w:sz w:val="32"/>
          <w:szCs w:val="32"/>
        </w:rPr>
        <w:t>合格，不合格发现率为</w:t>
      </w:r>
      <w:r>
        <w:rPr>
          <w:rFonts w:hint="eastAsia" w:ascii="仿宋_GB2312" w:hAnsi="宋体" w:eastAsia="仿宋_GB2312" w:cs="宋体"/>
          <w:color w:val="000000"/>
          <w:sz w:val="32"/>
          <w:szCs w:val="32"/>
          <w:lang w:val="en-US" w:eastAsia="zh-CN"/>
        </w:rPr>
        <w:t>0%</w:t>
      </w:r>
      <w:r>
        <w:rPr>
          <w:rFonts w:hint="eastAsia" w:ascii="仿宋_GB2312" w:hAnsi="宋体" w:eastAsia="仿宋_GB2312" w:cs="宋体"/>
          <w:color w:val="000000"/>
          <w:sz w:val="32"/>
          <w:szCs w:val="32"/>
        </w:rPr>
        <w:t>。</w:t>
      </w:r>
    </w:p>
    <w:p w14:paraId="22C246D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Times New Roman"/>
          <w:bCs/>
          <w:sz w:val="32"/>
          <w:szCs w:val="32"/>
        </w:rPr>
        <w:t>监督抽查情况综合分析</w:t>
      </w:r>
    </w:p>
    <w:p w14:paraId="2FBD0868">
      <w:pPr>
        <w:keepNext w:val="0"/>
        <w:keepLines w:val="0"/>
        <w:pageBreakBefore w:val="0"/>
        <w:kinsoku/>
        <w:wordWrap/>
        <w:overflowPunct/>
        <w:topLinePunct w:val="0"/>
        <w:bidi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（一）产品质量抽查情况</w:t>
      </w:r>
    </w:p>
    <w:p w14:paraId="731F7ED6">
      <w:pPr>
        <w:pStyle w:val="12"/>
        <w:keepNext w:val="0"/>
        <w:keepLines w:val="0"/>
        <w:pageBreakBefore w:val="0"/>
        <w:shd w:val="clear" w:color="auto" w:fill="FFFFFF"/>
        <w:kinsoku/>
        <w:wordWrap/>
        <w:overflowPunct/>
        <w:topLinePunct w:val="0"/>
        <w:bidi w:val="0"/>
        <w:spacing w:line="560" w:lineRule="exact"/>
        <w:ind w:firstLine="640" w:firstLineChars="200"/>
        <w:contextualSpacing/>
        <w:jc w:val="both"/>
        <w:textAlignment w:val="auto"/>
        <w:rPr>
          <w:rFonts w:hint="eastAsia" w:ascii="仿宋" w:hAnsi="仿宋" w:eastAsia="仿宋" w:cs="仿宋"/>
          <w:kern w:val="0"/>
          <w:sz w:val="32"/>
          <w:szCs w:val="32"/>
          <w:lang w:val="en-US" w:eastAsia="zh-CN" w:bidi="ar-SA"/>
        </w:rPr>
      </w:pPr>
      <w:r>
        <w:rPr>
          <w:rFonts w:hint="eastAsia" w:ascii="仿宋_GB2312" w:hAnsi="宋体" w:eastAsia="仿宋_GB2312" w:cs="宋体"/>
          <w:color w:val="000000"/>
          <w:sz w:val="32"/>
          <w:szCs w:val="32"/>
        </w:rPr>
        <w:t>本次抽检</w:t>
      </w:r>
      <w:r>
        <w:rPr>
          <w:rFonts w:hint="eastAsia" w:ascii="仿宋_GB2312" w:hAnsi="宋体" w:eastAsia="仿宋_GB2312"/>
          <w:sz w:val="32"/>
          <w:szCs w:val="32"/>
          <w:lang w:eastAsia="zh-CN"/>
        </w:rPr>
        <w:t>电动自行车产品</w:t>
      </w:r>
      <w:r>
        <w:rPr>
          <w:rFonts w:hint="eastAsia" w:ascii="仿宋_GB2312" w:hAnsi="宋体" w:eastAsia="仿宋_GB2312" w:cs="宋体"/>
          <w:color w:val="000000"/>
          <w:sz w:val="32"/>
          <w:szCs w:val="32"/>
          <w:lang w:val="en-US" w:eastAsia="zh-CN"/>
        </w:rPr>
        <w:t>10</w:t>
      </w:r>
      <w:r>
        <w:rPr>
          <w:rFonts w:hint="eastAsia" w:ascii="仿宋_GB2312" w:hAnsi="宋体" w:eastAsia="仿宋_GB2312" w:cs="宋体"/>
          <w:color w:val="000000"/>
          <w:sz w:val="32"/>
          <w:szCs w:val="32"/>
        </w:rPr>
        <w:t>批次</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rPr>
        <w:t>涉及</w:t>
      </w:r>
      <w:r>
        <w:rPr>
          <w:rFonts w:hint="eastAsia" w:ascii="仿宋_GB2312" w:hAnsi="宋体" w:eastAsia="仿宋_GB2312" w:cs="宋体"/>
          <w:color w:val="000000"/>
          <w:sz w:val="32"/>
          <w:szCs w:val="32"/>
          <w:lang w:val="en-US" w:eastAsia="zh-CN"/>
        </w:rPr>
        <w:t>三井</w:t>
      </w:r>
      <w:r>
        <w:rPr>
          <w:rFonts w:hint="eastAsia" w:ascii="仿宋_GB2312" w:hAnsi="宋体" w:eastAsia="仿宋_GB2312" w:cs="宋体"/>
          <w:color w:val="000000"/>
          <w:sz w:val="32"/>
          <w:szCs w:val="32"/>
          <w:lang w:val="en-US"/>
        </w:rPr>
        <w:t>街道、龙虎塘街道、春江</w:t>
      </w:r>
      <w:r>
        <w:rPr>
          <w:rFonts w:hint="eastAsia" w:ascii="仿宋_GB2312" w:hAnsi="宋体" w:eastAsia="仿宋_GB2312" w:cs="宋体"/>
          <w:color w:val="000000"/>
          <w:sz w:val="32"/>
          <w:szCs w:val="32"/>
          <w:lang w:val="en-US" w:eastAsia="zh-CN"/>
        </w:rPr>
        <w:t>街道、魏村街道</w:t>
      </w:r>
      <w:r>
        <w:rPr>
          <w:rFonts w:hint="eastAsia" w:ascii="仿宋_GB2312" w:hAnsi="宋体" w:eastAsia="仿宋_GB2312" w:cs="宋体"/>
          <w:color w:val="000000"/>
          <w:sz w:val="32"/>
          <w:szCs w:val="32"/>
          <w:lang w:val="en-US"/>
        </w:rPr>
        <w:t>、孟河镇、新桥</w:t>
      </w:r>
      <w:r>
        <w:rPr>
          <w:rFonts w:hint="eastAsia" w:ascii="仿宋_GB2312" w:hAnsi="宋体" w:eastAsia="仿宋_GB2312" w:cs="宋体"/>
          <w:color w:val="000000"/>
          <w:sz w:val="32"/>
          <w:szCs w:val="32"/>
          <w:lang w:val="en-US" w:eastAsia="zh-CN"/>
        </w:rPr>
        <w:t>街道</w:t>
      </w:r>
      <w:r>
        <w:rPr>
          <w:rFonts w:hint="eastAsia" w:ascii="仿宋_GB2312" w:hAnsi="宋体" w:eastAsia="仿宋_GB2312" w:cs="宋体"/>
          <w:color w:val="000000"/>
          <w:sz w:val="32"/>
          <w:szCs w:val="32"/>
          <w:lang w:val="en-US"/>
        </w:rPr>
        <w:t>、薛家镇、罗溪镇、</w:t>
      </w:r>
      <w:r>
        <w:rPr>
          <w:rFonts w:hint="eastAsia" w:ascii="仿宋_GB2312" w:hAnsi="宋体" w:eastAsia="仿宋_GB2312" w:cs="宋体"/>
          <w:color w:val="000000"/>
          <w:sz w:val="32"/>
          <w:szCs w:val="32"/>
          <w:lang w:val="en-US" w:eastAsia="zh-CN"/>
        </w:rPr>
        <w:t>奔牛镇、</w:t>
      </w:r>
      <w:r>
        <w:rPr>
          <w:rFonts w:hint="eastAsia" w:ascii="仿宋_GB2312" w:hAnsi="宋体" w:eastAsia="仿宋_GB2312" w:cs="宋体"/>
          <w:color w:val="000000"/>
          <w:sz w:val="32"/>
          <w:szCs w:val="32"/>
          <w:lang w:val="en-US"/>
        </w:rPr>
        <w:t>西夏墅镇</w:t>
      </w:r>
      <w:r>
        <w:rPr>
          <w:rFonts w:hint="eastAsia" w:ascii="仿宋" w:hAnsi="仿宋" w:eastAsia="仿宋" w:cs="仿宋"/>
          <w:kern w:val="0"/>
          <w:sz w:val="32"/>
          <w:szCs w:val="32"/>
          <w:lang w:val="en-US" w:eastAsia="zh-CN" w:bidi="ar-SA"/>
        </w:rPr>
        <w:t>。</w:t>
      </w:r>
    </w:p>
    <w:p w14:paraId="168252F5">
      <w:pPr>
        <w:tabs>
          <w:tab w:val="left" w:pos="1313"/>
        </w:tabs>
        <w:spacing w:line="57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lang w:val="en-US" w:eastAsia="zh-CN"/>
        </w:rPr>
        <w:t>1、</w:t>
      </w:r>
      <w:r>
        <w:rPr>
          <w:rFonts w:hint="eastAsia" w:ascii="仿宋_GB2312" w:hAnsi="宋体" w:eastAsia="仿宋_GB2312" w:cs="宋体"/>
          <w:b/>
          <w:bCs/>
          <w:sz w:val="32"/>
          <w:szCs w:val="32"/>
        </w:rPr>
        <w:t>不同抽样地区监督抽查情况</w:t>
      </w:r>
    </w:p>
    <w:p w14:paraId="0518B536">
      <w:pPr>
        <w:tabs>
          <w:tab w:val="left" w:pos="1313"/>
        </w:tabs>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表</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val="en-US"/>
        </w:rPr>
        <w:t>：</w:t>
      </w:r>
      <w:r>
        <w:rPr>
          <w:rFonts w:hint="eastAsia" w:ascii="仿宋_GB2312" w:hAnsi="宋体" w:eastAsia="仿宋_GB2312" w:cs="宋体"/>
          <w:sz w:val="32"/>
          <w:szCs w:val="32"/>
        </w:rPr>
        <w:t>不同抽样地区监督抽查情况</w:t>
      </w:r>
    </w:p>
    <w:tbl>
      <w:tblPr>
        <w:tblStyle w:val="14"/>
        <w:tblW w:w="454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4"/>
        <w:gridCol w:w="1980"/>
        <w:gridCol w:w="1545"/>
        <w:gridCol w:w="1972"/>
        <w:gridCol w:w="1689"/>
      </w:tblGrid>
      <w:tr w14:paraId="4BBEC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jc w:val="center"/>
        </w:trPr>
        <w:tc>
          <w:tcPr>
            <w:tcW w:w="650" w:type="pct"/>
            <w:shd w:val="clear" w:color="auto" w:fill="auto"/>
            <w:vAlign w:val="center"/>
          </w:tcPr>
          <w:p w14:paraId="1556E8A6">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序号</w:t>
            </w:r>
          </w:p>
        </w:tc>
        <w:tc>
          <w:tcPr>
            <w:tcW w:w="1198" w:type="pct"/>
            <w:shd w:val="clear" w:color="auto" w:fill="auto"/>
            <w:vAlign w:val="center"/>
          </w:tcPr>
          <w:p w14:paraId="3E417C9B">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抽样地区</w:t>
            </w:r>
          </w:p>
        </w:tc>
        <w:tc>
          <w:tcPr>
            <w:tcW w:w="935" w:type="pct"/>
            <w:shd w:val="clear" w:color="auto" w:fill="auto"/>
            <w:vAlign w:val="center"/>
          </w:tcPr>
          <w:p w14:paraId="7647E2C3">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抽查批次</w:t>
            </w:r>
          </w:p>
        </w:tc>
        <w:tc>
          <w:tcPr>
            <w:tcW w:w="1193" w:type="pct"/>
            <w:shd w:val="clear" w:color="auto" w:fill="auto"/>
            <w:vAlign w:val="center"/>
          </w:tcPr>
          <w:p w14:paraId="7BE22AD1">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不合格批次</w:t>
            </w:r>
          </w:p>
        </w:tc>
        <w:tc>
          <w:tcPr>
            <w:tcW w:w="1022" w:type="pct"/>
            <w:shd w:val="clear" w:color="auto" w:fill="auto"/>
            <w:vAlign w:val="center"/>
          </w:tcPr>
          <w:p w14:paraId="3586656A">
            <w:pPr>
              <w:spacing w:line="570" w:lineRule="exact"/>
              <w:jc w:val="center"/>
              <w:rPr>
                <w:rFonts w:ascii="仿宋_GB2312" w:hAnsi="宋体" w:eastAsia="仿宋_GB2312" w:cs="宋体"/>
                <w:sz w:val="32"/>
                <w:szCs w:val="32"/>
                <w:lang w:val="en-US"/>
              </w:rPr>
            </w:pPr>
            <w:r>
              <w:rPr>
                <w:rFonts w:hint="eastAsia" w:ascii="仿宋_GB2312" w:hAnsi="宋体" w:eastAsia="仿宋_GB2312" w:cs="宋体"/>
                <w:sz w:val="32"/>
                <w:szCs w:val="32"/>
              </w:rPr>
              <w:t>不合格率</w:t>
            </w:r>
            <w:r>
              <w:rPr>
                <w:rFonts w:hint="eastAsia" w:ascii="仿宋_GB2312" w:hAnsi="宋体" w:eastAsia="仿宋_GB2312" w:cs="宋体"/>
                <w:sz w:val="32"/>
                <w:szCs w:val="32"/>
                <w:lang w:val="en-US"/>
              </w:rPr>
              <w:t>%</w:t>
            </w:r>
          </w:p>
        </w:tc>
      </w:tr>
      <w:tr w14:paraId="09EA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jc w:val="center"/>
        </w:trPr>
        <w:tc>
          <w:tcPr>
            <w:tcW w:w="650" w:type="pct"/>
            <w:shd w:val="clear" w:color="auto" w:fill="auto"/>
            <w:vAlign w:val="center"/>
          </w:tcPr>
          <w:p w14:paraId="019A2E44">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198" w:type="pct"/>
            <w:shd w:val="clear" w:color="auto" w:fill="auto"/>
            <w:vAlign w:val="center"/>
          </w:tcPr>
          <w:p w14:paraId="16614734">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三井</w:t>
            </w:r>
            <w:r>
              <w:rPr>
                <w:rFonts w:hint="eastAsia" w:ascii="仿宋_GB2312" w:hAnsi="宋体" w:eastAsia="仿宋_GB2312" w:cs="宋体"/>
                <w:color w:val="000000"/>
                <w:sz w:val="32"/>
                <w:szCs w:val="32"/>
                <w:lang w:val="en-US"/>
              </w:rPr>
              <w:t>街道</w:t>
            </w:r>
          </w:p>
        </w:tc>
        <w:tc>
          <w:tcPr>
            <w:tcW w:w="935" w:type="pct"/>
            <w:shd w:val="clear" w:color="auto" w:fill="auto"/>
            <w:vAlign w:val="center"/>
          </w:tcPr>
          <w:p w14:paraId="49A5B931">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741DA4F1">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6EA52C98">
            <w:pPr>
              <w:spacing w:line="57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0</w:t>
            </w:r>
          </w:p>
        </w:tc>
      </w:tr>
      <w:tr w14:paraId="31AE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650" w:type="pct"/>
            <w:shd w:val="clear" w:color="auto" w:fill="auto"/>
            <w:vAlign w:val="center"/>
          </w:tcPr>
          <w:p w14:paraId="1DC5D1DB">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198" w:type="pct"/>
            <w:shd w:val="clear" w:color="auto" w:fill="auto"/>
            <w:vAlign w:val="center"/>
          </w:tcPr>
          <w:p w14:paraId="38C71448">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rPr>
              <w:t>龙虎塘街道</w:t>
            </w:r>
          </w:p>
        </w:tc>
        <w:tc>
          <w:tcPr>
            <w:tcW w:w="935" w:type="pct"/>
            <w:shd w:val="clear" w:color="auto" w:fill="auto"/>
            <w:vAlign w:val="top"/>
          </w:tcPr>
          <w:p w14:paraId="1E9AA266">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6DFF69A9">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35BF4603">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r>
      <w:tr w14:paraId="076BF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50" w:type="pct"/>
            <w:shd w:val="clear" w:color="auto" w:fill="auto"/>
            <w:vAlign w:val="center"/>
          </w:tcPr>
          <w:p w14:paraId="3AA92C57">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198" w:type="pct"/>
            <w:shd w:val="clear" w:color="auto" w:fill="auto"/>
            <w:vAlign w:val="center"/>
          </w:tcPr>
          <w:p w14:paraId="2E580F36">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rPr>
              <w:t>春江</w:t>
            </w:r>
            <w:r>
              <w:rPr>
                <w:rFonts w:hint="eastAsia" w:ascii="仿宋_GB2312" w:hAnsi="宋体" w:eastAsia="仿宋_GB2312" w:cs="宋体"/>
                <w:color w:val="000000"/>
                <w:sz w:val="32"/>
                <w:szCs w:val="32"/>
                <w:lang w:val="en-US" w:eastAsia="zh-CN"/>
              </w:rPr>
              <w:t>街道</w:t>
            </w:r>
          </w:p>
        </w:tc>
        <w:tc>
          <w:tcPr>
            <w:tcW w:w="935" w:type="pct"/>
            <w:shd w:val="clear" w:color="auto" w:fill="auto"/>
            <w:vAlign w:val="top"/>
          </w:tcPr>
          <w:p w14:paraId="183905F0">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1583E585">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050970D9">
            <w:pPr>
              <w:spacing w:line="570" w:lineRule="exact"/>
              <w:jc w:val="center"/>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0</w:t>
            </w:r>
          </w:p>
        </w:tc>
      </w:tr>
      <w:tr w14:paraId="258A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50" w:type="pct"/>
            <w:shd w:val="clear" w:color="auto" w:fill="auto"/>
            <w:vAlign w:val="center"/>
          </w:tcPr>
          <w:p w14:paraId="74C43E97">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1198" w:type="pct"/>
            <w:shd w:val="clear" w:color="auto" w:fill="auto"/>
            <w:vAlign w:val="center"/>
          </w:tcPr>
          <w:p w14:paraId="45D79E1B">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魏村街道</w:t>
            </w:r>
          </w:p>
        </w:tc>
        <w:tc>
          <w:tcPr>
            <w:tcW w:w="935" w:type="pct"/>
            <w:shd w:val="clear" w:color="auto" w:fill="auto"/>
            <w:vAlign w:val="top"/>
          </w:tcPr>
          <w:p w14:paraId="06879604">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64FDEB9D">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18FB9BBC">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r w14:paraId="71EA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650" w:type="pct"/>
            <w:shd w:val="clear" w:color="auto" w:fill="auto"/>
            <w:vAlign w:val="center"/>
          </w:tcPr>
          <w:p w14:paraId="162EEA05">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5</w:t>
            </w:r>
          </w:p>
        </w:tc>
        <w:tc>
          <w:tcPr>
            <w:tcW w:w="1198" w:type="pct"/>
            <w:shd w:val="clear" w:color="auto" w:fill="auto"/>
            <w:vAlign w:val="center"/>
          </w:tcPr>
          <w:p w14:paraId="11F37429">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rPr>
              <w:t>孟河镇</w:t>
            </w:r>
          </w:p>
        </w:tc>
        <w:tc>
          <w:tcPr>
            <w:tcW w:w="935" w:type="pct"/>
            <w:shd w:val="clear" w:color="auto" w:fill="auto"/>
            <w:vAlign w:val="top"/>
          </w:tcPr>
          <w:p w14:paraId="1DEFF6C6">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240F8112">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48FA9589">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r>
      <w:tr w14:paraId="459F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650" w:type="pct"/>
            <w:shd w:val="clear" w:color="auto" w:fill="auto"/>
            <w:vAlign w:val="center"/>
          </w:tcPr>
          <w:p w14:paraId="126CD2C6">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6</w:t>
            </w:r>
          </w:p>
        </w:tc>
        <w:tc>
          <w:tcPr>
            <w:tcW w:w="1198" w:type="pct"/>
            <w:shd w:val="clear" w:color="auto" w:fill="auto"/>
            <w:vAlign w:val="center"/>
          </w:tcPr>
          <w:p w14:paraId="10E0D1D8">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rPr>
              <w:t>新桥</w:t>
            </w:r>
            <w:r>
              <w:rPr>
                <w:rFonts w:hint="eastAsia" w:ascii="仿宋_GB2312" w:hAnsi="宋体" w:eastAsia="仿宋_GB2312" w:cs="宋体"/>
                <w:color w:val="000000"/>
                <w:sz w:val="32"/>
                <w:szCs w:val="32"/>
                <w:lang w:val="en-US" w:eastAsia="zh-CN"/>
              </w:rPr>
              <w:t>街道</w:t>
            </w:r>
          </w:p>
        </w:tc>
        <w:tc>
          <w:tcPr>
            <w:tcW w:w="935" w:type="pct"/>
            <w:shd w:val="clear" w:color="auto" w:fill="auto"/>
            <w:vAlign w:val="top"/>
          </w:tcPr>
          <w:p w14:paraId="47EB8FE4">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05B91E61">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784196DF">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r>
      <w:tr w14:paraId="3E84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0" w:type="pct"/>
            <w:shd w:val="clear" w:color="auto" w:fill="auto"/>
            <w:vAlign w:val="center"/>
          </w:tcPr>
          <w:p w14:paraId="7690A7E8">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7</w:t>
            </w:r>
          </w:p>
        </w:tc>
        <w:tc>
          <w:tcPr>
            <w:tcW w:w="1198" w:type="pct"/>
            <w:shd w:val="clear" w:color="auto" w:fill="auto"/>
            <w:vAlign w:val="center"/>
          </w:tcPr>
          <w:p w14:paraId="4CA7D035">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rPr>
              <w:t>薛家镇</w:t>
            </w:r>
          </w:p>
        </w:tc>
        <w:tc>
          <w:tcPr>
            <w:tcW w:w="935" w:type="pct"/>
            <w:shd w:val="clear" w:color="auto" w:fill="auto"/>
            <w:vAlign w:val="top"/>
          </w:tcPr>
          <w:p w14:paraId="3A55CFB5">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314EE42C">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1362978D">
            <w:pPr>
              <w:spacing w:line="570" w:lineRule="exact"/>
              <w:jc w:val="center"/>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0</w:t>
            </w:r>
          </w:p>
        </w:tc>
      </w:tr>
      <w:tr w14:paraId="6F88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50" w:type="pct"/>
            <w:shd w:val="clear" w:color="auto" w:fill="auto"/>
            <w:vAlign w:val="center"/>
          </w:tcPr>
          <w:p w14:paraId="48DDDBE2">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8</w:t>
            </w:r>
          </w:p>
        </w:tc>
        <w:tc>
          <w:tcPr>
            <w:tcW w:w="1198" w:type="pct"/>
            <w:shd w:val="clear" w:color="auto" w:fill="auto"/>
            <w:vAlign w:val="center"/>
          </w:tcPr>
          <w:p w14:paraId="6F0EB44C">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奔牛镇</w:t>
            </w:r>
          </w:p>
        </w:tc>
        <w:tc>
          <w:tcPr>
            <w:tcW w:w="935" w:type="pct"/>
            <w:shd w:val="clear" w:color="auto" w:fill="auto"/>
            <w:vAlign w:val="top"/>
          </w:tcPr>
          <w:p w14:paraId="26770392">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49240FB0">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426F4CAB">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r w14:paraId="48F56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650" w:type="pct"/>
            <w:shd w:val="clear" w:color="auto" w:fill="auto"/>
            <w:vAlign w:val="center"/>
          </w:tcPr>
          <w:p w14:paraId="01B451B4">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9</w:t>
            </w:r>
          </w:p>
        </w:tc>
        <w:tc>
          <w:tcPr>
            <w:tcW w:w="1198" w:type="pct"/>
            <w:shd w:val="clear" w:color="auto" w:fill="auto"/>
            <w:vAlign w:val="center"/>
          </w:tcPr>
          <w:p w14:paraId="699E0E6E">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rPr>
              <w:t>罗溪镇</w:t>
            </w:r>
          </w:p>
        </w:tc>
        <w:tc>
          <w:tcPr>
            <w:tcW w:w="935" w:type="pct"/>
            <w:shd w:val="clear" w:color="auto" w:fill="auto"/>
            <w:vAlign w:val="top"/>
          </w:tcPr>
          <w:p w14:paraId="757911A8">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1C37A3C5">
            <w:pPr>
              <w:spacing w:line="57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0</w:t>
            </w:r>
          </w:p>
        </w:tc>
        <w:tc>
          <w:tcPr>
            <w:tcW w:w="1022" w:type="pct"/>
            <w:shd w:val="clear" w:color="auto" w:fill="auto"/>
          </w:tcPr>
          <w:p w14:paraId="78912E41">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r>
      <w:tr w14:paraId="7725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650" w:type="pct"/>
            <w:shd w:val="clear" w:color="auto" w:fill="auto"/>
            <w:vAlign w:val="center"/>
          </w:tcPr>
          <w:p w14:paraId="6137F8AF">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10</w:t>
            </w:r>
            <w:bookmarkStart w:id="0" w:name="_GoBack"/>
            <w:bookmarkEnd w:id="0"/>
          </w:p>
        </w:tc>
        <w:tc>
          <w:tcPr>
            <w:tcW w:w="1198" w:type="pct"/>
            <w:shd w:val="clear" w:color="auto" w:fill="auto"/>
            <w:vAlign w:val="center"/>
          </w:tcPr>
          <w:p w14:paraId="315BC8AB">
            <w:pPr>
              <w:spacing w:line="570" w:lineRule="exact"/>
              <w:jc w:val="center"/>
              <w:rPr>
                <w:rFonts w:hint="eastAsia" w:ascii="仿宋_GB2312" w:hAnsi="宋体" w:eastAsia="仿宋_GB2312" w:cs="宋体"/>
                <w:color w:val="000000"/>
                <w:sz w:val="32"/>
                <w:szCs w:val="32"/>
                <w:lang w:val="en-US"/>
              </w:rPr>
            </w:pPr>
            <w:r>
              <w:rPr>
                <w:rFonts w:hint="eastAsia" w:ascii="仿宋_GB2312" w:hAnsi="宋体" w:eastAsia="仿宋_GB2312" w:cs="宋体"/>
                <w:color w:val="000000"/>
                <w:sz w:val="32"/>
                <w:szCs w:val="32"/>
                <w:lang w:val="en-US"/>
              </w:rPr>
              <w:t>西夏墅镇</w:t>
            </w:r>
          </w:p>
        </w:tc>
        <w:tc>
          <w:tcPr>
            <w:tcW w:w="935" w:type="pct"/>
            <w:shd w:val="clear" w:color="auto" w:fill="auto"/>
            <w:vAlign w:val="top"/>
          </w:tcPr>
          <w:p w14:paraId="2C672383">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93" w:type="pct"/>
            <w:shd w:val="clear" w:color="auto" w:fill="auto"/>
            <w:vAlign w:val="center"/>
          </w:tcPr>
          <w:p w14:paraId="7B8B7203">
            <w:pPr>
              <w:spacing w:line="57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1022" w:type="pct"/>
            <w:shd w:val="clear" w:color="auto" w:fill="auto"/>
          </w:tcPr>
          <w:p w14:paraId="7E8FDBA6">
            <w:pPr>
              <w:spacing w:line="57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r>
      <w:tr w14:paraId="5EBB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jc w:val="center"/>
        </w:trPr>
        <w:tc>
          <w:tcPr>
            <w:tcW w:w="1848" w:type="pct"/>
            <w:gridSpan w:val="2"/>
            <w:shd w:val="clear" w:color="auto" w:fill="auto"/>
            <w:vAlign w:val="center"/>
          </w:tcPr>
          <w:p w14:paraId="73B6E959">
            <w:pPr>
              <w:spacing w:line="570" w:lineRule="exact"/>
              <w:jc w:val="center"/>
              <w:rPr>
                <w:rFonts w:ascii="仿宋_GB2312" w:hAnsi="宋体" w:eastAsia="仿宋_GB2312" w:cs="宋体"/>
                <w:sz w:val="32"/>
                <w:szCs w:val="32"/>
              </w:rPr>
            </w:pPr>
            <w:r>
              <w:rPr>
                <w:rFonts w:hint="eastAsia" w:ascii="仿宋_GB2312" w:hAnsi="宋体" w:eastAsia="仿宋_GB2312" w:cs="宋体"/>
                <w:sz w:val="32"/>
                <w:szCs w:val="32"/>
              </w:rPr>
              <w:t>合计</w:t>
            </w:r>
          </w:p>
        </w:tc>
        <w:tc>
          <w:tcPr>
            <w:tcW w:w="935" w:type="pct"/>
            <w:shd w:val="clear" w:color="auto" w:fill="auto"/>
            <w:vAlign w:val="center"/>
          </w:tcPr>
          <w:p w14:paraId="7205F428">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1193" w:type="pct"/>
            <w:shd w:val="clear" w:color="auto" w:fill="auto"/>
            <w:vAlign w:val="center"/>
          </w:tcPr>
          <w:p w14:paraId="43965213">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1022" w:type="pct"/>
            <w:shd w:val="clear" w:color="auto" w:fill="auto"/>
            <w:vAlign w:val="center"/>
          </w:tcPr>
          <w:p w14:paraId="39F47E72">
            <w:pPr>
              <w:spacing w:line="57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bl>
    <w:p w14:paraId="2B7843CC">
      <w:pPr>
        <w:numPr>
          <w:ilvl w:val="0"/>
          <w:numId w:val="0"/>
        </w:numPr>
        <w:spacing w:line="570" w:lineRule="exact"/>
        <w:ind w:firstLine="643" w:firstLineChars="200"/>
        <w:rPr>
          <w:rFonts w:hint="eastAsia" w:ascii="楷体_GB2312" w:hAnsi="宋体" w:eastAsia="楷体_GB2312"/>
          <w:b/>
          <w:bCs/>
          <w:sz w:val="32"/>
          <w:szCs w:val="32"/>
          <w:lang w:val="en-US" w:eastAsia="zh-CN"/>
        </w:rPr>
      </w:pPr>
      <w:r>
        <w:rPr>
          <w:rFonts w:hint="eastAsia" w:ascii="仿宋_GB2312" w:hAnsi="宋体" w:eastAsia="仿宋_GB2312" w:cs="宋体"/>
          <w:b/>
          <w:bCs/>
          <w:sz w:val="32"/>
          <w:szCs w:val="32"/>
          <w:lang w:val="en-US" w:eastAsia="zh-CN"/>
        </w:rPr>
        <w:t>2、按</w:t>
      </w:r>
      <w:r>
        <w:rPr>
          <w:rFonts w:hint="eastAsia" w:ascii="仿宋_GB2312" w:hAnsi="宋体" w:eastAsia="仿宋_GB2312" w:cs="宋体"/>
          <w:b/>
          <w:bCs/>
          <w:sz w:val="32"/>
          <w:szCs w:val="32"/>
          <w:lang w:val="en-US" w:eastAsia="zh-CN"/>
        </w:rPr>
        <w:fldChar w:fldCharType="begin"/>
      </w:r>
      <w:r>
        <w:rPr>
          <w:rFonts w:hint="eastAsia" w:ascii="仿宋_GB2312" w:hAnsi="宋体" w:eastAsia="仿宋_GB2312" w:cs="宋体"/>
          <w:b/>
          <w:bCs/>
          <w:sz w:val="32"/>
          <w:szCs w:val="32"/>
          <w:lang w:val="en-US" w:eastAsia="zh-CN"/>
        </w:rPr>
        <w:instrText xml:space="preserve"> HYPERLINK \l "_Toc41569868" </w:instrText>
      </w:r>
      <w:r>
        <w:rPr>
          <w:rFonts w:hint="eastAsia" w:ascii="仿宋_GB2312" w:hAnsi="宋体" w:eastAsia="仿宋_GB2312" w:cs="宋体"/>
          <w:b/>
          <w:bCs/>
          <w:sz w:val="32"/>
          <w:szCs w:val="32"/>
          <w:lang w:val="en-US" w:eastAsia="zh-CN"/>
        </w:rPr>
        <w:fldChar w:fldCharType="separate"/>
      </w:r>
      <w:r>
        <w:rPr>
          <w:rFonts w:hint="eastAsia" w:ascii="仿宋_GB2312" w:hAnsi="宋体" w:eastAsia="仿宋_GB2312" w:cs="宋体"/>
          <w:b/>
          <w:bCs/>
          <w:sz w:val="32"/>
          <w:szCs w:val="32"/>
          <w:lang w:val="en-US" w:eastAsia="zh-CN"/>
        </w:rPr>
        <w:t>检验项目监督抽查况</w:t>
      </w:r>
      <w:r>
        <w:rPr>
          <w:rFonts w:hint="eastAsia" w:ascii="仿宋_GB2312" w:hAnsi="宋体" w:eastAsia="仿宋_GB2312" w:cs="宋体"/>
          <w:b/>
          <w:bCs/>
          <w:sz w:val="32"/>
          <w:szCs w:val="32"/>
          <w:lang w:val="en-US" w:eastAsia="zh-CN"/>
        </w:rPr>
        <w:fldChar w:fldCharType="end"/>
      </w:r>
    </w:p>
    <w:p w14:paraId="3CE8EA7D">
      <w:pPr>
        <w:numPr>
          <w:ilvl w:val="0"/>
          <w:numId w:val="0"/>
        </w:numPr>
        <w:spacing w:line="570" w:lineRule="exact"/>
        <w:ind w:firstLine="1920" w:firstLineChars="600"/>
        <w:rPr>
          <w:rFonts w:hint="default" w:ascii="楷体_GB2312" w:hAnsi="宋体" w:eastAsia="楷体_GB2312"/>
          <w:b/>
          <w:bCs/>
          <w:sz w:val="32"/>
          <w:szCs w:val="32"/>
          <w:lang w:val="en-US" w:eastAsia="zh-CN"/>
        </w:rPr>
      </w:pPr>
      <w:r>
        <w:rPr>
          <w:rFonts w:hint="eastAsia" w:ascii="仿宋_GB2312" w:hAnsi="宋体" w:eastAsia="仿宋_GB2312" w:cs="宋体"/>
          <w:sz w:val="32"/>
          <w:szCs w:val="32"/>
        </w:rPr>
        <w:t>表</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val="en-US"/>
        </w:rPr>
        <w:t>：</w:t>
      </w:r>
      <w:r>
        <w:rPr>
          <w:rFonts w:hint="eastAsia" w:ascii="仿宋_GB2312" w:hAnsi="宋体" w:eastAsia="仿宋_GB2312" w:cs="宋体"/>
          <w:sz w:val="32"/>
          <w:szCs w:val="32"/>
          <w:lang w:val="en-US" w:eastAsia="zh-CN"/>
        </w:rPr>
        <w:t>按</w:t>
      </w:r>
      <w:r>
        <w:rPr>
          <w:rFonts w:hint="eastAsia" w:ascii="仿宋_GB2312" w:hAnsi="宋体" w:eastAsia="仿宋_GB2312" w:cs="宋体"/>
          <w:sz w:val="32"/>
          <w:szCs w:val="32"/>
          <w:lang w:val="en-US" w:eastAsia="zh-CN"/>
        </w:rPr>
        <w:fldChar w:fldCharType="begin"/>
      </w:r>
      <w:r>
        <w:rPr>
          <w:rFonts w:hint="eastAsia" w:ascii="仿宋_GB2312" w:hAnsi="宋体" w:eastAsia="仿宋_GB2312" w:cs="宋体"/>
          <w:sz w:val="32"/>
          <w:szCs w:val="32"/>
          <w:lang w:val="en-US" w:eastAsia="zh-CN"/>
        </w:rPr>
        <w:instrText xml:space="preserve"> HYPERLINK \l "_Toc41569868" </w:instrText>
      </w:r>
      <w:r>
        <w:rPr>
          <w:rFonts w:hint="eastAsia" w:ascii="仿宋_GB2312" w:hAnsi="宋体" w:eastAsia="仿宋_GB2312" w:cs="宋体"/>
          <w:sz w:val="32"/>
          <w:szCs w:val="32"/>
          <w:lang w:val="en-US" w:eastAsia="zh-CN"/>
        </w:rPr>
        <w:fldChar w:fldCharType="separate"/>
      </w:r>
      <w:r>
        <w:rPr>
          <w:rFonts w:hint="eastAsia" w:ascii="仿宋_GB2312" w:hAnsi="宋体" w:eastAsia="仿宋_GB2312" w:cs="宋体"/>
          <w:sz w:val="32"/>
          <w:szCs w:val="32"/>
          <w:lang w:val="en-US" w:eastAsia="zh-CN"/>
        </w:rPr>
        <w:t>检验项目监督抽查况</w:t>
      </w:r>
      <w:r>
        <w:rPr>
          <w:rFonts w:hint="eastAsia" w:ascii="仿宋_GB2312" w:hAnsi="宋体" w:eastAsia="仿宋_GB2312" w:cs="宋体"/>
          <w:sz w:val="32"/>
          <w:szCs w:val="32"/>
          <w:lang w:val="en-US" w:eastAsia="zh-CN"/>
        </w:rPr>
        <w:fldChar w:fldCharType="end"/>
      </w:r>
      <w:r>
        <w:rPr>
          <w:rFonts w:hint="eastAsia" w:ascii="仿宋_GB2312" w:hAnsi="宋体" w:eastAsia="仿宋_GB2312" w:cs="宋体"/>
          <w:sz w:val="32"/>
          <w:szCs w:val="32"/>
          <w:lang w:val="en-US" w:eastAsia="zh-CN"/>
        </w:rPr>
        <w:t>(GB 17761-2018)</w:t>
      </w:r>
    </w:p>
    <w:tbl>
      <w:tblPr>
        <w:tblStyle w:val="14"/>
        <w:tblW w:w="91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3624"/>
        <w:gridCol w:w="1547"/>
        <w:gridCol w:w="1517"/>
        <w:gridCol w:w="2471"/>
      </w:tblGrid>
      <w:tr w14:paraId="618D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5E4E1392">
            <w:pPr>
              <w:spacing w:line="570" w:lineRule="exact"/>
              <w:ind w:firstLine="1280" w:firstLineChars="400"/>
              <w:jc w:val="both"/>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项目</w:t>
            </w:r>
          </w:p>
        </w:tc>
        <w:tc>
          <w:tcPr>
            <w:tcW w:w="1547" w:type="dxa"/>
            <w:noWrap w:val="0"/>
            <w:vAlign w:val="center"/>
          </w:tcPr>
          <w:p w14:paraId="77FF754F">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抽查批次</w:t>
            </w:r>
          </w:p>
        </w:tc>
        <w:tc>
          <w:tcPr>
            <w:tcW w:w="1517" w:type="dxa"/>
            <w:noWrap w:val="0"/>
            <w:vAlign w:val="center"/>
          </w:tcPr>
          <w:p w14:paraId="7D357FAA">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合格批次</w:t>
            </w:r>
          </w:p>
        </w:tc>
        <w:tc>
          <w:tcPr>
            <w:tcW w:w="2471" w:type="dxa"/>
            <w:noWrap w:val="0"/>
            <w:vAlign w:val="center"/>
          </w:tcPr>
          <w:p w14:paraId="0F5B4079">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合格批次率</w:t>
            </w:r>
          </w:p>
        </w:tc>
      </w:tr>
      <w:tr w14:paraId="47F7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24777511">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标识与警示语</w:t>
            </w:r>
          </w:p>
        </w:tc>
        <w:tc>
          <w:tcPr>
            <w:tcW w:w="1547" w:type="dxa"/>
            <w:noWrap w:val="0"/>
            <w:vAlign w:val="center"/>
          </w:tcPr>
          <w:p w14:paraId="09F0E86C">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12FFF0F9">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188426D1">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07296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6E093001">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车速限值</w:t>
            </w:r>
          </w:p>
        </w:tc>
        <w:tc>
          <w:tcPr>
            <w:tcW w:w="1547" w:type="dxa"/>
            <w:noWrap w:val="0"/>
            <w:vAlign w:val="center"/>
          </w:tcPr>
          <w:p w14:paraId="3240DEC5">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0569FCE1">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01B83D40">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58DD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4C668694">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整车质量</w:t>
            </w:r>
          </w:p>
        </w:tc>
        <w:tc>
          <w:tcPr>
            <w:tcW w:w="1547" w:type="dxa"/>
            <w:noWrap w:val="0"/>
            <w:vAlign w:val="center"/>
          </w:tcPr>
          <w:p w14:paraId="15A2542E">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4384C0C3">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36F1799C">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7688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3833C77B">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制动性能</w:t>
            </w:r>
          </w:p>
        </w:tc>
        <w:tc>
          <w:tcPr>
            <w:tcW w:w="1547" w:type="dxa"/>
            <w:noWrap w:val="0"/>
            <w:vAlign w:val="center"/>
          </w:tcPr>
          <w:p w14:paraId="55B0D7AF">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57101FC9">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26DC709D">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6998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2B985FAB">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结构</w:t>
            </w:r>
          </w:p>
        </w:tc>
        <w:tc>
          <w:tcPr>
            <w:tcW w:w="1547" w:type="dxa"/>
            <w:noWrap w:val="0"/>
            <w:vAlign w:val="center"/>
          </w:tcPr>
          <w:p w14:paraId="15BE12BF">
            <w:pPr>
              <w:spacing w:line="570" w:lineRule="exact"/>
              <w:ind w:firstLine="640" w:firstLineChars="200"/>
              <w:jc w:val="both"/>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0A2BFC14">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61805BF1">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5E5DB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40DE62C0">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车速提示音</w:t>
            </w:r>
          </w:p>
        </w:tc>
        <w:tc>
          <w:tcPr>
            <w:tcW w:w="1547" w:type="dxa"/>
            <w:noWrap w:val="0"/>
            <w:vAlign w:val="center"/>
          </w:tcPr>
          <w:p w14:paraId="2BE0FED2">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4B5EBA7A">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62879B58">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3DE4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081F3168">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互认协同充电</w:t>
            </w:r>
          </w:p>
        </w:tc>
        <w:tc>
          <w:tcPr>
            <w:tcW w:w="1547" w:type="dxa"/>
            <w:noWrap w:val="0"/>
            <w:vAlign w:val="center"/>
          </w:tcPr>
          <w:p w14:paraId="745B4616">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4259A1C7">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138ABECE">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5E97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2392EFCE">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布线</w:t>
            </w:r>
          </w:p>
        </w:tc>
        <w:tc>
          <w:tcPr>
            <w:tcW w:w="1547" w:type="dxa"/>
            <w:noWrap w:val="0"/>
            <w:vAlign w:val="center"/>
          </w:tcPr>
          <w:p w14:paraId="1657665C">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0E32DFEA">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58D08C2E">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0321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300890FF">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电气装置</w:t>
            </w:r>
          </w:p>
        </w:tc>
        <w:tc>
          <w:tcPr>
            <w:tcW w:w="1547" w:type="dxa"/>
            <w:noWrap w:val="0"/>
            <w:vAlign w:val="center"/>
          </w:tcPr>
          <w:p w14:paraId="2E519A48">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0E6F451B">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1189C227">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3C363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74CEEFDC">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充电器与蓄电池</w:t>
            </w:r>
          </w:p>
        </w:tc>
        <w:tc>
          <w:tcPr>
            <w:tcW w:w="1547" w:type="dxa"/>
            <w:noWrap w:val="0"/>
            <w:vAlign w:val="center"/>
          </w:tcPr>
          <w:p w14:paraId="13E3620E">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43D31AE4">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5F5EEEFF">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5117E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2EA84F9C">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淋水涉水性能</w:t>
            </w:r>
          </w:p>
        </w:tc>
        <w:tc>
          <w:tcPr>
            <w:tcW w:w="1547" w:type="dxa"/>
            <w:noWrap w:val="0"/>
            <w:vAlign w:val="center"/>
          </w:tcPr>
          <w:p w14:paraId="45B79066">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5811A1B2">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09CF7E09">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4C29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4C6D2810">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对触及带电部分的防护</w:t>
            </w:r>
          </w:p>
        </w:tc>
        <w:tc>
          <w:tcPr>
            <w:tcW w:w="1547" w:type="dxa"/>
            <w:noWrap w:val="0"/>
            <w:vAlign w:val="center"/>
          </w:tcPr>
          <w:p w14:paraId="5CEBF900">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008DEC9E">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6B48C03B">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4C90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7A097481">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连接</w:t>
            </w:r>
          </w:p>
        </w:tc>
        <w:tc>
          <w:tcPr>
            <w:tcW w:w="1547" w:type="dxa"/>
            <w:noWrap w:val="0"/>
            <w:vAlign w:val="center"/>
          </w:tcPr>
          <w:p w14:paraId="5870D1BF">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36588574">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08398EA2">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6AAF3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1A8E81A9">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导线</w:t>
            </w:r>
          </w:p>
        </w:tc>
        <w:tc>
          <w:tcPr>
            <w:tcW w:w="1547" w:type="dxa"/>
            <w:noWrap w:val="0"/>
            <w:vAlign w:val="center"/>
          </w:tcPr>
          <w:p w14:paraId="686C128B">
            <w:pPr>
              <w:spacing w:line="570" w:lineRule="exact"/>
              <w:ind w:firstLine="640" w:firstLineChars="200"/>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2289DDCF">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510AFD97">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01FD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3" w:hRule="atLeast"/>
          <w:jc w:val="center"/>
        </w:trPr>
        <w:tc>
          <w:tcPr>
            <w:tcW w:w="3624" w:type="dxa"/>
            <w:noWrap w:val="0"/>
            <w:vAlign w:val="center"/>
          </w:tcPr>
          <w:p w14:paraId="0392A671">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反射器、照明和鸣号装置</w:t>
            </w:r>
          </w:p>
        </w:tc>
        <w:tc>
          <w:tcPr>
            <w:tcW w:w="1547" w:type="dxa"/>
            <w:noWrap w:val="0"/>
            <w:vAlign w:val="center"/>
          </w:tcPr>
          <w:p w14:paraId="0622FF54">
            <w:pPr>
              <w:spacing w:line="570" w:lineRule="exact"/>
              <w:ind w:firstLine="640" w:firstLineChars="200"/>
              <w:jc w:val="both"/>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5886D826">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0A953B88">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r w14:paraId="0233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7" w:hRule="atLeast"/>
          <w:jc w:val="center"/>
        </w:trPr>
        <w:tc>
          <w:tcPr>
            <w:tcW w:w="3624" w:type="dxa"/>
            <w:noWrap w:val="0"/>
            <w:vAlign w:val="center"/>
          </w:tcPr>
          <w:p w14:paraId="50374FEC">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防火性能</w:t>
            </w:r>
          </w:p>
        </w:tc>
        <w:tc>
          <w:tcPr>
            <w:tcW w:w="1547" w:type="dxa"/>
            <w:noWrap w:val="0"/>
            <w:vAlign w:val="center"/>
          </w:tcPr>
          <w:p w14:paraId="7DDB2897">
            <w:pPr>
              <w:spacing w:line="570" w:lineRule="exact"/>
              <w:ind w:firstLine="640" w:firstLineChars="200"/>
              <w:jc w:val="both"/>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1517" w:type="dxa"/>
            <w:noWrap w:val="0"/>
            <w:vAlign w:val="center"/>
          </w:tcPr>
          <w:p w14:paraId="13E5EC31">
            <w:pPr>
              <w:spacing w:line="570" w:lineRule="exact"/>
              <w:jc w:val="center"/>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w:t>
            </w:r>
          </w:p>
        </w:tc>
        <w:tc>
          <w:tcPr>
            <w:tcW w:w="2471" w:type="dxa"/>
            <w:noWrap w:val="0"/>
            <w:vAlign w:val="center"/>
          </w:tcPr>
          <w:p w14:paraId="5DB770E7">
            <w:pPr>
              <w:spacing w:line="570" w:lineRule="exact"/>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100%</w:t>
            </w:r>
          </w:p>
        </w:tc>
      </w:tr>
    </w:tbl>
    <w:p w14:paraId="41470AC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（二）产品质量抽查结果分析</w:t>
      </w:r>
    </w:p>
    <w:p w14:paraId="6A9A98F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contextualSpacing/>
        <w:textAlignment w:val="auto"/>
        <w:rPr>
          <w:rFonts w:hint="default" w:ascii="仿宋_GB2312" w:eastAsia="仿宋_GB2312"/>
          <w:sz w:val="32"/>
          <w:szCs w:val="32"/>
          <w:lang w:val="en-US" w:eastAsia="zh-CN"/>
        </w:rPr>
      </w:pPr>
      <w:r>
        <w:rPr>
          <w:rFonts w:hint="eastAsia" w:ascii="仿宋_GB2312" w:eastAsia="仿宋_GB2312"/>
          <w:sz w:val="32"/>
          <w:szCs w:val="32"/>
        </w:rPr>
        <w:t>本次监督抽查项目</w:t>
      </w:r>
      <w:r>
        <w:rPr>
          <w:rFonts w:hint="eastAsia" w:ascii="仿宋_GB2312" w:eastAsia="仿宋_GB2312"/>
          <w:sz w:val="32"/>
          <w:szCs w:val="32"/>
          <w:lang w:eastAsia="zh-CN"/>
        </w:rPr>
        <w:t>：</w:t>
      </w:r>
      <w:r>
        <w:rPr>
          <w:rFonts w:hint="eastAsia" w:ascii="仿宋_GB2312" w:eastAsia="仿宋_GB2312"/>
          <w:sz w:val="32"/>
          <w:szCs w:val="32"/>
          <w:lang w:val="en-US" w:eastAsia="zh-CN"/>
        </w:rPr>
        <w:t>标识与警示语、车速限值、整车质量、制动性能、结构、车速提示音、互认协同充电、布线、电气装置、充电器与蓄电池、淋水涉水性能、对触及带电部分的防护、连接、导线、反射器、照明和鸣号装置、防火性能</w:t>
      </w:r>
      <w:r>
        <w:rPr>
          <w:rFonts w:hint="eastAsia" w:ascii="仿宋_GB2312" w:eastAsia="仿宋_GB2312"/>
          <w:sz w:val="32"/>
          <w:szCs w:val="32"/>
        </w:rPr>
        <w:t>。以上</w:t>
      </w:r>
      <w:r>
        <w:rPr>
          <w:rFonts w:hint="eastAsia" w:ascii="仿宋_GB2312" w:eastAsia="仿宋_GB2312"/>
          <w:sz w:val="32"/>
          <w:szCs w:val="32"/>
          <w:lang w:val="en-US" w:eastAsia="zh-CN"/>
        </w:rPr>
        <w:t>16</w:t>
      </w:r>
      <w:r>
        <w:rPr>
          <w:rFonts w:hint="eastAsia" w:ascii="仿宋_GB2312" w:eastAsia="仿宋_GB2312"/>
          <w:sz w:val="32"/>
          <w:szCs w:val="32"/>
        </w:rPr>
        <w:t>个项目</w:t>
      </w:r>
      <w:r>
        <w:rPr>
          <w:rFonts w:hint="eastAsia" w:ascii="仿宋_GB2312" w:eastAsia="仿宋_GB2312"/>
          <w:sz w:val="32"/>
          <w:szCs w:val="32"/>
          <w:lang w:eastAsia="zh-CN"/>
        </w:rPr>
        <w:t>均</w:t>
      </w:r>
      <w:r>
        <w:rPr>
          <w:rFonts w:hint="eastAsia" w:ascii="仿宋_GB2312" w:eastAsia="仿宋_GB2312"/>
          <w:sz w:val="32"/>
          <w:szCs w:val="32"/>
        </w:rPr>
        <w:t>为GB</w:t>
      </w:r>
      <w:r>
        <w:rPr>
          <w:rFonts w:hint="eastAsia" w:ascii="仿宋_GB2312" w:eastAsia="仿宋_GB2312"/>
          <w:sz w:val="32"/>
          <w:szCs w:val="32"/>
          <w:lang w:val="en-US" w:eastAsia="zh-CN"/>
        </w:rPr>
        <w:t>17761</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强制要求。</w:t>
      </w:r>
      <w:r>
        <w:rPr>
          <w:rFonts w:hint="eastAsia" w:ascii="仿宋_GB2312" w:eastAsia="仿宋_GB2312"/>
          <w:sz w:val="32"/>
          <w:szCs w:val="32"/>
          <w:lang w:eastAsia="zh-CN"/>
        </w:rPr>
        <w:t>本次监督抽查未抽到</w:t>
      </w:r>
      <w:r>
        <w:rPr>
          <w:rFonts w:hint="eastAsia" w:ascii="仿宋_GB2312" w:eastAsia="仿宋_GB2312"/>
          <w:sz w:val="32"/>
          <w:szCs w:val="32"/>
        </w:rPr>
        <w:t>GB</w:t>
      </w:r>
      <w:r>
        <w:rPr>
          <w:rFonts w:hint="eastAsia" w:ascii="仿宋_GB2312" w:eastAsia="仿宋_GB2312"/>
          <w:sz w:val="32"/>
          <w:szCs w:val="32"/>
          <w:lang w:val="en-US" w:eastAsia="zh-CN"/>
        </w:rPr>
        <w:t>17761</w:t>
      </w:r>
      <w:r>
        <w:rPr>
          <w:rFonts w:hint="eastAsia" w:ascii="仿宋_GB2312" w:eastAsia="仿宋_GB2312"/>
          <w:sz w:val="32"/>
          <w:szCs w:val="32"/>
        </w:rPr>
        <w:t>-20</w:t>
      </w:r>
      <w:r>
        <w:rPr>
          <w:rFonts w:hint="eastAsia" w:ascii="仿宋_GB2312" w:eastAsia="仿宋_GB2312"/>
          <w:sz w:val="32"/>
          <w:szCs w:val="32"/>
          <w:lang w:val="en-US" w:eastAsia="zh-CN"/>
        </w:rPr>
        <w:t>24标准电动自行车，新标准于2025年9月1日正式实施，</w:t>
      </w:r>
      <w:r>
        <w:rPr>
          <w:rFonts w:hint="eastAsia" w:ascii="仿宋_GB2312" w:eastAsia="仿宋_GB2312"/>
          <w:sz w:val="32"/>
          <w:szCs w:val="32"/>
        </w:rPr>
        <w:t>GB</w:t>
      </w:r>
      <w:r>
        <w:rPr>
          <w:rFonts w:hint="eastAsia" w:ascii="仿宋_GB2312" w:eastAsia="仿宋_GB2312"/>
          <w:sz w:val="32"/>
          <w:szCs w:val="32"/>
          <w:lang w:val="en-US" w:eastAsia="zh-CN"/>
        </w:rPr>
        <w:t>17761</w:t>
      </w:r>
      <w:r>
        <w:rPr>
          <w:rFonts w:hint="eastAsia" w:ascii="仿宋_GB2312" w:eastAsia="仿宋_GB2312"/>
          <w:sz w:val="32"/>
          <w:szCs w:val="32"/>
        </w:rPr>
        <w:t>-201</w:t>
      </w:r>
      <w:r>
        <w:rPr>
          <w:rFonts w:hint="eastAsia" w:ascii="仿宋_GB2312" w:eastAsia="仿宋_GB2312"/>
          <w:sz w:val="32"/>
          <w:szCs w:val="32"/>
          <w:lang w:val="en-US" w:eastAsia="zh-CN"/>
        </w:rPr>
        <w:t>8标准电动自行车允许售卖到2025年11月30日，2025年12月1日起，只能售卖新标准</w:t>
      </w:r>
      <w:r>
        <w:rPr>
          <w:rFonts w:hint="eastAsia" w:ascii="仿宋_GB2312" w:eastAsia="仿宋_GB2312"/>
          <w:sz w:val="32"/>
          <w:szCs w:val="32"/>
        </w:rPr>
        <w:t>GB</w:t>
      </w:r>
      <w:r>
        <w:rPr>
          <w:rFonts w:hint="eastAsia" w:ascii="仿宋_GB2312" w:eastAsia="仿宋_GB2312"/>
          <w:sz w:val="32"/>
          <w:szCs w:val="32"/>
          <w:lang w:val="en-US" w:eastAsia="zh-CN"/>
        </w:rPr>
        <w:t>17761</w:t>
      </w:r>
      <w:r>
        <w:rPr>
          <w:rFonts w:hint="eastAsia" w:ascii="仿宋_GB2312" w:eastAsia="仿宋_GB2312"/>
          <w:sz w:val="32"/>
          <w:szCs w:val="32"/>
        </w:rPr>
        <w:t>-20</w:t>
      </w:r>
      <w:r>
        <w:rPr>
          <w:rFonts w:hint="eastAsia" w:ascii="仿宋_GB2312" w:eastAsia="仿宋_GB2312"/>
          <w:sz w:val="32"/>
          <w:szCs w:val="32"/>
          <w:lang w:val="en-US" w:eastAsia="zh-CN"/>
        </w:rPr>
        <w:t>24电动自行车。</w:t>
      </w:r>
    </w:p>
    <w:p w14:paraId="39068E4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lang w:val="en-US" w:eastAsia="zh-CN"/>
        </w:rPr>
        <w:t>三</w:t>
      </w:r>
      <w:r>
        <w:rPr>
          <w:rFonts w:hint="eastAsia" w:ascii="黑体" w:hAnsi="黑体" w:eastAsia="黑体" w:cs="Times New Roman"/>
          <w:bCs/>
          <w:sz w:val="32"/>
          <w:szCs w:val="32"/>
        </w:rPr>
        <w:t>、消费建议</w:t>
      </w:r>
    </w:p>
    <w:p w14:paraId="5C11FC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认准合规资质。查看车辆是否通过国家强制性产品认证（3C认证），车身应贴有清晰3C标志。核对产品合格证、车辆一致性证书，确保电池、电机等关键部件与证书信息一致。</w:t>
      </w:r>
    </w:p>
    <w:p w14:paraId="4261D4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选择正规渠道。优先选择品牌专卖店或信誉良好的商家，避免通过无资质网店或二手平台购买低价问题车。警惕“超低折扣”“非法改装车”等宣传，此类车辆可能存在安全隐患或无法上牌。</w:t>
      </w:r>
    </w:p>
    <w:p w14:paraId="79520DB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关键部件检查。可自行查看车辆基本性能是否满足要求，如转动转把时是否有车速提示音；转动车把和曲柄等部件，观察运动部件与静止部件是否有碰撞；检查带电部件是否能直接与人体接触；查看导线布线是否整齐，是否会因摩擦而破坏绝缘层；检查整车是否有明显的突出物；确认车辆蓄电池系等部位标识和警示语是否齐全；试骑时感受刹车灵敏度、转向灵活性，确保制动和操控性能良好等。</w:t>
      </w:r>
    </w:p>
    <w:p w14:paraId="7934955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勿解除限速装置、改装电池或加装大功率电机，此类行为易引发自燃、失控，且可能导致保险拒赔、法律处罚,也不要加装座位、车篷、车厢、支架等可能影响行驶安全的部件。</w:t>
      </w:r>
    </w:p>
    <w:p w14:paraId="7171B129">
      <w:pPr>
        <w:adjustRightInd w:val="0"/>
        <w:snapToGrid w:val="0"/>
        <w:spacing w:line="36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3E2686"/>
    <w:rsid w:val="019B3110"/>
    <w:rsid w:val="01F64D0F"/>
    <w:rsid w:val="021603B2"/>
    <w:rsid w:val="040A4AA1"/>
    <w:rsid w:val="05E50846"/>
    <w:rsid w:val="075D1A4D"/>
    <w:rsid w:val="0869448C"/>
    <w:rsid w:val="0C580AA0"/>
    <w:rsid w:val="0D465BE4"/>
    <w:rsid w:val="0D834329"/>
    <w:rsid w:val="0F694D72"/>
    <w:rsid w:val="1032477F"/>
    <w:rsid w:val="12B97DBE"/>
    <w:rsid w:val="13023513"/>
    <w:rsid w:val="13655850"/>
    <w:rsid w:val="139D612C"/>
    <w:rsid w:val="14261483"/>
    <w:rsid w:val="146B158C"/>
    <w:rsid w:val="15325C06"/>
    <w:rsid w:val="16773153"/>
    <w:rsid w:val="16FC64CC"/>
    <w:rsid w:val="17957055"/>
    <w:rsid w:val="183D0B4A"/>
    <w:rsid w:val="197C1B46"/>
    <w:rsid w:val="1B083691"/>
    <w:rsid w:val="1BD94E2F"/>
    <w:rsid w:val="1C3E7845"/>
    <w:rsid w:val="1E49054B"/>
    <w:rsid w:val="1EF87EC0"/>
    <w:rsid w:val="255E0351"/>
    <w:rsid w:val="269009DE"/>
    <w:rsid w:val="26B91CE3"/>
    <w:rsid w:val="29B0748C"/>
    <w:rsid w:val="2A7C3754"/>
    <w:rsid w:val="2A9C3DF6"/>
    <w:rsid w:val="2C4B2A08"/>
    <w:rsid w:val="2C8573E5"/>
    <w:rsid w:val="2CD71115"/>
    <w:rsid w:val="2D99286E"/>
    <w:rsid w:val="30156EFC"/>
    <w:rsid w:val="307F7AFA"/>
    <w:rsid w:val="34F367C5"/>
    <w:rsid w:val="351153E0"/>
    <w:rsid w:val="358D4A67"/>
    <w:rsid w:val="37CE746E"/>
    <w:rsid w:val="3870241E"/>
    <w:rsid w:val="3B4167A1"/>
    <w:rsid w:val="3D87339C"/>
    <w:rsid w:val="3E8E35FE"/>
    <w:rsid w:val="42CE08A9"/>
    <w:rsid w:val="48C26CC5"/>
    <w:rsid w:val="48D83DF3"/>
    <w:rsid w:val="492E6109"/>
    <w:rsid w:val="4CC34DBA"/>
    <w:rsid w:val="4EB64BD7"/>
    <w:rsid w:val="4F7C7BCE"/>
    <w:rsid w:val="5281374D"/>
    <w:rsid w:val="53D17DBD"/>
    <w:rsid w:val="53F65A75"/>
    <w:rsid w:val="564E3440"/>
    <w:rsid w:val="56C105BC"/>
    <w:rsid w:val="57E75E01"/>
    <w:rsid w:val="589917F1"/>
    <w:rsid w:val="5A20384C"/>
    <w:rsid w:val="5A70032F"/>
    <w:rsid w:val="5B5C018E"/>
    <w:rsid w:val="5B5C6B06"/>
    <w:rsid w:val="5DD706C5"/>
    <w:rsid w:val="5E541D16"/>
    <w:rsid w:val="5E567766"/>
    <w:rsid w:val="611B6B1B"/>
    <w:rsid w:val="6200643D"/>
    <w:rsid w:val="647629E6"/>
    <w:rsid w:val="678A67A9"/>
    <w:rsid w:val="68356714"/>
    <w:rsid w:val="6BE50451"/>
    <w:rsid w:val="6E58315D"/>
    <w:rsid w:val="6E625D89"/>
    <w:rsid w:val="6F0155A2"/>
    <w:rsid w:val="6F3D03A5"/>
    <w:rsid w:val="6FEF189F"/>
    <w:rsid w:val="70E92792"/>
    <w:rsid w:val="71091B31"/>
    <w:rsid w:val="71AD50A1"/>
    <w:rsid w:val="71FE226D"/>
    <w:rsid w:val="72563E57"/>
    <w:rsid w:val="72987FCC"/>
    <w:rsid w:val="75D752AF"/>
    <w:rsid w:val="75DD3A84"/>
    <w:rsid w:val="76AE4262"/>
    <w:rsid w:val="773F310C"/>
    <w:rsid w:val="7761738C"/>
    <w:rsid w:val="79F144F9"/>
    <w:rsid w:val="7D592A4D"/>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sz w:val="21"/>
    </w:rPr>
  </w:style>
  <w:style w:type="paragraph" w:styleId="4">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5">
    <w:name w:val="Body Text Indent"/>
    <w:basedOn w:val="1"/>
    <w:next w:val="6"/>
    <w:unhideWhenUsed/>
    <w:qFormat/>
    <w:uiPriority w:val="0"/>
    <w:pPr>
      <w:spacing w:after="120"/>
      <w:ind w:left="420" w:leftChars="200"/>
    </w:pPr>
  </w:style>
  <w:style w:type="paragraph" w:styleId="6">
    <w:name w:val="envelope return"/>
    <w:basedOn w:val="1"/>
    <w:qFormat/>
    <w:uiPriority w:val="0"/>
    <w:rPr>
      <w:rFonts w:ascii="Arial" w:hAnsi="Arial"/>
    </w:rPr>
  </w:style>
  <w:style w:type="paragraph" w:styleId="7">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nhideWhenUsed/>
    <w:qFormat/>
    <w:uiPriority w:val="99"/>
    <w:pPr>
      <w:spacing w:after="120"/>
      <w:ind w:left="420" w:leftChars="200"/>
    </w:pPr>
    <w:rPr>
      <w:sz w:val="16"/>
      <w:szCs w:val="16"/>
    </w:rPr>
  </w:style>
  <w:style w:type="paragraph" w:styleId="1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unhideWhenUsed/>
    <w:qFormat/>
    <w:uiPriority w:val="99"/>
    <w:rPr>
      <w:sz w:val="24"/>
    </w:rPr>
  </w:style>
  <w:style w:type="paragraph" w:customStyle="1" w:styleId="16">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7">
    <w:name w:val="正文 + (西文) Times New Roman"/>
    <w:basedOn w:val="13"/>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18">
    <w:name w:val="List Paragraph"/>
    <w:basedOn w:val="1"/>
    <w:qFormat/>
    <w:uiPriority w:val="34"/>
    <w:pPr>
      <w:ind w:firstLine="420" w:firstLineChars="200"/>
    </w:pPr>
  </w:style>
  <w:style w:type="paragraph" w:customStyle="1" w:styleId="19">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1150</Words>
  <Characters>1312</Characters>
  <Lines>0</Lines>
  <Paragraphs>0</Paragraphs>
  <TotalTime>11</TotalTime>
  <ScaleCrop>false</ScaleCrop>
  <LinksUpToDate>false</LinksUpToDate>
  <CharactersWithSpaces>1313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盛</cp:lastModifiedBy>
  <dcterms:modified xsi:type="dcterms:W3CDTF">2025-12-30T07:39:27Z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eyJoZGlkIjoiYTg0ZjMwMmMxZTZhNjI1OTQ2NjM1ZGU0MzU4NTgxZmYiLCJ1c2VySWQiOiIyNzU2NDE1MDYifQ==</vt:lpwstr>
  </property>
</Properties>
</file>