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AD0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000000"/>
          <w:kern w:val="2"/>
          <w:sz w:val="44"/>
          <w:szCs w:val="44"/>
          <w:lang w:val="en-US" w:eastAsia="zh-CN"/>
        </w:rPr>
      </w:pPr>
      <w:r>
        <w:rPr>
          <w:rFonts w:hint="eastAsia" w:ascii="Times New Roman" w:hAnsi="Times New Roman" w:eastAsia="方正小标宋简体" w:cs="Times New Roman"/>
          <w:color w:val="000000"/>
          <w:kern w:val="2"/>
          <w:sz w:val="44"/>
          <w:szCs w:val="44"/>
          <w:lang w:val="en-US" w:eastAsia="zh-CN"/>
        </w:rPr>
        <w:t>202</w:t>
      </w:r>
      <w:r>
        <w:rPr>
          <w:rFonts w:hint="eastAsia" w:ascii="Times New Roman" w:eastAsia="方正小标宋简体" w:cs="Times New Roman"/>
          <w:color w:val="000000"/>
          <w:kern w:val="2"/>
          <w:sz w:val="44"/>
          <w:szCs w:val="44"/>
          <w:lang w:val="en-US" w:eastAsia="zh-CN"/>
        </w:rPr>
        <w:t>5</w:t>
      </w:r>
      <w:r>
        <w:rPr>
          <w:rFonts w:hint="eastAsia" w:ascii="Times New Roman" w:hAnsi="Times New Roman" w:eastAsia="方正小标宋简体" w:cs="Times New Roman"/>
          <w:color w:val="000000"/>
          <w:kern w:val="2"/>
          <w:sz w:val="44"/>
          <w:szCs w:val="44"/>
          <w:lang w:val="en-US" w:eastAsia="zh-CN"/>
        </w:rPr>
        <w:t>年新北区</w:t>
      </w:r>
      <w:r>
        <w:rPr>
          <w:rFonts w:hint="eastAsia" w:ascii="Times New Roman" w:eastAsia="方正小标宋简体" w:cs="Times New Roman"/>
          <w:color w:val="000000"/>
          <w:kern w:val="2"/>
          <w:sz w:val="44"/>
          <w:szCs w:val="44"/>
          <w:lang w:val="en-US" w:eastAsia="zh-CN"/>
        </w:rPr>
        <w:t>电动自行车用电池</w:t>
      </w:r>
      <w:r>
        <w:rPr>
          <w:rFonts w:hint="eastAsia" w:ascii="Times New Roman" w:hAnsi="Times New Roman" w:eastAsia="方正小标宋简体" w:cs="Times New Roman"/>
          <w:color w:val="000000"/>
          <w:kern w:val="2"/>
          <w:sz w:val="44"/>
          <w:szCs w:val="44"/>
          <w:lang w:val="en-US" w:eastAsia="zh-CN"/>
        </w:rPr>
        <w:t>产品质量</w:t>
      </w:r>
    </w:p>
    <w:p w14:paraId="1FBB5B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2"/>
          <w:sz w:val="32"/>
          <w:szCs w:val="32"/>
          <w:lang w:val="en-US" w:bidi="ar-SA"/>
        </w:rPr>
      </w:pPr>
      <w:r>
        <w:rPr>
          <w:rFonts w:hint="eastAsia" w:ascii="Times New Roman" w:hAnsi="Times New Roman" w:eastAsia="方正小标宋简体" w:cs="Times New Roman"/>
          <w:color w:val="000000"/>
          <w:kern w:val="2"/>
          <w:sz w:val="44"/>
          <w:szCs w:val="44"/>
          <w:lang w:val="en-US" w:eastAsia="zh-CN"/>
        </w:rPr>
        <w:t>监督抽查分析报告</w:t>
      </w:r>
    </w:p>
    <w:p w14:paraId="6975866B">
      <w:pPr>
        <w:pStyle w:val="12"/>
        <w:keepNext w:val="0"/>
        <w:keepLines w:val="0"/>
        <w:pageBreakBefore w:val="0"/>
        <w:widowControl w:val="0"/>
        <w:kinsoku/>
        <w:wordWrap/>
        <w:overflowPunct/>
        <w:topLinePunct w:val="0"/>
        <w:autoSpaceDE/>
        <w:autoSpaceDN/>
        <w:bidi w:val="0"/>
        <w:adjustRightInd/>
        <w:snapToGrid w:val="0"/>
        <w:spacing w:before="313" w:beforeLines="100" w:after="0" w:line="560" w:lineRule="exact"/>
        <w:ind w:left="0" w:leftChars="0" w:firstLine="0" w:firstLineChars="0"/>
        <w:textAlignment w:val="auto"/>
        <w:rPr>
          <w:rFonts w:hint="eastAsia" w:ascii="黑体" w:hAnsi="黑体" w:eastAsia="黑体" w:cs="黑体"/>
          <w:b w:val="0"/>
          <w:bCs w:val="0"/>
          <w:sz w:val="32"/>
          <w:szCs w:val="32"/>
          <w:lang w:val="en-US" w:eastAsia="zh-CN" w:bidi="ar-SA"/>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lang w:val="en-US" w:eastAsia="zh-CN" w:bidi="ar-SA"/>
        </w:rPr>
        <w:t>总体情况</w:t>
      </w:r>
    </w:p>
    <w:p w14:paraId="7FD88D3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2025年常州国家高新技术产业开发区（新北区）市场监督管理局</w:t>
      </w:r>
      <w:bookmarkStart w:id="6" w:name="_GoBack"/>
      <w:bookmarkEnd w:id="6"/>
      <w:r>
        <w:rPr>
          <w:rFonts w:hint="eastAsia" w:ascii="仿宋" w:hAnsi="仿宋" w:eastAsia="仿宋" w:cs="仿宋"/>
          <w:sz w:val="32"/>
          <w:szCs w:val="32"/>
          <w:lang w:val="en-US" w:eastAsia="zh-CN" w:bidi="ar-SA"/>
        </w:rPr>
        <w:t>委托斯坦德检测集团股份有限公司对电动自行车用电池开展定期监督抽查。</w:t>
      </w:r>
      <w:r>
        <w:rPr>
          <w:rFonts w:hint="eastAsia" w:ascii="仿宋_GB2312" w:hAnsi="宋体" w:eastAsia="仿宋_GB2312"/>
          <w:sz w:val="32"/>
          <w:szCs w:val="32"/>
        </w:rPr>
        <w:t>本次监督抽查对象为销售</w:t>
      </w:r>
      <w:r>
        <w:rPr>
          <w:rFonts w:hint="eastAsia" w:ascii="仿宋_GB2312" w:hAnsi="宋体" w:eastAsia="仿宋_GB2312"/>
          <w:sz w:val="32"/>
          <w:szCs w:val="32"/>
          <w:lang w:eastAsia="zh-CN"/>
        </w:rPr>
        <w:t>电动自行车用电池</w:t>
      </w:r>
      <w:r>
        <w:rPr>
          <w:rFonts w:hint="eastAsia" w:ascii="仿宋_GB2312" w:hAnsi="宋体" w:eastAsia="仿宋_GB2312"/>
          <w:sz w:val="32"/>
          <w:szCs w:val="32"/>
          <w:lang w:val="en-US" w:eastAsia="zh-CN"/>
        </w:rPr>
        <w:t>的</w:t>
      </w:r>
      <w:r>
        <w:rPr>
          <w:rFonts w:hint="eastAsia" w:ascii="仿宋_GB2312" w:hAnsi="宋体" w:eastAsia="仿宋_GB2312"/>
          <w:sz w:val="32"/>
          <w:szCs w:val="32"/>
        </w:rPr>
        <w:t>实体店，检测依据为</w:t>
      </w:r>
      <w:r>
        <w:rPr>
          <w:rFonts w:hint="eastAsia" w:ascii="仿宋_GB2312" w:hAnsi="宋体" w:eastAsia="仿宋_GB2312"/>
          <w:sz w:val="32"/>
          <w:szCs w:val="32"/>
          <w:lang w:eastAsia="zh-CN"/>
        </w:rPr>
        <w:t>：</w:t>
      </w:r>
      <w:r>
        <w:rPr>
          <w:rFonts w:hint="eastAsia" w:ascii="Times New Roman" w:hAnsi="Times New Roman" w:eastAsia="仿宋" w:cs="Times New Roman"/>
          <w:sz w:val="32"/>
          <w:szCs w:val="32"/>
          <w:lang w:eastAsia="zh-CN"/>
        </w:rPr>
        <w:t>T/ZJXDC</w:t>
      </w:r>
      <w:r>
        <w:rPr>
          <w:rFonts w:hint="eastAsia"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eastAsia="zh-CN"/>
        </w:rPr>
        <w:t>001-2021《电动自行车用阀控式铅酸蓄电池》</w:t>
      </w:r>
      <w:r>
        <w:rPr>
          <w:rFonts w:hint="eastAsia" w:ascii="Times New Roman" w:hAnsi="Times New Roman" w:eastAsia="仿宋" w:cs="Times New Roman"/>
          <w:sz w:val="32"/>
          <w:szCs w:val="32"/>
          <w:lang w:val="en-US" w:eastAsia="zh-CN"/>
        </w:rPr>
        <w:t>、GB/T 22199.1-2017《电动助力车用阀控式铅酸蓄电池 第1部分：技术条件》</w:t>
      </w:r>
      <w:r>
        <w:rPr>
          <w:rFonts w:hint="eastAsia" w:ascii="仿宋_GB2312" w:hAnsi="宋体" w:eastAsia="仿宋_GB2312"/>
          <w:sz w:val="32"/>
          <w:szCs w:val="32"/>
        </w:rPr>
        <w:t>标准。本次共抽检</w:t>
      </w:r>
      <w:r>
        <w:rPr>
          <w:rFonts w:hint="eastAsia" w:ascii="仿宋_GB2312" w:hAnsi="宋体" w:eastAsia="仿宋_GB2312"/>
          <w:sz w:val="32"/>
          <w:szCs w:val="32"/>
          <w:lang w:val="en-US" w:eastAsia="zh-CN"/>
        </w:rPr>
        <w:t>5</w:t>
      </w:r>
      <w:r>
        <w:rPr>
          <w:rFonts w:hint="eastAsia" w:ascii="仿宋_GB2312" w:hAnsi="宋体" w:eastAsia="仿宋_GB2312"/>
          <w:sz w:val="32"/>
          <w:szCs w:val="32"/>
        </w:rPr>
        <w:t>批次，涉及天能电池</w:t>
      </w:r>
      <w:r>
        <w:rPr>
          <w:rFonts w:hint="eastAsia" w:ascii="仿宋_GB2312" w:hAnsi="宋体" w:eastAsia="仿宋_GB2312"/>
          <w:sz w:val="32"/>
          <w:szCs w:val="32"/>
          <w:lang w:eastAsia="zh-CN"/>
        </w:rPr>
        <w:t>、汇源</w:t>
      </w:r>
      <w:r>
        <w:rPr>
          <w:rFonts w:hint="eastAsia" w:ascii="仿宋_GB2312" w:hAnsi="宋体" w:eastAsia="仿宋_GB2312"/>
          <w:sz w:val="32"/>
          <w:szCs w:val="32"/>
        </w:rPr>
        <w:t>等多个品牌，合格</w:t>
      </w:r>
      <w:r>
        <w:rPr>
          <w:rFonts w:hint="eastAsia" w:ascii="仿宋_GB2312" w:hAnsi="宋体" w:eastAsia="仿宋_GB2312"/>
          <w:sz w:val="32"/>
          <w:szCs w:val="32"/>
          <w:lang w:val="en-US" w:eastAsia="zh-CN"/>
        </w:rPr>
        <w:t>5</w:t>
      </w:r>
      <w:r>
        <w:rPr>
          <w:rFonts w:hint="eastAsia" w:ascii="仿宋_GB2312" w:hAnsi="宋体" w:eastAsia="仿宋_GB2312"/>
          <w:sz w:val="32"/>
          <w:szCs w:val="32"/>
        </w:rPr>
        <w:t>批次，</w:t>
      </w:r>
      <w:r>
        <w:rPr>
          <w:rFonts w:hint="eastAsia" w:ascii="仿宋_GB2312" w:hAnsi="宋体" w:eastAsia="仿宋_GB2312"/>
          <w:sz w:val="32"/>
          <w:szCs w:val="32"/>
          <w:lang w:val="en-US" w:eastAsia="zh-CN"/>
        </w:rPr>
        <w:t>未发现</w:t>
      </w:r>
      <w:r>
        <w:rPr>
          <w:rFonts w:hint="eastAsia" w:ascii="仿宋_GB2312" w:hAnsi="宋体" w:eastAsia="仿宋_GB2312"/>
          <w:sz w:val="32"/>
          <w:szCs w:val="32"/>
        </w:rPr>
        <w:t>不合格</w:t>
      </w:r>
      <w:r>
        <w:rPr>
          <w:rFonts w:hint="eastAsia" w:ascii="仿宋_GB2312" w:hAnsi="宋体" w:eastAsia="仿宋_GB2312"/>
          <w:sz w:val="32"/>
          <w:szCs w:val="32"/>
          <w:lang w:val="en-US" w:eastAsia="zh-CN"/>
        </w:rPr>
        <w:t>产品</w:t>
      </w:r>
      <w:r>
        <w:rPr>
          <w:rFonts w:eastAsia="仿宋"/>
          <w:sz w:val="32"/>
          <w:szCs w:val="32"/>
        </w:rPr>
        <w:t>，不合格发现率</w:t>
      </w:r>
      <w:r>
        <w:rPr>
          <w:rFonts w:hint="eastAsia" w:eastAsia="仿宋"/>
          <w:sz w:val="32"/>
          <w:szCs w:val="32"/>
          <w:lang w:val="en-US" w:eastAsia="zh-CN"/>
        </w:rPr>
        <w:t>0</w:t>
      </w:r>
      <w:r>
        <w:rPr>
          <w:rFonts w:eastAsia="仿宋"/>
          <w:sz w:val="32"/>
          <w:szCs w:val="32"/>
        </w:rPr>
        <w:t>%</w:t>
      </w:r>
      <w:r>
        <w:rPr>
          <w:rFonts w:hint="eastAsia" w:ascii="仿宋_GB2312" w:hAnsi="宋体" w:eastAsia="仿宋_GB2312"/>
          <w:sz w:val="32"/>
          <w:szCs w:val="32"/>
        </w:rPr>
        <w:t>。</w:t>
      </w:r>
    </w:p>
    <w:p w14:paraId="22C246D3">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Times New Roman"/>
          <w:sz w:val="32"/>
          <w:szCs w:val="32"/>
        </w:rPr>
        <w:t>综合分析</w:t>
      </w:r>
    </w:p>
    <w:p w14:paraId="3AEAA9ED">
      <w:pPr>
        <w:pStyle w:val="2"/>
        <w:pageBreakBefore w:val="0"/>
        <w:widowControl w:val="0"/>
        <w:kinsoku/>
        <w:wordWrap/>
        <w:overflowPunct/>
        <w:topLinePunct w:val="0"/>
        <w:autoSpaceDE w:val="0"/>
        <w:autoSpaceDN w:val="0"/>
        <w:bidi w:val="0"/>
        <w:adjustRightInd/>
        <w:snapToGrid/>
        <w:spacing w:before="0" w:after="0" w:line="560" w:lineRule="exact"/>
        <w:textAlignment w:val="auto"/>
        <w:rPr>
          <w:rFonts w:hint="eastAsia" w:ascii="楷体_GB2312" w:hAnsi="宋体" w:eastAsia="楷体_GB2312" w:cs="宋体"/>
          <w:b w:val="0"/>
          <w:bCs w:val="0"/>
          <w:sz w:val="32"/>
          <w:szCs w:val="32"/>
        </w:rPr>
      </w:pPr>
      <w:bookmarkStart w:id="0" w:name="_Toc4192"/>
      <w:r>
        <w:rPr>
          <w:rFonts w:hint="eastAsia" w:ascii="楷体_GB2312" w:hAnsi="宋体" w:eastAsia="楷体_GB2312" w:cs="宋体"/>
          <w:b w:val="0"/>
          <w:bCs w:val="0"/>
          <w:sz w:val="32"/>
          <w:szCs w:val="32"/>
        </w:rPr>
        <w:t>（</w:t>
      </w:r>
      <w:r>
        <w:rPr>
          <w:rFonts w:hint="eastAsia" w:ascii="楷体_GB2312" w:hAnsi="宋体" w:eastAsia="楷体_GB2312" w:cs="宋体"/>
          <w:b w:val="0"/>
          <w:bCs w:val="0"/>
          <w:sz w:val="32"/>
          <w:szCs w:val="32"/>
          <w:lang w:val="en-US" w:eastAsia="zh-CN"/>
        </w:rPr>
        <w:t>一</w:t>
      </w:r>
      <w:r>
        <w:rPr>
          <w:rFonts w:hint="eastAsia" w:ascii="楷体_GB2312" w:hAnsi="宋体" w:eastAsia="楷体_GB2312" w:cs="宋体"/>
          <w:b w:val="0"/>
          <w:bCs w:val="0"/>
          <w:sz w:val="32"/>
          <w:szCs w:val="32"/>
        </w:rPr>
        <w:t>）产品质量抽查结果分析</w:t>
      </w:r>
      <w:bookmarkEnd w:id="0"/>
    </w:p>
    <w:p w14:paraId="4E6083C0">
      <w:pPr>
        <w:pageBreakBefore w:val="0"/>
        <w:widowControl w:val="0"/>
        <w:kinsoku/>
        <w:wordWrap/>
        <w:overflowPunct/>
        <w:topLinePunct w:val="0"/>
        <w:autoSpaceDE w:val="0"/>
        <w:autoSpaceDN w:val="0"/>
        <w:bidi w:val="0"/>
        <w:adjustRightInd/>
        <w:snapToGrid/>
        <w:spacing w:line="560" w:lineRule="exact"/>
        <w:ind w:firstLine="552" w:firstLineChars="177"/>
        <w:textAlignment w:val="auto"/>
        <w:rPr>
          <w:rFonts w:hint="eastAsia" w:ascii="仿宋_GB2312" w:hAnsi="宋体" w:eastAsia="仿宋_GB2312"/>
          <w:spacing w:val="-4"/>
          <w:sz w:val="32"/>
          <w:szCs w:val="32"/>
        </w:rPr>
      </w:pPr>
      <w:r>
        <w:rPr>
          <w:rFonts w:hint="eastAsia" w:ascii="仿宋_GB2312" w:hAnsi="宋体" w:eastAsia="仿宋_GB2312"/>
          <w:spacing w:val="-4"/>
          <w:sz w:val="32"/>
          <w:szCs w:val="32"/>
        </w:rPr>
        <w:t>产品检验标准为</w:t>
      </w:r>
      <w:r>
        <w:rPr>
          <w:rFonts w:hint="eastAsia" w:ascii="Times New Roman" w:hAnsi="Times New Roman" w:eastAsia="仿宋" w:cs="Times New Roman"/>
          <w:sz w:val="32"/>
          <w:szCs w:val="32"/>
          <w:lang w:eastAsia="zh-CN"/>
        </w:rPr>
        <w:t>T/ZJXDC</w:t>
      </w:r>
      <w:r>
        <w:rPr>
          <w:rFonts w:hint="eastAsia"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eastAsia="zh-CN"/>
        </w:rPr>
        <w:t>001-2021《电动自行车用阀控式铅酸蓄电池》</w:t>
      </w:r>
      <w:r>
        <w:rPr>
          <w:rFonts w:hint="eastAsia" w:ascii="Times New Roman" w:hAnsi="Times New Roman" w:eastAsia="仿宋" w:cs="Times New Roman"/>
          <w:sz w:val="32"/>
          <w:szCs w:val="32"/>
          <w:lang w:val="en-US" w:eastAsia="zh-CN"/>
        </w:rPr>
        <w:t>、GB/T 22199.1-2017《电动助力车用阀控式铅酸蓄电池 第1部分：技术条件》</w:t>
      </w:r>
      <w:r>
        <w:rPr>
          <w:rFonts w:hint="eastAsia" w:eastAsia="仿宋"/>
          <w:sz w:val="32"/>
          <w:szCs w:val="32"/>
          <w:lang w:val="en-US" w:eastAsia="zh-CN"/>
        </w:rPr>
        <w:t>标准</w:t>
      </w:r>
      <w:r>
        <w:rPr>
          <w:rFonts w:hint="eastAsia" w:ascii="仿宋_GB2312" w:hAnsi="宋体" w:eastAsia="仿宋_GB2312"/>
          <w:spacing w:val="-4"/>
          <w:sz w:val="32"/>
          <w:szCs w:val="32"/>
        </w:rPr>
        <w:t>，</w:t>
      </w:r>
      <w:r>
        <w:rPr>
          <w:rFonts w:hint="eastAsia" w:ascii="Times New Roman" w:hAnsi="Times New Roman" w:eastAsia="仿宋" w:cs="Times New Roman"/>
          <w:sz w:val="32"/>
          <w:szCs w:val="32"/>
          <w:lang w:eastAsia="zh-CN"/>
        </w:rPr>
        <w:t>经检验，</w:t>
      </w:r>
      <w:r>
        <w:rPr>
          <w:rFonts w:eastAsia="仿宋"/>
          <w:sz w:val="32"/>
          <w:szCs w:val="32"/>
        </w:rPr>
        <w:t>所抽产品</w:t>
      </w:r>
      <w:r>
        <w:rPr>
          <w:rFonts w:hint="eastAsia" w:eastAsia="仿宋"/>
          <w:sz w:val="32"/>
          <w:szCs w:val="32"/>
          <w:lang w:val="en-US" w:eastAsia="zh-CN"/>
        </w:rPr>
        <w:t>5</w:t>
      </w:r>
      <w:r>
        <w:rPr>
          <w:rFonts w:eastAsia="仿宋"/>
          <w:sz w:val="32"/>
          <w:szCs w:val="32"/>
        </w:rPr>
        <w:t>批次</w:t>
      </w:r>
      <w:r>
        <w:rPr>
          <w:rFonts w:hint="eastAsia" w:eastAsia="仿宋"/>
          <w:sz w:val="32"/>
          <w:szCs w:val="32"/>
          <w:lang w:val="en-US" w:eastAsia="zh-CN"/>
        </w:rPr>
        <w:t>全部</w:t>
      </w:r>
      <w:r>
        <w:rPr>
          <w:rFonts w:eastAsia="仿宋"/>
          <w:sz w:val="32"/>
          <w:szCs w:val="32"/>
        </w:rPr>
        <w:t>合格，</w:t>
      </w:r>
      <w:r>
        <w:rPr>
          <w:rFonts w:hint="eastAsia" w:eastAsia="仿宋"/>
          <w:sz w:val="32"/>
          <w:szCs w:val="32"/>
          <w:lang w:val="en-US" w:eastAsia="zh-CN"/>
        </w:rPr>
        <w:t>未发现</w:t>
      </w:r>
      <w:r>
        <w:rPr>
          <w:rFonts w:eastAsia="仿宋"/>
          <w:sz w:val="32"/>
          <w:szCs w:val="32"/>
        </w:rPr>
        <w:t>不合格</w:t>
      </w:r>
      <w:r>
        <w:rPr>
          <w:rFonts w:hint="eastAsia" w:eastAsia="仿宋"/>
          <w:sz w:val="32"/>
          <w:szCs w:val="32"/>
          <w:lang w:val="en-US" w:eastAsia="zh-CN"/>
        </w:rPr>
        <w:t>产品</w:t>
      </w:r>
      <w:r>
        <w:rPr>
          <w:rFonts w:hint="eastAsia" w:ascii="仿宋_GB2312" w:hAnsi="宋体" w:eastAsia="仿宋_GB2312"/>
          <w:spacing w:val="-4"/>
          <w:sz w:val="32"/>
          <w:szCs w:val="32"/>
        </w:rPr>
        <w:t>。</w:t>
      </w:r>
    </w:p>
    <w:p w14:paraId="1F3FD5B5">
      <w:pPr>
        <w:keepNext w:val="0"/>
        <w:keepLines w:val="0"/>
        <w:pageBreakBefore w:val="0"/>
        <w:widowControl w:val="0"/>
        <w:kinsoku/>
        <w:wordWrap/>
        <w:overflowPunct/>
        <w:topLinePunct w:val="0"/>
        <w:autoSpaceDE w:val="0"/>
        <w:autoSpaceDN w:val="0"/>
        <w:bidi w:val="0"/>
        <w:adjustRightInd/>
        <w:snapToGrid/>
        <w:spacing w:line="360" w:lineRule="auto"/>
        <w:ind w:firstLine="2560" w:firstLineChars="8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表</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 xml:space="preserve"> 检验项目分</w:t>
      </w:r>
      <w:r>
        <w:rPr>
          <w:rFonts w:hint="eastAsia" w:ascii="仿宋_GB2312" w:hAnsi="宋体" w:eastAsia="仿宋_GB2312" w:cs="宋体"/>
          <w:sz w:val="32"/>
          <w:szCs w:val="32"/>
          <w:lang w:val="en-US" w:eastAsia="zh-CN"/>
        </w:rPr>
        <w:t>析</w:t>
      </w:r>
      <w:r>
        <w:rPr>
          <w:rFonts w:hint="eastAsia" w:ascii="仿宋_GB2312" w:hAnsi="宋体" w:eastAsia="仿宋_GB2312" w:cs="宋体"/>
          <w:sz w:val="32"/>
          <w:szCs w:val="32"/>
        </w:rPr>
        <w:t>表</w:t>
      </w:r>
    </w:p>
    <w:tbl>
      <w:tblPr>
        <w:tblStyle w:val="15"/>
        <w:tblpPr w:leftFromText="180" w:rightFromText="180" w:vertAnchor="text" w:horzAnchor="margin" w:tblpXSpec="center" w:tblpY="332"/>
        <w:tblW w:w="7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2564"/>
        <w:gridCol w:w="1007"/>
        <w:gridCol w:w="950"/>
        <w:gridCol w:w="1067"/>
        <w:gridCol w:w="981"/>
      </w:tblGrid>
      <w:tr w14:paraId="0CF1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0" w:type="dxa"/>
            <w:noWrap w:val="0"/>
            <w:vAlign w:val="center"/>
          </w:tcPr>
          <w:p w14:paraId="186E0BEC">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bookmarkStart w:id="1" w:name="_Hlk78275255"/>
            <w:r>
              <w:rPr>
                <w:rFonts w:hint="eastAsia" w:ascii="仿宋_GB2312" w:hAnsi="宋体" w:eastAsia="仿宋_GB2312" w:cs="Times New Roman"/>
                <w:kern w:val="2"/>
                <w:sz w:val="28"/>
                <w:szCs w:val="28"/>
                <w:lang w:val="en-US"/>
              </w:rPr>
              <w:t>产品类别</w:t>
            </w:r>
          </w:p>
        </w:tc>
        <w:tc>
          <w:tcPr>
            <w:tcW w:w="2564" w:type="dxa"/>
            <w:noWrap w:val="0"/>
            <w:vAlign w:val="center"/>
          </w:tcPr>
          <w:p w14:paraId="04548EC7">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r>
              <w:rPr>
                <w:rFonts w:hint="eastAsia" w:ascii="仿宋_GB2312" w:hAnsi="宋体" w:eastAsia="仿宋_GB2312" w:cs="Times New Roman"/>
                <w:kern w:val="2"/>
                <w:sz w:val="28"/>
                <w:szCs w:val="28"/>
                <w:lang w:val="en-US"/>
              </w:rPr>
              <w:t>检验检测项目</w:t>
            </w:r>
          </w:p>
        </w:tc>
        <w:tc>
          <w:tcPr>
            <w:tcW w:w="1007" w:type="dxa"/>
            <w:noWrap w:val="0"/>
            <w:vAlign w:val="center"/>
          </w:tcPr>
          <w:p w14:paraId="17B3EA0A">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r>
              <w:rPr>
                <w:rFonts w:hint="eastAsia" w:ascii="仿宋_GB2312" w:hAnsi="宋体" w:eastAsia="仿宋_GB2312" w:cs="Times New Roman"/>
                <w:kern w:val="2"/>
                <w:sz w:val="28"/>
                <w:szCs w:val="28"/>
                <w:lang w:val="en-US"/>
              </w:rPr>
              <w:t>批次</w:t>
            </w:r>
          </w:p>
        </w:tc>
        <w:tc>
          <w:tcPr>
            <w:tcW w:w="950" w:type="dxa"/>
            <w:noWrap w:val="0"/>
            <w:vAlign w:val="center"/>
          </w:tcPr>
          <w:p w14:paraId="46DCE1CE">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r>
              <w:rPr>
                <w:rFonts w:hint="eastAsia" w:ascii="仿宋_GB2312" w:hAnsi="宋体" w:eastAsia="仿宋_GB2312" w:cs="Times New Roman"/>
                <w:kern w:val="2"/>
                <w:sz w:val="28"/>
                <w:szCs w:val="28"/>
                <w:lang w:val="en-US"/>
              </w:rPr>
              <w:t>合格批次</w:t>
            </w:r>
          </w:p>
        </w:tc>
        <w:tc>
          <w:tcPr>
            <w:tcW w:w="1067" w:type="dxa"/>
            <w:noWrap w:val="0"/>
            <w:vAlign w:val="center"/>
          </w:tcPr>
          <w:p w14:paraId="1532F13D">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r>
              <w:rPr>
                <w:rFonts w:hint="eastAsia" w:ascii="仿宋_GB2312" w:hAnsi="宋体" w:eastAsia="仿宋_GB2312" w:cs="Times New Roman"/>
                <w:kern w:val="2"/>
                <w:sz w:val="28"/>
                <w:szCs w:val="28"/>
                <w:lang w:val="en-US"/>
              </w:rPr>
              <w:t>不合格批次</w:t>
            </w:r>
          </w:p>
        </w:tc>
        <w:tc>
          <w:tcPr>
            <w:tcW w:w="981" w:type="dxa"/>
            <w:noWrap w:val="0"/>
            <w:vAlign w:val="center"/>
          </w:tcPr>
          <w:p w14:paraId="02A8FCA2">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r>
              <w:rPr>
                <w:rFonts w:hint="eastAsia" w:ascii="仿宋_GB2312" w:hAnsi="宋体" w:eastAsia="仿宋_GB2312" w:cs="Times New Roman"/>
                <w:kern w:val="2"/>
                <w:sz w:val="28"/>
                <w:szCs w:val="28"/>
                <w:lang w:val="en-US"/>
              </w:rPr>
              <w:t>合格率/%</w:t>
            </w:r>
          </w:p>
        </w:tc>
      </w:tr>
      <w:tr w14:paraId="18E2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0" w:type="dxa"/>
            <w:vMerge w:val="restart"/>
            <w:noWrap w:val="0"/>
            <w:vAlign w:val="center"/>
          </w:tcPr>
          <w:p w14:paraId="4E89F21C">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电动自行车用电池（T/ZJXDC001-2021）</w:t>
            </w:r>
          </w:p>
        </w:tc>
        <w:tc>
          <w:tcPr>
            <w:tcW w:w="2564" w:type="dxa"/>
            <w:noWrap w:val="0"/>
            <w:vAlign w:val="center"/>
          </w:tcPr>
          <w:p w14:paraId="34775116">
            <w:pPr>
              <w:autoSpaceDE/>
              <w:autoSpaceDN/>
              <w:adjustRightInd w:val="0"/>
              <w:snapToGrid w:val="0"/>
              <w:spacing w:line="240" w:lineRule="auto"/>
              <w:jc w:val="center"/>
              <w:rPr>
                <w:rFonts w:hint="default" w:ascii="仿宋_GB2312" w:hAnsi="宋体" w:eastAsia="仿宋_GB2312" w:cs="Times New Roman"/>
                <w:kern w:val="2"/>
                <w:sz w:val="28"/>
                <w:szCs w:val="28"/>
                <w:lang w:val="en-US"/>
              </w:rPr>
            </w:pPr>
            <w:r>
              <w:rPr>
                <w:rFonts w:hint="eastAsia" w:ascii="仿宋_GB2312" w:hAnsi="宋体" w:eastAsia="仿宋_GB2312" w:cs="Times New Roman"/>
                <w:kern w:val="2"/>
                <w:sz w:val="28"/>
                <w:szCs w:val="28"/>
                <w:lang w:val="en-US" w:eastAsia="zh-CN"/>
              </w:rPr>
              <w:t>外观</w:t>
            </w:r>
          </w:p>
        </w:tc>
        <w:tc>
          <w:tcPr>
            <w:tcW w:w="1007" w:type="dxa"/>
            <w:noWrap w:val="0"/>
            <w:vAlign w:val="center"/>
          </w:tcPr>
          <w:p w14:paraId="5D25A725">
            <w:pPr>
              <w:autoSpaceDE/>
              <w:autoSpaceDN/>
              <w:adjustRightInd w:val="0"/>
              <w:snapToGrid w:val="0"/>
              <w:spacing w:line="240" w:lineRule="auto"/>
              <w:jc w:val="center"/>
              <w:rPr>
                <w:rFonts w:hint="default"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4</w:t>
            </w:r>
          </w:p>
        </w:tc>
        <w:tc>
          <w:tcPr>
            <w:tcW w:w="950" w:type="dxa"/>
            <w:noWrap w:val="0"/>
            <w:vAlign w:val="center"/>
          </w:tcPr>
          <w:p w14:paraId="119AA7D0">
            <w:pPr>
              <w:autoSpaceDE/>
              <w:autoSpaceDN/>
              <w:adjustRightInd w:val="0"/>
              <w:snapToGrid w:val="0"/>
              <w:spacing w:line="240" w:lineRule="auto"/>
              <w:jc w:val="center"/>
              <w:rPr>
                <w:rFonts w:hint="default" w:ascii="仿宋_GB2312" w:hAnsi="宋体" w:eastAsia="仿宋_GB2312" w:cs="Times New Roman"/>
                <w:kern w:val="2"/>
                <w:sz w:val="28"/>
                <w:szCs w:val="28"/>
                <w:lang w:val="en-US"/>
              </w:rPr>
            </w:pPr>
            <w:r>
              <w:rPr>
                <w:rFonts w:hint="eastAsia" w:ascii="仿宋_GB2312" w:hAnsi="宋体" w:eastAsia="仿宋_GB2312" w:cs="Times New Roman"/>
                <w:kern w:val="2"/>
                <w:sz w:val="28"/>
                <w:szCs w:val="28"/>
                <w:lang w:val="en-US" w:eastAsia="zh-CN"/>
              </w:rPr>
              <w:t>4</w:t>
            </w:r>
          </w:p>
        </w:tc>
        <w:tc>
          <w:tcPr>
            <w:tcW w:w="1067" w:type="dxa"/>
            <w:noWrap w:val="0"/>
            <w:vAlign w:val="center"/>
          </w:tcPr>
          <w:p w14:paraId="54BC3E85">
            <w:pPr>
              <w:autoSpaceDE/>
              <w:autoSpaceDN/>
              <w:adjustRightInd w:val="0"/>
              <w:snapToGrid w:val="0"/>
              <w:spacing w:line="240" w:lineRule="auto"/>
              <w:jc w:val="center"/>
              <w:rPr>
                <w:rFonts w:hint="default"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58BDB943">
            <w:pPr>
              <w:autoSpaceDE/>
              <w:autoSpaceDN/>
              <w:adjustRightInd w:val="0"/>
              <w:snapToGrid w:val="0"/>
              <w:spacing w:line="240" w:lineRule="auto"/>
              <w:jc w:val="center"/>
              <w:rPr>
                <w:rFonts w:hint="default"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5AEE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0" w:type="dxa"/>
            <w:vMerge w:val="continue"/>
            <w:noWrap w:val="0"/>
            <w:vAlign w:val="center"/>
          </w:tcPr>
          <w:p w14:paraId="53831046">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bookmarkStart w:id="2" w:name="_bookmark11"/>
            <w:bookmarkStart w:id="3" w:name="_bookmark10"/>
          </w:p>
        </w:tc>
        <w:tc>
          <w:tcPr>
            <w:tcW w:w="2564" w:type="dxa"/>
            <w:tcBorders>
              <w:left w:val="single" w:color="auto" w:sz="4" w:space="0"/>
              <w:right w:val="single" w:color="auto" w:sz="4" w:space="0"/>
            </w:tcBorders>
            <w:noWrap w:val="0"/>
            <w:vAlign w:val="center"/>
          </w:tcPr>
          <w:p w14:paraId="1A732835">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default" w:ascii="仿宋_GB2312" w:hAnsi="宋体" w:eastAsia="仿宋_GB2312" w:cs="Times New Roman"/>
                <w:kern w:val="2"/>
                <w:sz w:val="28"/>
                <w:szCs w:val="28"/>
                <w:lang w:val="en-US" w:eastAsia="zh-CN"/>
              </w:rPr>
              <w:t>2hr容量</w:t>
            </w:r>
          </w:p>
        </w:tc>
        <w:tc>
          <w:tcPr>
            <w:tcW w:w="1007" w:type="dxa"/>
            <w:noWrap w:val="0"/>
            <w:vAlign w:val="center"/>
          </w:tcPr>
          <w:p w14:paraId="12C5DF92">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4</w:t>
            </w:r>
          </w:p>
        </w:tc>
        <w:tc>
          <w:tcPr>
            <w:tcW w:w="950" w:type="dxa"/>
            <w:noWrap w:val="0"/>
            <w:vAlign w:val="center"/>
          </w:tcPr>
          <w:p w14:paraId="48379774">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4</w:t>
            </w:r>
          </w:p>
        </w:tc>
        <w:tc>
          <w:tcPr>
            <w:tcW w:w="1067" w:type="dxa"/>
            <w:noWrap w:val="0"/>
            <w:vAlign w:val="center"/>
          </w:tcPr>
          <w:p w14:paraId="5AE23677">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4017A587">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3097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0" w:type="dxa"/>
            <w:vMerge w:val="continue"/>
            <w:noWrap w:val="0"/>
            <w:vAlign w:val="center"/>
          </w:tcPr>
          <w:p w14:paraId="27D6792F">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p>
        </w:tc>
        <w:tc>
          <w:tcPr>
            <w:tcW w:w="2564" w:type="dxa"/>
            <w:tcBorders>
              <w:left w:val="single" w:color="auto" w:sz="4" w:space="0"/>
              <w:right w:val="single" w:color="auto" w:sz="4" w:space="0"/>
            </w:tcBorders>
            <w:noWrap w:val="0"/>
            <w:vAlign w:val="center"/>
          </w:tcPr>
          <w:p w14:paraId="3E46454C">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default" w:ascii="仿宋_GB2312" w:hAnsi="宋体" w:eastAsia="仿宋_GB2312" w:cs="Times New Roman"/>
                <w:kern w:val="2"/>
                <w:sz w:val="28"/>
                <w:szCs w:val="28"/>
                <w:lang w:val="en-US" w:eastAsia="zh-CN"/>
              </w:rPr>
              <w:t>大电流放电</w:t>
            </w:r>
          </w:p>
        </w:tc>
        <w:tc>
          <w:tcPr>
            <w:tcW w:w="1007" w:type="dxa"/>
            <w:noWrap w:val="0"/>
            <w:vAlign w:val="center"/>
          </w:tcPr>
          <w:p w14:paraId="79BA0FF6">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4</w:t>
            </w:r>
          </w:p>
        </w:tc>
        <w:tc>
          <w:tcPr>
            <w:tcW w:w="950" w:type="dxa"/>
            <w:noWrap w:val="0"/>
            <w:vAlign w:val="center"/>
          </w:tcPr>
          <w:p w14:paraId="4FE3F544">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4</w:t>
            </w:r>
          </w:p>
        </w:tc>
        <w:tc>
          <w:tcPr>
            <w:tcW w:w="1067" w:type="dxa"/>
            <w:noWrap w:val="0"/>
            <w:vAlign w:val="center"/>
          </w:tcPr>
          <w:p w14:paraId="432EF08F">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02BB0C0A">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69FA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0" w:type="dxa"/>
            <w:vMerge w:val="continue"/>
            <w:noWrap w:val="0"/>
            <w:vAlign w:val="center"/>
          </w:tcPr>
          <w:p w14:paraId="0BC90C34">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p>
        </w:tc>
        <w:tc>
          <w:tcPr>
            <w:tcW w:w="2564" w:type="dxa"/>
            <w:tcBorders>
              <w:left w:val="single" w:color="auto" w:sz="4" w:space="0"/>
              <w:right w:val="single" w:color="auto" w:sz="4" w:space="0"/>
            </w:tcBorders>
            <w:noWrap w:val="0"/>
            <w:vAlign w:val="center"/>
          </w:tcPr>
          <w:p w14:paraId="4B08DD2A">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default" w:ascii="仿宋_GB2312" w:hAnsi="宋体" w:eastAsia="仿宋_GB2312" w:cs="Times New Roman"/>
                <w:kern w:val="2"/>
                <w:sz w:val="28"/>
                <w:szCs w:val="28"/>
                <w:lang w:val="en-US" w:eastAsia="zh-CN"/>
              </w:rPr>
              <w:t>重量比能量</w:t>
            </w:r>
          </w:p>
        </w:tc>
        <w:tc>
          <w:tcPr>
            <w:tcW w:w="1007" w:type="dxa"/>
            <w:noWrap w:val="0"/>
            <w:vAlign w:val="center"/>
          </w:tcPr>
          <w:p w14:paraId="0CF34371">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4</w:t>
            </w:r>
          </w:p>
        </w:tc>
        <w:tc>
          <w:tcPr>
            <w:tcW w:w="950" w:type="dxa"/>
            <w:noWrap w:val="0"/>
            <w:vAlign w:val="center"/>
          </w:tcPr>
          <w:p w14:paraId="407178BC">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4</w:t>
            </w:r>
          </w:p>
        </w:tc>
        <w:tc>
          <w:tcPr>
            <w:tcW w:w="1067" w:type="dxa"/>
            <w:noWrap w:val="0"/>
            <w:vAlign w:val="center"/>
          </w:tcPr>
          <w:p w14:paraId="76DA72A7">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4C5B9D0E">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506A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0" w:type="dxa"/>
            <w:vMerge w:val="continue"/>
            <w:noWrap w:val="0"/>
            <w:vAlign w:val="center"/>
          </w:tcPr>
          <w:p w14:paraId="0DB85ACF">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p>
        </w:tc>
        <w:tc>
          <w:tcPr>
            <w:tcW w:w="2564" w:type="dxa"/>
            <w:tcBorders>
              <w:left w:val="single" w:color="auto" w:sz="4" w:space="0"/>
              <w:right w:val="single" w:color="auto" w:sz="4" w:space="0"/>
            </w:tcBorders>
            <w:noWrap w:val="0"/>
            <w:vAlign w:val="center"/>
          </w:tcPr>
          <w:p w14:paraId="7FF8D2A3">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default" w:ascii="仿宋_GB2312" w:hAnsi="宋体" w:eastAsia="仿宋_GB2312" w:cs="Times New Roman"/>
                <w:kern w:val="2"/>
                <w:sz w:val="28"/>
                <w:szCs w:val="28"/>
                <w:lang w:val="en-US" w:eastAsia="zh-CN"/>
              </w:rPr>
              <w:t>不同温度下的容量</w:t>
            </w:r>
          </w:p>
        </w:tc>
        <w:tc>
          <w:tcPr>
            <w:tcW w:w="1007" w:type="dxa"/>
            <w:noWrap w:val="0"/>
            <w:vAlign w:val="center"/>
          </w:tcPr>
          <w:p w14:paraId="13B4BE8A">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4</w:t>
            </w:r>
          </w:p>
        </w:tc>
        <w:tc>
          <w:tcPr>
            <w:tcW w:w="950" w:type="dxa"/>
            <w:noWrap w:val="0"/>
            <w:vAlign w:val="center"/>
          </w:tcPr>
          <w:p w14:paraId="4AFFBF36">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4</w:t>
            </w:r>
          </w:p>
        </w:tc>
        <w:tc>
          <w:tcPr>
            <w:tcW w:w="1067" w:type="dxa"/>
            <w:noWrap w:val="0"/>
            <w:vAlign w:val="center"/>
          </w:tcPr>
          <w:p w14:paraId="6862CAA5">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01318030">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29B7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0" w:type="dxa"/>
            <w:vMerge w:val="continue"/>
            <w:noWrap w:val="0"/>
            <w:vAlign w:val="center"/>
          </w:tcPr>
          <w:p w14:paraId="2448BAEF">
            <w:pPr>
              <w:autoSpaceDE/>
              <w:autoSpaceDN/>
              <w:adjustRightInd w:val="0"/>
              <w:snapToGrid w:val="0"/>
              <w:spacing w:line="240" w:lineRule="auto"/>
              <w:jc w:val="center"/>
              <w:rPr>
                <w:rFonts w:hint="eastAsia" w:ascii="仿宋_GB2312" w:hAnsi="宋体" w:eastAsia="仿宋_GB2312" w:cs="Times New Roman"/>
                <w:kern w:val="2"/>
                <w:sz w:val="28"/>
                <w:szCs w:val="28"/>
                <w:lang w:val="en-US"/>
              </w:rPr>
            </w:pPr>
          </w:p>
        </w:tc>
        <w:tc>
          <w:tcPr>
            <w:tcW w:w="2564" w:type="dxa"/>
            <w:tcBorders>
              <w:left w:val="single" w:color="auto" w:sz="4" w:space="0"/>
              <w:right w:val="single" w:color="auto" w:sz="4" w:space="0"/>
            </w:tcBorders>
            <w:noWrap w:val="0"/>
            <w:vAlign w:val="center"/>
          </w:tcPr>
          <w:p w14:paraId="26E2D578">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default" w:ascii="仿宋_GB2312" w:hAnsi="宋体" w:eastAsia="仿宋_GB2312" w:cs="Times New Roman"/>
                <w:kern w:val="2"/>
                <w:sz w:val="28"/>
                <w:szCs w:val="28"/>
                <w:lang w:val="en-US" w:eastAsia="zh-CN"/>
              </w:rPr>
              <w:t>快速充电能力</w:t>
            </w:r>
          </w:p>
        </w:tc>
        <w:tc>
          <w:tcPr>
            <w:tcW w:w="1007" w:type="dxa"/>
            <w:noWrap w:val="0"/>
            <w:vAlign w:val="center"/>
          </w:tcPr>
          <w:p w14:paraId="626ED236">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4</w:t>
            </w:r>
          </w:p>
        </w:tc>
        <w:tc>
          <w:tcPr>
            <w:tcW w:w="950" w:type="dxa"/>
            <w:noWrap w:val="0"/>
            <w:vAlign w:val="center"/>
          </w:tcPr>
          <w:p w14:paraId="4CDBC717">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4</w:t>
            </w:r>
          </w:p>
        </w:tc>
        <w:tc>
          <w:tcPr>
            <w:tcW w:w="1067" w:type="dxa"/>
            <w:noWrap w:val="0"/>
            <w:vAlign w:val="center"/>
          </w:tcPr>
          <w:p w14:paraId="38E4073A">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54389B7A">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74FC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0" w:type="dxa"/>
            <w:vMerge w:val="restart"/>
            <w:noWrap w:val="0"/>
            <w:vAlign w:val="center"/>
          </w:tcPr>
          <w:p w14:paraId="69163446">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电动自行车用电池（GB/T 22199.1-2017）</w:t>
            </w:r>
          </w:p>
        </w:tc>
        <w:tc>
          <w:tcPr>
            <w:tcW w:w="2564" w:type="dxa"/>
            <w:tcBorders>
              <w:left w:val="single" w:color="auto" w:sz="4" w:space="0"/>
              <w:right w:val="single" w:color="auto" w:sz="4" w:space="0"/>
            </w:tcBorders>
            <w:noWrap w:val="0"/>
            <w:vAlign w:val="center"/>
          </w:tcPr>
          <w:p w14:paraId="0BFA21B7">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极性</w:t>
            </w:r>
          </w:p>
        </w:tc>
        <w:tc>
          <w:tcPr>
            <w:tcW w:w="1007" w:type="dxa"/>
            <w:noWrap w:val="0"/>
            <w:vAlign w:val="center"/>
          </w:tcPr>
          <w:p w14:paraId="233EB87E">
            <w:pPr>
              <w:autoSpaceDE/>
              <w:autoSpaceDN/>
              <w:adjustRightInd w:val="0"/>
              <w:snapToGrid w:val="0"/>
              <w:spacing w:line="240" w:lineRule="auto"/>
              <w:jc w:val="center"/>
              <w:rPr>
                <w:rFonts w:hint="default"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950" w:type="dxa"/>
            <w:noWrap w:val="0"/>
            <w:vAlign w:val="center"/>
          </w:tcPr>
          <w:p w14:paraId="659956A9">
            <w:pPr>
              <w:autoSpaceDE/>
              <w:autoSpaceDN/>
              <w:adjustRightInd w:val="0"/>
              <w:snapToGrid w:val="0"/>
              <w:spacing w:line="240" w:lineRule="auto"/>
              <w:jc w:val="center"/>
              <w:rPr>
                <w:rFonts w:hint="default"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1067" w:type="dxa"/>
            <w:noWrap w:val="0"/>
            <w:vAlign w:val="center"/>
          </w:tcPr>
          <w:p w14:paraId="41520689">
            <w:pPr>
              <w:autoSpaceDE/>
              <w:autoSpaceDN/>
              <w:adjustRightInd w:val="0"/>
              <w:snapToGrid w:val="0"/>
              <w:spacing w:line="240" w:lineRule="auto"/>
              <w:jc w:val="center"/>
              <w:rPr>
                <w:rFonts w:hint="default"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04B0F43A">
            <w:pPr>
              <w:autoSpaceDE/>
              <w:autoSpaceDN/>
              <w:adjustRightInd w:val="0"/>
              <w:snapToGrid w:val="0"/>
              <w:spacing w:line="240" w:lineRule="auto"/>
              <w:jc w:val="center"/>
              <w:rPr>
                <w:rFonts w:hint="default"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7D0C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0" w:type="dxa"/>
            <w:vMerge w:val="continue"/>
            <w:noWrap w:val="0"/>
            <w:vAlign w:val="center"/>
          </w:tcPr>
          <w:p w14:paraId="674F6C66">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p>
        </w:tc>
        <w:tc>
          <w:tcPr>
            <w:tcW w:w="2564" w:type="dxa"/>
            <w:tcBorders>
              <w:left w:val="single" w:color="auto" w:sz="4" w:space="0"/>
              <w:right w:val="single" w:color="auto" w:sz="4" w:space="0"/>
            </w:tcBorders>
            <w:noWrap w:val="0"/>
            <w:vAlign w:val="center"/>
          </w:tcPr>
          <w:p w14:paraId="67E7A329">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外观</w:t>
            </w:r>
          </w:p>
        </w:tc>
        <w:tc>
          <w:tcPr>
            <w:tcW w:w="1007" w:type="dxa"/>
            <w:noWrap w:val="0"/>
            <w:vAlign w:val="center"/>
          </w:tcPr>
          <w:p w14:paraId="5E5643C3">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950" w:type="dxa"/>
            <w:noWrap w:val="0"/>
            <w:vAlign w:val="center"/>
          </w:tcPr>
          <w:p w14:paraId="6F6FB3DB">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1067" w:type="dxa"/>
            <w:noWrap w:val="0"/>
            <w:vAlign w:val="center"/>
          </w:tcPr>
          <w:p w14:paraId="6C501128">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62E8368C">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23FF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0" w:type="dxa"/>
            <w:vMerge w:val="continue"/>
            <w:noWrap w:val="0"/>
            <w:vAlign w:val="center"/>
          </w:tcPr>
          <w:p w14:paraId="16B86D98">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p>
        </w:tc>
        <w:tc>
          <w:tcPr>
            <w:tcW w:w="2564" w:type="dxa"/>
            <w:tcBorders>
              <w:left w:val="single" w:color="auto" w:sz="4" w:space="0"/>
              <w:right w:val="single" w:color="auto" w:sz="4" w:space="0"/>
            </w:tcBorders>
            <w:noWrap w:val="0"/>
            <w:vAlign w:val="center"/>
          </w:tcPr>
          <w:p w14:paraId="71FF968F">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2hr容量</w:t>
            </w:r>
          </w:p>
        </w:tc>
        <w:tc>
          <w:tcPr>
            <w:tcW w:w="1007" w:type="dxa"/>
            <w:noWrap w:val="0"/>
            <w:vAlign w:val="center"/>
          </w:tcPr>
          <w:p w14:paraId="3EC7B3CD">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950" w:type="dxa"/>
            <w:noWrap w:val="0"/>
            <w:vAlign w:val="center"/>
          </w:tcPr>
          <w:p w14:paraId="62548E25">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1067" w:type="dxa"/>
            <w:noWrap w:val="0"/>
            <w:vAlign w:val="center"/>
          </w:tcPr>
          <w:p w14:paraId="290E65C4">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7F55E513">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04F2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0" w:type="dxa"/>
            <w:vMerge w:val="continue"/>
            <w:noWrap w:val="0"/>
            <w:vAlign w:val="center"/>
          </w:tcPr>
          <w:p w14:paraId="02BE99F0">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p>
        </w:tc>
        <w:tc>
          <w:tcPr>
            <w:tcW w:w="2564" w:type="dxa"/>
            <w:tcBorders>
              <w:left w:val="single" w:color="auto" w:sz="4" w:space="0"/>
              <w:right w:val="single" w:color="auto" w:sz="4" w:space="0"/>
            </w:tcBorders>
            <w:noWrap w:val="0"/>
            <w:vAlign w:val="center"/>
          </w:tcPr>
          <w:p w14:paraId="35A622A0">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大电流放电</w:t>
            </w:r>
          </w:p>
        </w:tc>
        <w:tc>
          <w:tcPr>
            <w:tcW w:w="1007" w:type="dxa"/>
            <w:noWrap w:val="0"/>
            <w:vAlign w:val="center"/>
          </w:tcPr>
          <w:p w14:paraId="3A5E9579">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950" w:type="dxa"/>
            <w:noWrap w:val="0"/>
            <w:vAlign w:val="center"/>
          </w:tcPr>
          <w:p w14:paraId="48F85BF8">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1067" w:type="dxa"/>
            <w:noWrap w:val="0"/>
            <w:vAlign w:val="center"/>
          </w:tcPr>
          <w:p w14:paraId="3AC62373">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60D1C754">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72D3C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0" w:type="dxa"/>
            <w:vMerge w:val="continue"/>
            <w:noWrap w:val="0"/>
            <w:vAlign w:val="center"/>
          </w:tcPr>
          <w:p w14:paraId="0B67B3B7">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p>
        </w:tc>
        <w:tc>
          <w:tcPr>
            <w:tcW w:w="2564" w:type="dxa"/>
            <w:tcBorders>
              <w:left w:val="single" w:color="auto" w:sz="4" w:space="0"/>
              <w:right w:val="single" w:color="auto" w:sz="4" w:space="0"/>
            </w:tcBorders>
            <w:noWrap w:val="0"/>
            <w:vAlign w:val="center"/>
          </w:tcPr>
          <w:p w14:paraId="274D9E4F">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能量密度</w:t>
            </w:r>
          </w:p>
        </w:tc>
        <w:tc>
          <w:tcPr>
            <w:tcW w:w="1007" w:type="dxa"/>
            <w:noWrap w:val="0"/>
            <w:vAlign w:val="center"/>
          </w:tcPr>
          <w:p w14:paraId="6826711F">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950" w:type="dxa"/>
            <w:noWrap w:val="0"/>
            <w:vAlign w:val="center"/>
          </w:tcPr>
          <w:p w14:paraId="4A2A3399">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1067" w:type="dxa"/>
            <w:noWrap w:val="0"/>
            <w:vAlign w:val="center"/>
          </w:tcPr>
          <w:p w14:paraId="2702D53D">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57F360EF">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174B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0" w:type="dxa"/>
            <w:vMerge w:val="continue"/>
            <w:noWrap w:val="0"/>
            <w:vAlign w:val="center"/>
          </w:tcPr>
          <w:p w14:paraId="0AEB17AE">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p>
        </w:tc>
        <w:tc>
          <w:tcPr>
            <w:tcW w:w="2564" w:type="dxa"/>
            <w:tcBorders>
              <w:left w:val="single" w:color="auto" w:sz="4" w:space="0"/>
              <w:right w:val="single" w:color="auto" w:sz="4" w:space="0"/>
            </w:tcBorders>
            <w:noWrap w:val="0"/>
            <w:vAlign w:val="center"/>
          </w:tcPr>
          <w:p w14:paraId="4894A9A0">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低温容量</w:t>
            </w:r>
          </w:p>
        </w:tc>
        <w:tc>
          <w:tcPr>
            <w:tcW w:w="1007" w:type="dxa"/>
            <w:noWrap w:val="0"/>
            <w:vAlign w:val="center"/>
          </w:tcPr>
          <w:p w14:paraId="29086BB6">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950" w:type="dxa"/>
            <w:noWrap w:val="0"/>
            <w:vAlign w:val="center"/>
          </w:tcPr>
          <w:p w14:paraId="38AF8BB3">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1067" w:type="dxa"/>
            <w:noWrap w:val="0"/>
            <w:vAlign w:val="center"/>
          </w:tcPr>
          <w:p w14:paraId="5B957411">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4571D360">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tr w14:paraId="7D7A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0" w:type="dxa"/>
            <w:vMerge w:val="continue"/>
            <w:noWrap w:val="0"/>
            <w:vAlign w:val="center"/>
          </w:tcPr>
          <w:p w14:paraId="6B40012C">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p>
        </w:tc>
        <w:tc>
          <w:tcPr>
            <w:tcW w:w="2564" w:type="dxa"/>
            <w:tcBorders>
              <w:left w:val="single" w:color="auto" w:sz="4" w:space="0"/>
              <w:right w:val="single" w:color="auto" w:sz="4" w:space="0"/>
            </w:tcBorders>
            <w:noWrap w:val="0"/>
            <w:vAlign w:val="center"/>
          </w:tcPr>
          <w:p w14:paraId="660A9400">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快速充电能力</w:t>
            </w:r>
          </w:p>
        </w:tc>
        <w:tc>
          <w:tcPr>
            <w:tcW w:w="1007" w:type="dxa"/>
            <w:noWrap w:val="0"/>
            <w:vAlign w:val="center"/>
          </w:tcPr>
          <w:p w14:paraId="27F5C9E2">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950" w:type="dxa"/>
            <w:noWrap w:val="0"/>
            <w:vAlign w:val="center"/>
          </w:tcPr>
          <w:p w14:paraId="209D54C7">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w:t>
            </w:r>
          </w:p>
        </w:tc>
        <w:tc>
          <w:tcPr>
            <w:tcW w:w="1067" w:type="dxa"/>
            <w:noWrap w:val="0"/>
            <w:vAlign w:val="center"/>
          </w:tcPr>
          <w:p w14:paraId="77121D1C">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0</w:t>
            </w:r>
          </w:p>
        </w:tc>
        <w:tc>
          <w:tcPr>
            <w:tcW w:w="981" w:type="dxa"/>
            <w:noWrap w:val="0"/>
            <w:vAlign w:val="center"/>
          </w:tcPr>
          <w:p w14:paraId="579AE0D8">
            <w:pPr>
              <w:autoSpaceDE/>
              <w:autoSpaceDN/>
              <w:adjustRightInd w:val="0"/>
              <w:snapToGrid w:val="0"/>
              <w:spacing w:line="240" w:lineRule="auto"/>
              <w:jc w:val="center"/>
              <w:rPr>
                <w:rFonts w:hint="eastAsia" w:ascii="仿宋_GB2312" w:hAnsi="宋体" w:eastAsia="仿宋_GB2312" w:cs="Times New Roman"/>
                <w:kern w:val="2"/>
                <w:sz w:val="28"/>
                <w:szCs w:val="28"/>
                <w:lang w:val="en-US" w:eastAsia="zh-CN"/>
              </w:rPr>
            </w:pPr>
            <w:r>
              <w:rPr>
                <w:rFonts w:hint="eastAsia" w:ascii="仿宋_GB2312" w:hAnsi="宋体" w:eastAsia="仿宋_GB2312" w:cs="Times New Roman"/>
                <w:kern w:val="2"/>
                <w:sz w:val="28"/>
                <w:szCs w:val="28"/>
                <w:lang w:val="en-US" w:eastAsia="zh-CN"/>
              </w:rPr>
              <w:t>100.0</w:t>
            </w:r>
          </w:p>
        </w:tc>
      </w:tr>
      <w:bookmarkEnd w:id="1"/>
      <w:bookmarkEnd w:id="2"/>
      <w:bookmarkEnd w:id="3"/>
    </w:tbl>
    <w:p w14:paraId="5D8B340E">
      <w:pPr>
        <w:keepNext w:val="0"/>
        <w:keepLines w:val="0"/>
        <w:pageBreakBefore w:val="0"/>
        <w:kinsoku/>
        <w:wordWrap/>
        <w:overflowPunct/>
        <w:topLinePunct w:val="0"/>
        <w:bidi w:val="0"/>
        <w:spacing w:line="560" w:lineRule="exact"/>
        <w:textAlignment w:val="auto"/>
        <w:outlineLvl w:val="1"/>
        <w:rPr>
          <w:rFonts w:hint="default" w:ascii="楷体_GB2312" w:hAnsi="宋体" w:eastAsia="楷体_GB2312"/>
          <w:b w:val="0"/>
          <w:bCs w:val="0"/>
          <w:color w:val="FF0000"/>
          <w:sz w:val="32"/>
          <w:szCs w:val="32"/>
          <w:lang w:val="en-US" w:eastAsia="zh-CN"/>
        </w:rPr>
      </w:pPr>
      <w:bookmarkStart w:id="4" w:name="_Toc22569"/>
      <w:r>
        <w:rPr>
          <w:rFonts w:hint="eastAsia" w:ascii="楷体_GB2312" w:hAnsi="宋体" w:eastAsia="楷体_GB2312"/>
          <w:b w:val="0"/>
          <w:bCs w:val="0"/>
          <w:sz w:val="32"/>
          <w:szCs w:val="32"/>
        </w:rPr>
        <w:t>（</w:t>
      </w:r>
      <w:r>
        <w:rPr>
          <w:rFonts w:hint="eastAsia" w:ascii="楷体_GB2312" w:hAnsi="宋体" w:eastAsia="楷体_GB2312"/>
          <w:b w:val="0"/>
          <w:bCs w:val="0"/>
          <w:sz w:val="32"/>
          <w:szCs w:val="32"/>
          <w:lang w:val="en-US" w:eastAsia="zh-CN"/>
        </w:rPr>
        <w:t>二</w:t>
      </w:r>
      <w:r>
        <w:rPr>
          <w:rFonts w:hint="eastAsia" w:ascii="楷体_GB2312" w:hAnsi="宋体" w:eastAsia="楷体_GB2312"/>
          <w:b w:val="0"/>
          <w:bCs w:val="0"/>
          <w:sz w:val="32"/>
          <w:szCs w:val="32"/>
        </w:rPr>
        <w:t>）</w:t>
      </w:r>
      <w:r>
        <w:rPr>
          <w:rFonts w:hint="eastAsia" w:ascii="楷体_GB2312" w:hAnsi="宋体" w:eastAsia="楷体_GB2312"/>
          <w:b w:val="0"/>
          <w:bCs w:val="0"/>
          <w:sz w:val="32"/>
          <w:szCs w:val="32"/>
          <w:lang w:val="en-US" w:eastAsia="zh-CN"/>
        </w:rPr>
        <w:t>重点检测项目分析</w:t>
      </w:r>
      <w:bookmarkEnd w:id="4"/>
    </w:p>
    <w:p w14:paraId="5D66D794">
      <w:pPr>
        <w:pStyle w:val="14"/>
        <w:keepNext w:val="0"/>
        <w:keepLines w:val="0"/>
        <w:pageBreakBefore w:val="0"/>
        <w:shd w:val="clear" w:color="auto" w:fill="FFFFFF"/>
        <w:kinsoku/>
        <w:wordWrap/>
        <w:overflowPunct/>
        <w:topLinePunct w:val="0"/>
        <w:bidi w:val="0"/>
        <w:spacing w:before="0" w:beforeAutospacing="0" w:after="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w:t>
      </w:r>
      <w:r>
        <w:rPr>
          <w:rFonts w:hint="default" w:ascii="仿宋_GB2312" w:eastAsia="仿宋_GB2312"/>
          <w:sz w:val="32"/>
          <w:szCs w:val="32"/>
          <w:lang w:val="en-US" w:eastAsia="zh-CN"/>
        </w:rPr>
        <w:t>2hr容量</w:t>
      </w:r>
    </w:p>
    <w:p w14:paraId="704A3129">
      <w:pPr>
        <w:pStyle w:val="14"/>
        <w:keepNext w:val="0"/>
        <w:keepLines w:val="0"/>
        <w:pageBreakBefore w:val="0"/>
        <w:shd w:val="clear" w:color="auto" w:fill="FFFFFF"/>
        <w:kinsoku/>
        <w:wordWrap/>
        <w:overflowPunct/>
        <w:topLinePunct w:val="0"/>
        <w:bidi w:val="0"/>
        <w:spacing w:before="0" w:beforeAutospacing="0" w:after="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该指标直接反映了电池在接近实际使用条件下的有效续航能力，是衡量电池性能与品质的核心参数。</w:t>
      </w:r>
    </w:p>
    <w:p w14:paraId="208992DD">
      <w:pPr>
        <w:pStyle w:val="14"/>
        <w:keepNext w:val="0"/>
        <w:keepLines w:val="0"/>
        <w:pageBreakBefore w:val="0"/>
        <w:shd w:val="clear" w:color="auto" w:fill="FFFFFF"/>
        <w:kinsoku/>
        <w:wordWrap/>
        <w:overflowPunct/>
        <w:topLinePunct w:val="0"/>
        <w:bidi w:val="0"/>
        <w:spacing w:before="0" w:beforeAutospacing="0" w:after="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电动自行车蓄电池2hr容量不合格的危害十分严重。容量不足直接导致车辆续航里程严重缩水，无法满足用户的日常出行需求，实质上是产品的核心功能缺陷。这往往意味着电池组采用劣质电芯或存在工艺缺陷，不仅会加速电池自身衰减、缩短使用寿命，造成用户经济损失，更深层的隐患在于，这类电池的电化学性能不稳定，在充放电过程中更容易引发过热、甚至热失控，极大地增加了起火爆炸的安全风险，严重威胁使用者的人身和财产安全</w:t>
      </w:r>
      <w:r>
        <w:rPr>
          <w:rFonts w:hint="eastAsia" w:ascii="仿宋_GB2312" w:eastAsia="仿宋_GB2312"/>
          <w:sz w:val="32"/>
          <w:szCs w:val="32"/>
        </w:rPr>
        <w:t>。</w:t>
      </w:r>
    </w:p>
    <w:p w14:paraId="4BB6F906">
      <w:pPr>
        <w:pStyle w:val="14"/>
        <w:keepNext w:val="0"/>
        <w:keepLines w:val="0"/>
        <w:pageBreakBefore w:val="0"/>
        <w:numPr>
          <w:ilvl w:val="0"/>
          <w:numId w:val="0"/>
        </w:numPr>
        <w:shd w:val="clear" w:color="auto" w:fill="FFFFFF"/>
        <w:kinsoku/>
        <w:wordWrap/>
        <w:overflowPunct/>
        <w:topLinePunct w:val="0"/>
        <w:bidi w:val="0"/>
        <w:spacing w:before="0" w:beforeAutospacing="0" w:after="0" w:afterAutospacing="0"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w:t>
      </w:r>
      <w:r>
        <w:rPr>
          <w:rFonts w:hint="default" w:ascii="仿宋_GB2312" w:eastAsia="仿宋_GB2312"/>
          <w:sz w:val="32"/>
          <w:szCs w:val="32"/>
          <w:lang w:val="en-US" w:eastAsia="zh-CN"/>
        </w:rPr>
        <w:t>大电流放电</w:t>
      </w:r>
    </w:p>
    <w:p w14:paraId="165CB08B">
      <w:pPr>
        <w:pStyle w:val="14"/>
        <w:keepNext w:val="0"/>
        <w:keepLines w:val="0"/>
        <w:pageBreakBefore w:val="0"/>
        <w:shd w:val="clear" w:color="auto" w:fill="FFFFFF"/>
        <w:kinsoku/>
        <w:wordWrap/>
        <w:overflowPunct/>
        <w:topLinePunct w:val="0"/>
        <w:bidi w:val="0"/>
        <w:spacing w:before="0" w:beforeAutospacing="0" w:after="0" w:afterAutospacing="0" w:line="5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电动自行车蓄电池的大电流放电检测至关重要，它模拟了车辆在起步、加速、爬坡等工况下的瞬时高负荷需求。</w:t>
      </w:r>
    </w:p>
    <w:p w14:paraId="612AEDA1">
      <w:pPr>
        <w:pStyle w:val="14"/>
        <w:keepNext w:val="0"/>
        <w:keepLines w:val="0"/>
        <w:pageBreakBefore w:val="0"/>
        <w:shd w:val="clear" w:color="auto" w:fill="FFFFFF"/>
        <w:kinsoku/>
        <w:wordWrap/>
        <w:overflowPunct/>
        <w:topLinePunct w:val="0"/>
        <w:bidi w:val="0"/>
        <w:spacing w:before="0" w:beforeAutospacing="0" w:after="0" w:afterAutospacing="0" w:line="5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电动自行车蓄电池大电流放电项目不合格存在严重安全隐患。该项目主要检验电池在起步、加速或爬坡等高负荷状态下的输出能力，若不达标将直接导致车辆加速无力、行驶中突然断电，在车流复杂的道路上是极大的安全威胁。更深层次看，这暴露出电池内阻过高、连接工艺不良或电芯质量低劣，在大电流工作时会产生异常高温，急剧增加电池热失控风险，极易引发火灾或爆炸，严重危及用户生命财产安全</w:t>
      </w:r>
      <w:r>
        <w:rPr>
          <w:rFonts w:hint="eastAsia" w:ascii="仿宋_GB2312" w:eastAsia="仿宋_GB2312"/>
          <w:sz w:val="32"/>
          <w:szCs w:val="32"/>
          <w:lang w:val="en-US" w:eastAsia="zh-CN"/>
        </w:rPr>
        <w:t>。</w:t>
      </w:r>
    </w:p>
    <w:p w14:paraId="6D9CF35A">
      <w:pPr>
        <w:pStyle w:val="14"/>
        <w:keepNext w:val="0"/>
        <w:keepLines w:val="0"/>
        <w:pageBreakBefore w:val="0"/>
        <w:shd w:val="clear" w:color="auto" w:fill="FFFFFF"/>
        <w:kinsoku/>
        <w:wordWrap/>
        <w:overflowPunct/>
        <w:topLinePunct w:val="0"/>
        <w:bidi w:val="0"/>
        <w:spacing w:before="0" w:beforeAutospacing="0" w:after="0" w:afterAutospacing="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w:t>
      </w:r>
      <w:r>
        <w:rPr>
          <w:rFonts w:hint="default" w:ascii="仿宋_GB2312" w:eastAsia="仿宋_GB2312"/>
          <w:sz w:val="32"/>
          <w:szCs w:val="32"/>
          <w:lang w:val="en-US" w:eastAsia="zh-CN"/>
        </w:rPr>
        <w:t>重量比能量</w:t>
      </w:r>
      <w:r>
        <w:rPr>
          <w:rFonts w:hint="eastAsia" w:ascii="仿宋_GB2312" w:eastAsia="仿宋_GB2312"/>
          <w:sz w:val="32"/>
          <w:szCs w:val="32"/>
          <w:lang w:val="en-US" w:eastAsia="zh-CN"/>
        </w:rPr>
        <w:t>/能量密度</w:t>
      </w:r>
    </w:p>
    <w:p w14:paraId="1A431423">
      <w:pPr>
        <w:pStyle w:val="14"/>
        <w:keepNext w:val="0"/>
        <w:keepLines w:val="0"/>
        <w:pageBreakBefore w:val="0"/>
        <w:numPr>
          <w:ilvl w:val="0"/>
          <w:numId w:val="0"/>
        </w:numPr>
        <w:shd w:val="clear" w:color="auto" w:fill="FFFFFF"/>
        <w:kinsoku/>
        <w:wordWrap/>
        <w:overflowPunct/>
        <w:topLinePunct w:val="0"/>
        <w:bidi w:val="0"/>
        <w:spacing w:before="0" w:beforeAutospacing="0" w:after="0" w:afterAutospacing="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电动自行车蓄电池的重量比能量检测核心意义在于评估其能量密度水平。该指标直接决定了电池在同等重量下能储存多少电能，是衡量电池技术先进性与轻量化设计的核心依据。</w:t>
      </w:r>
    </w:p>
    <w:p w14:paraId="62744BD7">
      <w:pPr>
        <w:pStyle w:val="14"/>
        <w:keepNext w:val="0"/>
        <w:keepLines w:val="0"/>
        <w:pageBreakBefore w:val="0"/>
        <w:numPr>
          <w:ilvl w:val="0"/>
          <w:numId w:val="0"/>
        </w:numPr>
        <w:shd w:val="clear" w:color="auto" w:fill="FFFFFF"/>
        <w:kinsoku/>
        <w:wordWrap/>
        <w:overflowPunct/>
        <w:topLinePunct w:val="0"/>
        <w:bidi w:val="0"/>
        <w:spacing w:before="0" w:beforeAutospacing="0" w:after="0" w:afterAutospacing="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该缺陷直接导致车辆加速无力、爬坡困难，甚至在行驶中突然断电，引发交通意外。更深层次看，这表明电池内阻过高或电芯质量差，在大电流工作时会急剧发热，大幅增加电池热失控风险，极易引发火灾或爆炸，严重威胁用户生命安全。</w:t>
      </w:r>
    </w:p>
    <w:p w14:paraId="1F3FB7FA">
      <w:pPr>
        <w:pStyle w:val="14"/>
        <w:keepNext w:val="0"/>
        <w:keepLines w:val="0"/>
        <w:pageBreakBefore w:val="0"/>
        <w:shd w:val="clear" w:color="auto" w:fill="FFFFFF"/>
        <w:kinsoku/>
        <w:wordWrap/>
        <w:overflowPunct/>
        <w:topLinePunct w:val="0"/>
        <w:bidi w:val="0"/>
        <w:spacing w:before="0" w:beforeAutospacing="0" w:after="0" w:afterAutospacing="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w:t>
      </w:r>
      <w:r>
        <w:rPr>
          <w:rFonts w:hint="default" w:ascii="仿宋_GB2312" w:eastAsia="仿宋_GB2312"/>
          <w:sz w:val="32"/>
          <w:szCs w:val="32"/>
          <w:lang w:val="en-US" w:eastAsia="zh-CN"/>
        </w:rPr>
        <w:t>不同温度下的容量</w:t>
      </w:r>
      <w:r>
        <w:rPr>
          <w:rFonts w:hint="eastAsia" w:ascii="仿宋_GB2312" w:eastAsia="仿宋_GB2312"/>
          <w:sz w:val="32"/>
          <w:szCs w:val="32"/>
          <w:lang w:val="en-US" w:eastAsia="zh-CN"/>
        </w:rPr>
        <w:t>/低温容量</w:t>
      </w:r>
    </w:p>
    <w:p w14:paraId="6703ACF9">
      <w:pPr>
        <w:pStyle w:val="14"/>
        <w:keepNext w:val="0"/>
        <w:keepLines w:val="0"/>
        <w:pageBreakBefore w:val="0"/>
        <w:numPr>
          <w:ilvl w:val="0"/>
          <w:numId w:val="0"/>
        </w:numPr>
        <w:shd w:val="clear" w:color="auto" w:fill="FFFFFF"/>
        <w:kinsoku/>
        <w:wordWrap/>
        <w:overflowPunct/>
        <w:topLinePunct w:val="0"/>
        <w:bidi w:val="0"/>
        <w:spacing w:before="0" w:beforeAutospacing="0" w:after="0" w:afterAutospacing="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电动自行车蓄电池的低温容量检测至关重要，它评估了电池在冬季或寒冷环境中的实际工作性能。低温会显著降低电池内部化学反应速率，导致容量和输出功率急剧下降。</w:t>
      </w:r>
    </w:p>
    <w:p w14:paraId="745E9053">
      <w:pPr>
        <w:pStyle w:val="14"/>
        <w:keepNext w:val="0"/>
        <w:keepLines w:val="0"/>
        <w:pageBreakBefore w:val="0"/>
        <w:widowControl w:val="0"/>
        <w:numPr>
          <w:ilvl w:val="0"/>
          <w:numId w:val="0"/>
        </w:numPr>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电动自行车蓄电池低温容量不合格将严重影响车辆在冬季的实用性与安全性。电池在低温下容量骤减，导致续航里程严重虚标，车辆可能出现动力突然中断、加速无力等情况，在寒冷天气中给骑行者带来巨大风险。这反映出电池电化学体系低温性能差，不仅影响正常使用，还可能因低温下大电流放电加速电池老化，埋下安全隐患。</w:t>
      </w:r>
    </w:p>
    <w:p w14:paraId="5AE042E9">
      <w:pPr>
        <w:pStyle w:val="14"/>
        <w:keepNext w:val="0"/>
        <w:keepLines w:val="0"/>
        <w:pageBreakBefore w:val="0"/>
        <w:shd w:val="clear" w:color="auto" w:fill="FFFFFF"/>
        <w:kinsoku/>
        <w:wordWrap/>
        <w:overflowPunct/>
        <w:topLinePunct w:val="0"/>
        <w:bidi w:val="0"/>
        <w:spacing w:before="0" w:beforeAutospacing="0" w:after="0" w:afterAutospacing="0"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w:t>
      </w:r>
      <w:r>
        <w:rPr>
          <w:rFonts w:hint="default" w:ascii="仿宋_GB2312" w:eastAsia="仿宋_GB2312"/>
          <w:sz w:val="32"/>
          <w:szCs w:val="32"/>
          <w:lang w:val="en-US" w:eastAsia="zh-CN"/>
        </w:rPr>
        <w:t>快速充电能力</w:t>
      </w:r>
    </w:p>
    <w:p w14:paraId="20BD19D9">
      <w:pPr>
        <w:pStyle w:val="14"/>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宋体" w:eastAsia="仿宋_GB2312" w:cs="Times New Roman"/>
          <w:kern w:val="2"/>
          <w:sz w:val="32"/>
          <w:szCs w:val="32"/>
          <w:lang w:val="en-US" w:eastAsia="zh-CN"/>
        </w:rPr>
      </w:pPr>
      <w:r>
        <w:rPr>
          <w:rFonts w:hint="eastAsia" w:ascii="仿宋_GB2312" w:hAnsi="宋体" w:eastAsia="仿宋_GB2312" w:cs="Times New Roman"/>
          <w:kern w:val="2"/>
          <w:sz w:val="32"/>
          <w:szCs w:val="32"/>
          <w:lang w:val="en-US" w:eastAsia="zh-CN"/>
        </w:rPr>
        <w:t>电动自行车蓄电池的快速充电能力检测意义重大。它评估了电池在承受大功率充电时，能否在安全前提下显著缩短充电时间</w:t>
      </w:r>
      <w:r>
        <w:rPr>
          <w:rFonts w:hint="eastAsia" w:ascii="仿宋_GB2312" w:eastAsia="仿宋_GB2312" w:cs="Times New Roman"/>
          <w:kern w:val="2"/>
          <w:sz w:val="32"/>
          <w:szCs w:val="32"/>
          <w:lang w:val="en-US" w:eastAsia="zh-CN"/>
        </w:rPr>
        <w:t>。</w:t>
      </w:r>
    </w:p>
    <w:p w14:paraId="4AD2E824">
      <w:pPr>
        <w:pStyle w:val="14"/>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宋体" w:eastAsia="仿宋_GB2312" w:cs="Times New Roman"/>
          <w:kern w:val="2"/>
          <w:sz w:val="32"/>
          <w:szCs w:val="32"/>
          <w:lang w:val="en-US" w:eastAsia="zh-CN"/>
        </w:rPr>
      </w:pPr>
      <w:r>
        <w:rPr>
          <w:rFonts w:hint="eastAsia" w:ascii="仿宋_GB2312" w:hAnsi="宋体" w:eastAsia="仿宋_GB2312" w:cs="Times New Roman"/>
          <w:kern w:val="2"/>
          <w:sz w:val="32"/>
          <w:szCs w:val="32"/>
          <w:lang w:val="en-US" w:eastAsia="zh-CN"/>
        </w:rPr>
        <w:t>电动自行车蓄电池快速充电能力不合格存在显著危害。电池无法安全承受大电流充电，将导致充电效率低下，无法满足用户对便捷性的需求。更严重的是，在快充过程中极易因热管理失控导致电池过热、鼓包，这会急剧增加电池内部短路和发生热失控的风险，最终可能引发火灾或爆炸，直接危及用户生命财产安全。</w:t>
      </w:r>
    </w:p>
    <w:p w14:paraId="527D5C84">
      <w:pPr>
        <w:pStyle w:val="19"/>
        <w:keepNext w:val="0"/>
        <w:keepLines w:val="0"/>
        <w:pageBreakBefore w:val="0"/>
        <w:kinsoku/>
        <w:wordWrap/>
        <w:overflowPunct/>
        <w:topLinePunct w:val="0"/>
        <w:bidi w:val="0"/>
        <w:spacing w:line="560" w:lineRule="exact"/>
        <w:ind w:left="0" w:leftChars="0" w:firstLine="0" w:firstLineChars="0"/>
        <w:textAlignment w:val="auto"/>
        <w:outlineLvl w:val="0"/>
        <w:rPr>
          <w:rFonts w:ascii="黑体" w:hAnsi="黑体" w:eastAsia="黑体"/>
          <w:sz w:val="32"/>
          <w:szCs w:val="32"/>
        </w:rPr>
      </w:pPr>
      <w:bookmarkStart w:id="5" w:name="_Toc12333"/>
      <w:r>
        <w:rPr>
          <w:rFonts w:hint="eastAsia" w:ascii="黑体" w:hAnsi="黑体" w:eastAsia="黑体"/>
          <w:sz w:val="32"/>
          <w:szCs w:val="32"/>
          <w:lang w:val="en-US" w:eastAsia="zh-CN"/>
        </w:rPr>
        <w:t>三、</w:t>
      </w:r>
      <w:r>
        <w:rPr>
          <w:rFonts w:hint="eastAsia" w:ascii="黑体" w:hAnsi="黑体" w:eastAsia="黑体"/>
          <w:sz w:val="32"/>
          <w:szCs w:val="32"/>
        </w:rPr>
        <w:t>消费建议</w:t>
      </w:r>
      <w:bookmarkEnd w:id="5"/>
    </w:p>
    <w:p w14:paraId="4D0FBED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楷体" w:hAnsi="楷体" w:eastAsia="楷体" w:cs="楷体"/>
          <w:sz w:val="32"/>
          <w:szCs w:val="32"/>
          <w:lang w:val="en-US" w:eastAsia="zh-CN"/>
        </w:rPr>
        <w:t>（一）消费者在购买电动自行车电池产品时，要注意：</w:t>
      </w:r>
    </w:p>
    <w:p w14:paraId="20C4906A">
      <w:pPr>
        <w:pStyle w:val="14"/>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宋体" w:eastAsia="仿宋_GB2312" w:cs="Times New Roman"/>
          <w:kern w:val="2"/>
          <w:sz w:val="32"/>
          <w:szCs w:val="32"/>
          <w:lang w:val="en-US" w:eastAsia="zh-CN"/>
        </w:rPr>
      </w:pPr>
      <w:r>
        <w:rPr>
          <w:rFonts w:hint="eastAsia" w:ascii="仿宋_GB2312" w:hAnsi="宋体" w:eastAsia="仿宋_GB2312" w:cs="Times New Roman"/>
          <w:kern w:val="2"/>
          <w:sz w:val="32"/>
          <w:szCs w:val="32"/>
          <w:lang w:val="en-US" w:eastAsia="zh-CN"/>
        </w:rPr>
        <w:t>1、查看产品标志是否齐全。包括制造厂名、产品规格型号、制造日期、商标等；查看内外标志是否一致，尤其要检查产品本体是否有醒目标识。</w:t>
      </w:r>
    </w:p>
    <w:p w14:paraId="2F5CE20B">
      <w:pPr>
        <w:pStyle w:val="14"/>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宋体" w:eastAsia="仿宋_GB2312" w:cs="Times New Roman"/>
          <w:kern w:val="2"/>
          <w:sz w:val="32"/>
          <w:szCs w:val="32"/>
          <w:lang w:val="en-US" w:eastAsia="zh-CN"/>
        </w:rPr>
      </w:pPr>
      <w:r>
        <w:rPr>
          <w:rFonts w:hint="eastAsia" w:ascii="仿宋_GB2312" w:hAnsi="宋体" w:eastAsia="仿宋_GB2312" w:cs="Times New Roman"/>
          <w:kern w:val="2"/>
          <w:sz w:val="32"/>
          <w:szCs w:val="32"/>
          <w:lang w:val="en-US" w:eastAsia="zh-CN"/>
        </w:rPr>
        <w:t>2、注意电池的外观。查看是否有变形、裂纹、划痕及漏液痕迹。电池接线端子上应干净，无锈蚀，正负极标志应清晰。</w:t>
      </w:r>
    </w:p>
    <w:p w14:paraId="64BCB1D6">
      <w:pPr>
        <w:pStyle w:val="14"/>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宋体" w:eastAsia="仿宋_GB2312" w:cs="Times New Roman"/>
          <w:kern w:val="2"/>
          <w:sz w:val="32"/>
          <w:szCs w:val="32"/>
          <w:lang w:val="en-US" w:eastAsia="zh-CN"/>
        </w:rPr>
      </w:pPr>
      <w:r>
        <w:rPr>
          <w:rFonts w:hint="eastAsia" w:ascii="仿宋_GB2312" w:hAnsi="宋体" w:eastAsia="仿宋_GB2312" w:cs="Times New Roman"/>
          <w:kern w:val="2"/>
          <w:sz w:val="32"/>
          <w:szCs w:val="32"/>
          <w:lang w:val="en-US" w:eastAsia="zh-CN"/>
        </w:rPr>
        <w:t>3、关注产品标注的额定容量。电池标注的额定容量越大，电池放电时间越长，最好不要购买无额定容量标注的电池，若有多个容量标注，应以额定容量为准。</w:t>
      </w:r>
    </w:p>
    <w:p w14:paraId="7E75A8C7">
      <w:pPr>
        <w:pStyle w:val="14"/>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宋体" w:eastAsia="仿宋_GB2312" w:cs="Times New Roman"/>
          <w:kern w:val="2"/>
          <w:sz w:val="32"/>
          <w:szCs w:val="32"/>
          <w:lang w:val="en-US" w:eastAsia="zh-CN"/>
        </w:rPr>
      </w:pPr>
      <w:r>
        <w:rPr>
          <w:rFonts w:hint="eastAsia" w:ascii="仿宋_GB2312" w:hAnsi="宋体" w:eastAsia="仿宋_GB2312" w:cs="Times New Roman"/>
          <w:kern w:val="2"/>
          <w:sz w:val="32"/>
          <w:szCs w:val="32"/>
          <w:lang w:val="en-US" w:eastAsia="zh-CN"/>
        </w:rPr>
        <w:t>4、关注产品符合的国家标准。不同标准之间存在一定的差异性，新标准较老标准，不论是在检测方法还是在检测评定要求上都更加完善，企业产品若能与时俱进，尽快启用新标准，其产品必然更加可靠耐用。</w:t>
      </w:r>
    </w:p>
    <w:p w14:paraId="2C635193">
      <w:pPr>
        <w:pStyle w:val="14"/>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宋体" w:eastAsia="仿宋_GB2312" w:cs="Times New Roman"/>
          <w:kern w:val="2"/>
          <w:sz w:val="32"/>
          <w:szCs w:val="32"/>
          <w:lang w:val="en-US" w:eastAsia="zh-CN"/>
        </w:rPr>
      </w:pPr>
      <w:r>
        <w:rPr>
          <w:rFonts w:hint="eastAsia" w:ascii="仿宋_GB2312" w:hAnsi="宋体" w:eastAsia="仿宋_GB2312" w:cs="Times New Roman"/>
          <w:kern w:val="2"/>
          <w:sz w:val="32"/>
          <w:szCs w:val="32"/>
          <w:lang w:val="en-US" w:eastAsia="zh-CN"/>
        </w:rPr>
        <w:t>5、选购知名企业的品牌电池。电池一般由专业电池生产厂提供，不同品牌、不同厂家生产的电池质量有优劣之别，价格也有高低之分。知名企业规模大，技术强，售后服务好，电池质量有保证。</w:t>
      </w:r>
    </w:p>
    <w:p w14:paraId="1E0EDE5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（二）使用时的常识</w:t>
      </w:r>
    </w:p>
    <w:p w14:paraId="57CE19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1、保持电池的足电状态。每天骑行电动自行车，应尽量及时充电，使电池处于“吃饱状态”， 养成随用随充的良好习惯。用完了长时间闲置再充，电池极易出现硫化现象，容量下降。</w:t>
      </w:r>
    </w:p>
    <w:p w14:paraId="0E620F3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2、定期进行深放电。建议使用约两个月后进行一次深放电，即长距离骑行直到欠压指示灯亮，电量用完，然后充电恢复电池满电。</w:t>
      </w:r>
    </w:p>
    <w:p w14:paraId="203DC54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3、避免亏电存放。蓄电池亏电存放会影响使用寿命，应尽量避免长时间闲置存放。</w:t>
      </w:r>
    </w:p>
    <w:p w14:paraId="0F6C957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4、避免超载。超载骑行时，电动自行车的电机电流会增大，使电池放电过快，电压快速下降。电池每次使用的放电深度越小，电池的使用寿命越长。所以应尽量避免超载，减少大电流放电，延长电池使用寿命。</w:t>
      </w:r>
    </w:p>
    <w:p w14:paraId="2EE32865">
      <w:pPr>
        <w:adjustRightInd w:val="0"/>
        <w:snapToGrid w:val="0"/>
        <w:spacing w:line="360" w:lineRule="auto"/>
        <w:ind w:firstLine="640" w:firstLineChars="200"/>
        <w:jc w:val="both"/>
        <w:rPr>
          <w:rFonts w:hint="eastAsia" w:ascii="仿宋_GB2312" w:hAnsi="宋体" w:eastAsia="仿宋_GB2312" w:cs="Times New Roman"/>
          <w:kern w:val="2"/>
          <w:sz w:val="32"/>
          <w:szCs w:val="32"/>
          <w:lang w:val="en-US" w:eastAsia="zh-CN" w:bidi="ar-SA"/>
        </w:rPr>
      </w:pPr>
    </w:p>
    <w:sectPr>
      <w:footerReference r:id="rId3" w:type="default"/>
      <w:pgSz w:w="11906" w:h="16838"/>
      <w:pgMar w:top="2154" w:right="1361" w:bottom="1928" w:left="1474" w:header="851" w:footer="1134" w:gutter="0"/>
      <w:pgNumType w:fmt="decimal" w:start="1"/>
      <w:cols w:space="0" w:num="1"/>
      <w:formProt w:val="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7FCC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posOffset>2565400</wp:posOffset>
              </wp:positionH>
              <wp:positionV relativeFrom="paragraph">
                <wp:posOffset>-352425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F2BB7">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pt;margin-top:-27.75pt;height:144pt;width:144pt;mso-position-horizontal-relative:margin;mso-wrap-style:none;z-index:251659264;mso-width-relative:page;mso-height-relative:page;" filled="f" stroked="f" coordsize="21600,21600" o:gfxdata="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fMAd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14:paraId="68FF2BB7">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ZjMwMmMxZTZhNjI1OTQ2NjM1ZGU0MzU4NTgxZmYifQ=="/>
  </w:docVars>
  <w:rsids>
    <w:rsidRoot w:val="00000000"/>
    <w:rsid w:val="019B3110"/>
    <w:rsid w:val="01F64D0F"/>
    <w:rsid w:val="021603B2"/>
    <w:rsid w:val="040A4AA1"/>
    <w:rsid w:val="05E50846"/>
    <w:rsid w:val="075D1A4D"/>
    <w:rsid w:val="0869448C"/>
    <w:rsid w:val="0C580AA0"/>
    <w:rsid w:val="0D465BE4"/>
    <w:rsid w:val="0D834329"/>
    <w:rsid w:val="0F694D72"/>
    <w:rsid w:val="1032477F"/>
    <w:rsid w:val="12B97DBE"/>
    <w:rsid w:val="13655850"/>
    <w:rsid w:val="139D612C"/>
    <w:rsid w:val="146B158C"/>
    <w:rsid w:val="15325C06"/>
    <w:rsid w:val="183D0B4A"/>
    <w:rsid w:val="197C1B46"/>
    <w:rsid w:val="1BD94E2F"/>
    <w:rsid w:val="1C3E7845"/>
    <w:rsid w:val="20397572"/>
    <w:rsid w:val="255E0351"/>
    <w:rsid w:val="26B91CE3"/>
    <w:rsid w:val="28CA3C48"/>
    <w:rsid w:val="2A7C3754"/>
    <w:rsid w:val="2A9C3DF6"/>
    <w:rsid w:val="2C4B2A08"/>
    <w:rsid w:val="2C8573E5"/>
    <w:rsid w:val="2CF577ED"/>
    <w:rsid w:val="30156EFC"/>
    <w:rsid w:val="307F7AFA"/>
    <w:rsid w:val="34F367C5"/>
    <w:rsid w:val="351153E0"/>
    <w:rsid w:val="358D4A67"/>
    <w:rsid w:val="37CE746E"/>
    <w:rsid w:val="3870241E"/>
    <w:rsid w:val="3B4167A1"/>
    <w:rsid w:val="3D87339C"/>
    <w:rsid w:val="3E8E35FE"/>
    <w:rsid w:val="42CE08A9"/>
    <w:rsid w:val="48D83DF3"/>
    <w:rsid w:val="492E6109"/>
    <w:rsid w:val="4CC34DBA"/>
    <w:rsid w:val="4EB64BD7"/>
    <w:rsid w:val="4F7C7BCE"/>
    <w:rsid w:val="5281374D"/>
    <w:rsid w:val="53D17DBD"/>
    <w:rsid w:val="53F65A75"/>
    <w:rsid w:val="564E3440"/>
    <w:rsid w:val="589917F1"/>
    <w:rsid w:val="5A20384C"/>
    <w:rsid w:val="5A70032F"/>
    <w:rsid w:val="5B5C018E"/>
    <w:rsid w:val="5DD706C5"/>
    <w:rsid w:val="5E541D16"/>
    <w:rsid w:val="5E567766"/>
    <w:rsid w:val="605B3830"/>
    <w:rsid w:val="611B6B1B"/>
    <w:rsid w:val="6200643D"/>
    <w:rsid w:val="68356714"/>
    <w:rsid w:val="6E58315D"/>
    <w:rsid w:val="6E625D89"/>
    <w:rsid w:val="6F3D03A5"/>
    <w:rsid w:val="6FEF189F"/>
    <w:rsid w:val="70E92792"/>
    <w:rsid w:val="71AD50A1"/>
    <w:rsid w:val="71FE226D"/>
    <w:rsid w:val="72563E57"/>
    <w:rsid w:val="72987FCC"/>
    <w:rsid w:val="75D752AF"/>
    <w:rsid w:val="75DD3A84"/>
    <w:rsid w:val="76AE4262"/>
    <w:rsid w:val="773F310C"/>
    <w:rsid w:val="7761738C"/>
    <w:rsid w:val="79F144F9"/>
    <w:rsid w:val="7E413C0D"/>
    <w:rsid w:val="7F511C2E"/>
    <w:rsid w:val="7F7D0C75"/>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3">
    <w:name w:val="heading 4"/>
    <w:basedOn w:val="1"/>
    <w:next w:val="1"/>
    <w:qFormat/>
    <w:uiPriority w:val="9"/>
    <w:pPr>
      <w:keepNext/>
      <w:keepLines/>
      <w:widowControl w:val="0"/>
      <w:spacing w:before="280" w:after="290" w:line="376" w:lineRule="auto"/>
      <w:jc w:val="both"/>
      <w:outlineLvl w:val="3"/>
    </w:pPr>
    <w:rPr>
      <w:rFonts w:ascii="Calibri Light" w:hAnsi="Calibri Light" w:eastAsia="宋体" w:cs="Times New Roman"/>
      <w:b/>
      <w:bCs/>
      <w:kern w:val="2"/>
      <w:sz w:val="28"/>
      <w:szCs w:val="28"/>
      <w:lang w:val="en-US" w:eastAsia="zh-CN"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snapToGrid/>
      <w:spacing w:line="240" w:lineRule="auto"/>
      <w:ind w:firstLine="420"/>
    </w:pPr>
    <w:rPr>
      <w:sz w:val="21"/>
    </w:rPr>
  </w:style>
  <w:style w:type="paragraph" w:styleId="5">
    <w:name w:val="Body Text"/>
    <w:basedOn w:val="1"/>
    <w:unhideWhenUsed/>
    <w:qFormat/>
    <w:uiPriority w:val="1"/>
    <w:pPr>
      <w:autoSpaceDE w:val="0"/>
      <w:autoSpaceDN w:val="0"/>
      <w:ind w:left="140" w:firstLine="419"/>
      <w:jc w:val="left"/>
    </w:pPr>
    <w:rPr>
      <w:rFonts w:ascii="宋体" w:hAnsi="宋体" w:cs="宋体" w:eastAsiaTheme="minorEastAsia"/>
      <w:szCs w:val="21"/>
      <w:lang w:val="zh-CN" w:bidi="zh-CN"/>
    </w:rPr>
  </w:style>
  <w:style w:type="paragraph" w:styleId="6">
    <w:name w:val="Body Text Indent"/>
    <w:basedOn w:val="1"/>
    <w:next w:val="7"/>
    <w:unhideWhenUsed/>
    <w:qFormat/>
    <w:uiPriority w:val="0"/>
    <w:pPr>
      <w:spacing w:after="120"/>
      <w:ind w:left="420" w:leftChars="200"/>
    </w:pPr>
  </w:style>
  <w:style w:type="paragraph" w:styleId="7">
    <w:name w:val="envelope return"/>
    <w:basedOn w:val="1"/>
    <w:qFormat/>
    <w:uiPriority w:val="0"/>
    <w:rPr>
      <w:rFonts w:ascii="Arial" w:hAnsi="Arial"/>
    </w:rPr>
  </w:style>
  <w:style w:type="paragraph" w:styleId="8">
    <w:name w:val="Plain Text"/>
    <w:basedOn w:val="1"/>
    <w:qFormat/>
    <w:uiPriority w:val="0"/>
    <w:pPr>
      <w:adjustRightInd/>
      <w:snapToGrid/>
      <w:spacing w:line="240" w:lineRule="auto"/>
      <w:ind w:firstLine="0" w:firstLineChars="0"/>
    </w:pPr>
    <w:rPr>
      <w:rFonts w:ascii="宋体" w:hAnsi="Courier New" w:cs="Courier New"/>
      <w:sz w:val="21"/>
      <w:szCs w:val="21"/>
    </w:rPr>
  </w:style>
  <w:style w:type="paragraph" w:styleId="9">
    <w:name w:val="Body Text Indent 2"/>
    <w:basedOn w:val="1"/>
    <w:unhideWhenUsed/>
    <w:qFormat/>
    <w:uiPriority w:val="99"/>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nhideWhenUsed/>
    <w:qFormat/>
    <w:uiPriority w:val="99"/>
    <w:pPr>
      <w:spacing w:after="120"/>
      <w:ind w:left="420" w:leftChars="200"/>
    </w:pPr>
    <w:rPr>
      <w:sz w:val="16"/>
      <w:szCs w:val="16"/>
    </w:rPr>
  </w:style>
  <w:style w:type="paragraph" w:styleId="13">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4">
    <w:name w:val="Normal (Web)"/>
    <w:basedOn w:val="1"/>
    <w:unhideWhenUsed/>
    <w:qFormat/>
    <w:uiPriority w:val="99"/>
    <w:rPr>
      <w:sz w:val="24"/>
    </w:rPr>
  </w:style>
  <w:style w:type="paragraph" w:customStyle="1" w:styleId="17">
    <w:name w:val="Table Paragraph"/>
    <w:basedOn w:val="1"/>
    <w:qFormat/>
    <w:uiPriority w:val="1"/>
    <w:pPr>
      <w:autoSpaceDE w:val="0"/>
      <w:autoSpaceDN w:val="0"/>
      <w:spacing w:before="100"/>
      <w:jc w:val="center"/>
    </w:pPr>
    <w:rPr>
      <w:rFonts w:ascii="宋体" w:hAnsi="宋体" w:cs="宋体"/>
      <w:kern w:val="0"/>
      <w:sz w:val="22"/>
      <w:szCs w:val="22"/>
      <w:lang w:val="zh-CN" w:bidi="zh-CN"/>
    </w:rPr>
  </w:style>
  <w:style w:type="paragraph" w:customStyle="1" w:styleId="18">
    <w:name w:val="正文 + (西文) Times New Roman"/>
    <w:basedOn w:val="14"/>
    <w:qFormat/>
    <w:uiPriority w:val="99"/>
    <w:pPr>
      <w:widowControl/>
      <w:spacing w:line="360" w:lineRule="auto"/>
      <w:ind w:firstLine="560" w:firstLineChars="200"/>
      <w:jc w:val="left"/>
    </w:pPr>
    <w:rPr>
      <w:rFonts w:ascii="仿宋_GB2312" w:hAnsi="宋体" w:eastAsia="仿宋_GB2312"/>
      <w:color w:val="000000"/>
      <w:sz w:val="28"/>
      <w:szCs w:val="28"/>
    </w:rPr>
  </w:style>
  <w:style w:type="paragraph" w:styleId="19">
    <w:name w:val="List Paragraph"/>
    <w:basedOn w:val="1"/>
    <w:qFormat/>
    <w:uiPriority w:val="34"/>
    <w:pPr>
      <w:ind w:firstLine="420" w:firstLineChars="200"/>
    </w:pPr>
  </w:style>
  <w:style w:type="paragraph" w:customStyle="1" w:styleId="20">
    <w:name w:val="列出段落2"/>
    <w:basedOn w:val="1"/>
    <w:qFormat/>
    <w:uiPriority w:val="99"/>
    <w:pPr>
      <w:ind w:firstLine="420" w:firstLineChars="2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2282</Words>
  <Characters>2432</Characters>
  <Lines>0</Lines>
  <Paragraphs>0</Paragraphs>
  <TotalTime>2</TotalTime>
  <ScaleCrop>false</ScaleCrop>
  <LinksUpToDate>false</LinksUpToDate>
  <CharactersWithSpaces>2441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2024-06-11T02:46:00Z</dcterms:created>
  <dc:creator>SDB</dc:creator>
  <cp:lastModifiedBy>盛</cp:lastModifiedBy>
  <dcterms:modified xsi:type="dcterms:W3CDTF">2025-12-30T07:47:23Z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CEFB21BCDEF34FF7B17E29F7E9725B81_12</vt:lpwstr>
  </property>
  <property fmtid="{D5CDD505-2E9C-101B-9397-08002B2CF9AE}" pid="4" name="KSOTemplateDocerSaveRecord">
    <vt:lpwstr>eyJoZGlkIjoiYTg0ZjMwMmMxZTZhNjI1OTQ2NjM1ZGU0MzU4NTgxZmYiLCJ1c2VySWQiOiIyNzU2NDE1MDYifQ==</vt:lpwstr>
  </property>
</Properties>
</file>