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 w:val="0"/>
          <w:bCs/>
          <w:color w:val="auto"/>
          <w:kern w:val="44"/>
          <w:sz w:val="44"/>
          <w:szCs w:val="44"/>
          <w:highlight w:val="none"/>
          <w:lang w:bidi="ar"/>
        </w:rPr>
      </w:pPr>
      <w:r>
        <w:rPr>
          <w:rFonts w:hint="eastAsia" w:ascii="方正小标宋简体" w:hAnsi="Times New Roman" w:eastAsia="方正小标宋简体" w:cs="方正小标宋简体"/>
          <w:b w:val="0"/>
          <w:bCs/>
          <w:color w:val="auto"/>
          <w:kern w:val="44"/>
          <w:sz w:val="44"/>
          <w:szCs w:val="44"/>
          <w:highlight w:val="none"/>
          <w:lang w:bidi="ar"/>
        </w:rPr>
        <w:t>招标公告</w:t>
      </w:r>
    </w:p>
    <w:p w14:paraId="4B958555">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1463DFE">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滨创·空港智汇园项目</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常州上韬科技发展有限公司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滨创·空港智汇园项目桩基检测</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53AEB4A3">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091FD3CA">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2.1.1建设地点：常州市新北区罗溪镇，龙城大道以南、通达路以东、江苏诚通物流有限公司以北</w:t>
      </w:r>
      <w:r>
        <w:rPr>
          <w:rFonts w:hint="eastAsia" w:ascii="仿宋_GB2312" w:hAnsi="仿宋_GB2312" w:eastAsia="仿宋_GB2312" w:cs="仿宋_GB2312"/>
          <w:color w:val="auto"/>
          <w:kern w:val="0"/>
          <w:sz w:val="32"/>
          <w:szCs w:val="32"/>
          <w:highlight w:val="none"/>
          <w:u w:val="none"/>
        </w:rPr>
        <w:t>。</w:t>
      </w:r>
    </w:p>
    <w:p w14:paraId="5ADB9BF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2.1.2建设规模：项目新增用地83亩，新建厂房及配套，新增总建筑面积约82644平方米</w:t>
      </w:r>
      <w:r>
        <w:rPr>
          <w:rFonts w:hint="eastAsia" w:ascii="仿宋_GB2312" w:hAnsi="仿宋_GB2312" w:eastAsia="仿宋_GB2312" w:cs="仿宋_GB2312"/>
          <w:color w:val="auto"/>
          <w:sz w:val="32"/>
          <w:szCs w:val="32"/>
          <w:highlight w:val="none"/>
          <w:u w:val="none"/>
        </w:rPr>
        <w:t>。</w:t>
      </w:r>
    </w:p>
    <w:p w14:paraId="3BF284AA">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2.1.3本标段合同估算价：</w:t>
      </w:r>
      <w:r>
        <w:rPr>
          <w:rFonts w:hint="eastAsia" w:ascii="仿宋_GB2312" w:hAnsi="仿宋_GB2312" w:eastAsia="仿宋_GB2312" w:cs="仿宋_GB2312"/>
          <w:bCs/>
          <w:color w:val="auto"/>
          <w:sz w:val="32"/>
          <w:szCs w:val="32"/>
          <w:highlight w:val="none"/>
          <w:u w:val="none"/>
          <w:lang w:val="en-US" w:eastAsia="zh-CN"/>
        </w:rPr>
        <w:t>59.7690万</w:t>
      </w:r>
      <w:r>
        <w:rPr>
          <w:rFonts w:hint="eastAsia" w:ascii="仿宋_GB2312" w:hAnsi="仿宋_GB2312" w:eastAsia="仿宋_GB2312" w:cs="仿宋_GB2312"/>
          <w:bCs/>
          <w:color w:val="auto"/>
          <w:sz w:val="32"/>
          <w:szCs w:val="32"/>
          <w:highlight w:val="none"/>
          <w:u w:val="none"/>
          <w:lang w:eastAsia="zh-CN"/>
        </w:rPr>
        <w:t>元</w:t>
      </w:r>
      <w:r>
        <w:rPr>
          <w:rFonts w:hint="eastAsia" w:ascii="仿宋_GB2312" w:hAnsi="仿宋_GB2312" w:eastAsia="仿宋_GB2312" w:cs="仿宋_GB2312"/>
          <w:bCs/>
          <w:color w:val="0000FF"/>
          <w:sz w:val="32"/>
          <w:szCs w:val="32"/>
          <w:highlight w:val="none"/>
          <w:u w:val="none"/>
          <w:lang w:eastAsia="zh-CN"/>
        </w:rPr>
        <w:t>。</w:t>
      </w:r>
    </w:p>
    <w:p w14:paraId="0C23E144">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2.1.4工期要求：</w:t>
      </w:r>
      <w:r>
        <w:rPr>
          <w:rFonts w:hint="eastAsia" w:ascii="仿宋_GB2312" w:hAnsi="仿宋_GB2312" w:eastAsia="仿宋_GB2312" w:cs="仿宋_GB2312"/>
          <w:bCs/>
          <w:color w:val="auto"/>
          <w:sz w:val="32"/>
          <w:szCs w:val="32"/>
          <w:highlight w:val="none"/>
          <w:u w:val="none"/>
          <w:lang w:val="en-US" w:eastAsia="zh-CN"/>
        </w:rPr>
        <w:t>自招标人</w:t>
      </w:r>
      <w:r>
        <w:rPr>
          <w:rFonts w:hint="eastAsia" w:ascii="仿宋_GB2312" w:hAnsi="仿宋_GB2312" w:eastAsia="仿宋_GB2312" w:cs="仿宋_GB2312"/>
          <w:bCs/>
          <w:color w:val="auto"/>
          <w:sz w:val="32"/>
          <w:szCs w:val="32"/>
          <w:highlight w:val="none"/>
          <w:u w:val="none"/>
          <w:lang w:eastAsia="zh-CN"/>
        </w:rPr>
        <w:t>发出开工令</w:t>
      </w:r>
      <w:r>
        <w:rPr>
          <w:rFonts w:hint="eastAsia" w:ascii="仿宋_GB2312" w:hAnsi="仿宋_GB2312" w:eastAsia="仿宋_GB2312" w:cs="仿宋_GB2312"/>
          <w:bCs/>
          <w:color w:val="auto"/>
          <w:sz w:val="32"/>
          <w:szCs w:val="32"/>
          <w:highlight w:val="none"/>
          <w:u w:val="single"/>
          <w:lang w:val="en-US" w:eastAsia="zh-CN"/>
        </w:rPr>
        <w:t>35</w:t>
      </w:r>
      <w:r>
        <w:rPr>
          <w:rFonts w:hint="eastAsia" w:ascii="仿宋_GB2312" w:hAnsi="仿宋_GB2312" w:eastAsia="仿宋_GB2312" w:cs="仿宋_GB2312"/>
          <w:bCs/>
          <w:color w:val="auto"/>
          <w:sz w:val="32"/>
          <w:szCs w:val="32"/>
          <w:highlight w:val="none"/>
          <w:u w:val="none"/>
          <w:lang w:val="en-US" w:eastAsia="zh-CN"/>
        </w:rPr>
        <w:t>日历天</w:t>
      </w:r>
      <w:r>
        <w:rPr>
          <w:rFonts w:hint="eastAsia" w:ascii="仿宋_GB2312" w:hAnsi="仿宋_GB2312" w:eastAsia="仿宋_GB2312" w:cs="仿宋_GB2312"/>
          <w:bCs/>
          <w:color w:val="auto"/>
          <w:sz w:val="32"/>
          <w:szCs w:val="32"/>
          <w:highlight w:val="none"/>
          <w:u w:val="none"/>
          <w:lang w:eastAsia="zh-CN"/>
        </w:rPr>
        <w:t>内完成全部现场检测工作，现场检测完成</w:t>
      </w:r>
      <w:r>
        <w:rPr>
          <w:rFonts w:hint="eastAsia" w:ascii="仿宋_GB2312" w:hAnsi="仿宋_GB2312" w:eastAsia="仿宋_GB2312" w:cs="仿宋_GB2312"/>
          <w:bCs/>
          <w:color w:val="auto"/>
          <w:sz w:val="32"/>
          <w:szCs w:val="32"/>
          <w:highlight w:val="none"/>
          <w:u w:val="single"/>
          <w:lang w:val="en-US" w:eastAsia="zh-CN"/>
        </w:rPr>
        <w:t>5</w:t>
      </w:r>
      <w:r>
        <w:rPr>
          <w:rFonts w:hint="eastAsia" w:ascii="仿宋_GB2312" w:hAnsi="仿宋_GB2312" w:eastAsia="仿宋_GB2312" w:cs="仿宋_GB2312"/>
          <w:bCs/>
          <w:color w:val="auto"/>
          <w:sz w:val="32"/>
          <w:szCs w:val="32"/>
          <w:highlight w:val="none"/>
          <w:u w:val="none"/>
          <w:lang w:val="en-US" w:eastAsia="zh-CN"/>
        </w:rPr>
        <w:t>日历天出具正式</w:t>
      </w:r>
      <w:r>
        <w:rPr>
          <w:rFonts w:hint="eastAsia" w:ascii="仿宋_GB2312" w:hAnsi="仿宋_GB2312" w:eastAsia="仿宋_GB2312" w:cs="仿宋_GB2312"/>
          <w:bCs/>
          <w:color w:val="auto"/>
          <w:sz w:val="32"/>
          <w:szCs w:val="32"/>
          <w:highlight w:val="none"/>
          <w:u w:val="none"/>
          <w:lang w:eastAsia="zh-CN"/>
        </w:rPr>
        <w:t>检测报告</w:t>
      </w:r>
      <w:r>
        <w:rPr>
          <w:rFonts w:hint="eastAsia" w:ascii="仿宋_GB2312" w:hAnsi="仿宋_GB2312" w:eastAsia="仿宋_GB2312" w:cs="仿宋_GB2312"/>
          <w:bCs/>
          <w:color w:val="auto"/>
          <w:sz w:val="32"/>
          <w:szCs w:val="32"/>
          <w:highlight w:val="none"/>
          <w:u w:val="none"/>
        </w:rPr>
        <w:t>。</w:t>
      </w:r>
    </w:p>
    <w:p w14:paraId="745B5482">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2.2招标范围：本项目的</w:t>
      </w:r>
      <w:r>
        <w:rPr>
          <w:rFonts w:hint="eastAsia" w:ascii="仿宋_GB2312" w:hAnsi="仿宋_GB2312" w:eastAsia="仿宋_GB2312" w:cs="仿宋_GB2312"/>
          <w:bCs/>
          <w:color w:val="auto"/>
          <w:sz w:val="32"/>
          <w:szCs w:val="32"/>
          <w:highlight w:val="none"/>
          <w:u w:val="none"/>
          <w:lang w:eastAsia="zh-CN"/>
        </w:rPr>
        <w:t>桩基检测</w:t>
      </w:r>
      <w:r>
        <w:rPr>
          <w:rFonts w:hint="eastAsia" w:ascii="仿宋_GB2312" w:hAnsi="仿宋_GB2312" w:eastAsia="仿宋_GB2312" w:cs="仿宋_GB2312"/>
          <w:bCs/>
          <w:color w:val="auto"/>
          <w:sz w:val="32"/>
          <w:szCs w:val="32"/>
          <w:highlight w:val="none"/>
          <w:u w:val="none"/>
        </w:rPr>
        <w:t>，检测项目及内容详见工程量清单。</w:t>
      </w:r>
    </w:p>
    <w:p w14:paraId="462BDAE8">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 xml:space="preserve"> 建设行政主管部门核发的《建设工程质量检测机构资质证书》，内容包括地基基础工程；且具有省级及以上技术监督部门颁发的检验检测机构资质认定证书（或CMA计量认证合格证书），内容须包括：地基基础</w:t>
      </w:r>
      <w:r>
        <w:rPr>
          <w:rFonts w:hint="eastAsia" w:ascii="仿宋_GB2312" w:hAnsi="仿宋_GB2312" w:eastAsia="仿宋_GB2312" w:cs="仿宋_GB2312"/>
          <w:color w:val="auto"/>
          <w:kern w:val="0"/>
          <w:sz w:val="32"/>
          <w:szCs w:val="32"/>
          <w:highlight w:val="none"/>
        </w:rPr>
        <w:t>。</w:t>
      </w:r>
    </w:p>
    <w:p w14:paraId="3AC8E2EE">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color w:val="auto"/>
          <w:kern w:val="0"/>
          <w:sz w:val="32"/>
          <w:szCs w:val="32"/>
          <w:highlight w:val="none"/>
          <w:u w:val="single"/>
        </w:rPr>
        <w:t>省级及以上建设行政主管部门核发的建设工程质量检测人员岗位合格证</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rPr>
        <w:t>或建设工程质量检测人员检测技术培训合格证书</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rPr>
        <w:t>。</w:t>
      </w:r>
    </w:p>
    <w:p w14:paraId="2148833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联合体投标。</w:t>
      </w:r>
      <w:bookmarkStart w:id="3" w:name="_GoBack"/>
      <w:bookmarkEnd w:id="3"/>
    </w:p>
    <w:p w14:paraId="1553924B">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lang w:eastAsia="zh-CN"/>
        </w:rPr>
        <w:t>日至202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日17：00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54D9B750">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p>
    <w:p w14:paraId="20DD535A">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招标文件资料费：人民币300元整。</w:t>
      </w:r>
    </w:p>
    <w:p w14:paraId="11B19CB6">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招标文件资料费发票由代理机构开具；开票方式：开标后10日内至江苏城建校工程咨询有限公司（清潭路85-2号307财务室）开取发票。开票联系方式：0519-88163189</w:t>
      </w:r>
      <w:r>
        <w:rPr>
          <w:rFonts w:hint="eastAsia" w:ascii="仿宋_GB2312" w:hAnsi="仿宋_GB2312" w:eastAsia="仿宋_GB2312" w:cs="仿宋_GB2312"/>
          <w:color w:val="auto"/>
          <w:kern w:val="0"/>
          <w:sz w:val="32"/>
          <w:szCs w:val="32"/>
          <w:highlight w:val="none"/>
          <w:lang w:eastAsia="zh-CN"/>
        </w:rPr>
        <w:t>。</w:t>
      </w:r>
    </w:p>
    <w:p w14:paraId="757E22D4">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平台服务费：由中标人按E交易系统提示操作。平台服务费收款单位：江苏易交易信息科技有限公司，发票由江苏易交易信息科技有限公司开具。</w:t>
      </w:r>
    </w:p>
    <w:p w14:paraId="462CED52">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072FFC37">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w:t>
      </w:r>
      <w:r>
        <w:rPr>
          <w:rFonts w:hint="eastAsia" w:ascii="仿宋_GB2312" w:hAnsi="仿宋_GB2312" w:eastAsia="仿宋_GB2312" w:cs="仿宋_GB2312"/>
          <w:color w:val="auto"/>
          <w:kern w:val="0"/>
          <w:sz w:val="32"/>
          <w:szCs w:val="32"/>
          <w:highlight w:val="none"/>
          <w:lang w:val="en-US" w:eastAsia="zh-CN"/>
        </w:rPr>
        <w:t>登录</w:t>
      </w:r>
      <w:r>
        <w:rPr>
          <w:rFonts w:hint="eastAsia" w:ascii="仿宋_GB2312" w:hAnsi="仿宋_GB2312" w:eastAsia="仿宋_GB2312" w:cs="仿宋_GB2312"/>
          <w:color w:val="auto"/>
          <w:kern w:val="0"/>
          <w:sz w:val="32"/>
          <w:szCs w:val="32"/>
          <w:highlight w:val="none"/>
        </w:rPr>
        <w:t>平台前，须前往平台免费注册，注册成功且完善相关信息后，可以及时参与平台上所有发布的项目；</w:t>
      </w:r>
    </w:p>
    <w:p w14:paraId="5AACB43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平台网站首页“帮助中心”提供操作手册，下载者可以下载并根据操作手册提示进行注册、登录等操作。平台咨询电话为：400-828-9082。平台会通过短信提醒下载者进行注册、支付、下载等操作；</w:t>
      </w:r>
    </w:p>
    <w:p w14:paraId="7A224403">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tabs>
          <w:tab w:val="left" w:pos="1680"/>
        </w:tabs>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w:t>
      </w:r>
      <w:r>
        <w:rPr>
          <w:rFonts w:hint="eastAsia" w:ascii="仿宋_GB2312" w:hAnsi="仿宋_GB2312" w:eastAsia="仿宋_GB2312" w:cs="仿宋_GB2312"/>
          <w:bCs/>
          <w:color w:val="auto"/>
          <w:kern w:val="0"/>
          <w:sz w:val="32"/>
          <w:szCs w:val="32"/>
          <w:highlight w:val="none"/>
          <w:u w:val="single"/>
          <w:lang w:val="en-US" w:eastAsia="zh-CN"/>
        </w:rPr>
        <w:t>6</w:t>
      </w:r>
      <w:r>
        <w:rPr>
          <w:rFonts w:hint="eastAsia" w:ascii="仿宋_GB2312" w:hAnsi="仿宋_GB2312" w:eastAsia="仿宋_GB2312" w:cs="仿宋_GB2312"/>
          <w:bCs/>
          <w:color w:val="auto"/>
          <w:kern w:val="0"/>
          <w:sz w:val="32"/>
          <w:szCs w:val="32"/>
          <w:highlight w:val="none"/>
          <w:u w:val="single"/>
          <w:lang w:eastAsia="zh-CN"/>
        </w:rPr>
        <w:t>年</w:t>
      </w:r>
      <w:r>
        <w:rPr>
          <w:rFonts w:hint="eastAsia" w:ascii="仿宋_GB2312" w:hAnsi="仿宋_GB2312" w:eastAsia="仿宋_GB2312" w:cs="仿宋_GB2312"/>
          <w:bCs/>
          <w:color w:val="auto"/>
          <w:kern w:val="0"/>
          <w:sz w:val="32"/>
          <w:szCs w:val="32"/>
          <w:highlight w:val="none"/>
          <w:u w:val="single"/>
          <w:lang w:val="en-US" w:eastAsia="zh-CN"/>
        </w:rPr>
        <w:t>1</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12</w:t>
      </w:r>
      <w:r>
        <w:rPr>
          <w:rFonts w:hint="eastAsia" w:ascii="仿宋_GB2312" w:hAnsi="仿宋_GB2312" w:eastAsia="仿宋_GB2312" w:cs="仿宋_GB2312"/>
          <w:bCs/>
          <w:color w:val="auto"/>
          <w:kern w:val="0"/>
          <w:sz w:val="32"/>
          <w:szCs w:val="32"/>
          <w:highlight w:val="none"/>
          <w:u w:val="single"/>
          <w:lang w:eastAsia="zh-CN"/>
        </w:rPr>
        <w:t>日14时00分（北京时间）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tabs>
          <w:tab w:val="left" w:pos="1680"/>
        </w:tabs>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5.2地点：常州市木梳路12号（江苏城乡建设职业学院清潭校区院内2号楼5楼</w:t>
      </w:r>
      <w:r>
        <w:rPr>
          <w:rFonts w:hint="eastAsia" w:ascii="仿宋_GB2312" w:hAnsi="仿宋_GB2312" w:eastAsia="仿宋_GB2312" w:cs="仿宋_GB2312"/>
          <w:bCs/>
          <w:color w:val="auto"/>
          <w:kern w:val="0"/>
          <w:sz w:val="32"/>
          <w:szCs w:val="32"/>
          <w:highlight w:val="none"/>
          <w:lang w:val="en-US" w:eastAsia="zh-CN"/>
        </w:rPr>
        <w:t>开标</w:t>
      </w:r>
      <w:r>
        <w:rPr>
          <w:rFonts w:hint="eastAsia" w:ascii="仿宋_GB2312" w:hAnsi="仿宋_GB2312" w:eastAsia="仿宋_GB2312" w:cs="仿宋_GB2312"/>
          <w:bCs/>
          <w:color w:val="auto"/>
          <w:kern w:val="0"/>
          <w:sz w:val="32"/>
          <w:szCs w:val="32"/>
          <w:highlight w:val="none"/>
        </w:rPr>
        <w:t xml:space="preserve">室）。 </w:t>
      </w:r>
    </w:p>
    <w:p w14:paraId="07BAA67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tabs>
          <w:tab w:val="left" w:pos="1680"/>
        </w:tabs>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tabs>
          <w:tab w:val="left" w:pos="1680"/>
        </w:tabs>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5D4AF001">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网站、E交易平台网站、江苏城建校工程咨询网上发布。</w:t>
      </w:r>
    </w:p>
    <w:p w14:paraId="24EC6271">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 xml:space="preserve">九、联系方式 </w:t>
      </w:r>
      <w:r>
        <w:rPr>
          <w:rFonts w:hint="eastAsia" w:ascii="宋体" w:hAnsi="宋体" w:cs="宋体"/>
          <w:color w:val="auto"/>
          <w:kern w:val="0"/>
          <w:sz w:val="24"/>
          <w:highlight w:val="none"/>
        </w:rPr>
        <w:t xml:space="preserve">                      </w:t>
      </w:r>
    </w:p>
    <w:tbl>
      <w:tblPr>
        <w:tblStyle w:val="10"/>
        <w:tblW w:w="10031" w:type="dxa"/>
        <w:tblInd w:w="0" w:type="dxa"/>
        <w:tblLayout w:type="autofit"/>
        <w:tblCellMar>
          <w:top w:w="0" w:type="dxa"/>
          <w:left w:w="108" w:type="dxa"/>
          <w:bottom w:w="0" w:type="dxa"/>
          <w:right w:w="108" w:type="dxa"/>
        </w:tblCellMar>
      </w:tblPr>
      <w:tblGrid>
        <w:gridCol w:w="4558"/>
        <w:gridCol w:w="5473"/>
      </w:tblGrid>
      <w:tr w14:paraId="286D51F0">
        <w:tblPrEx>
          <w:tblCellMar>
            <w:top w:w="0" w:type="dxa"/>
            <w:left w:w="108" w:type="dxa"/>
            <w:bottom w:w="0" w:type="dxa"/>
            <w:right w:w="108" w:type="dxa"/>
          </w:tblCellMar>
        </w:tblPrEx>
        <w:trPr>
          <w:trHeight w:val="454" w:hRule="atLeast"/>
        </w:trPr>
        <w:tc>
          <w:tcPr>
            <w:tcW w:w="4558" w:type="dxa"/>
            <w:noWrap w:val="0"/>
            <w:vAlign w:val="top"/>
          </w:tcPr>
          <w:p w14:paraId="7FB8A1B2">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常州上韬科技发展有限公司</w:t>
            </w:r>
          </w:p>
        </w:tc>
        <w:tc>
          <w:tcPr>
            <w:tcW w:w="5473" w:type="dxa"/>
            <w:noWrap w:val="0"/>
            <w:vAlign w:val="top"/>
          </w:tcPr>
          <w:p w14:paraId="2C805F66">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lang w:eastAsia="zh-CN" w:bidi="ar"/>
              </w:rPr>
              <w:t>江苏城建校工程咨询有限公司</w:t>
            </w:r>
          </w:p>
        </w:tc>
      </w:tr>
      <w:tr w14:paraId="2CA2EADD">
        <w:tblPrEx>
          <w:tblCellMar>
            <w:top w:w="0" w:type="dxa"/>
            <w:left w:w="108" w:type="dxa"/>
            <w:bottom w:w="0" w:type="dxa"/>
            <w:right w:w="108" w:type="dxa"/>
          </w:tblCellMar>
        </w:tblPrEx>
        <w:trPr>
          <w:trHeight w:val="454" w:hRule="atLeast"/>
        </w:trPr>
        <w:tc>
          <w:tcPr>
            <w:tcW w:w="4558" w:type="dxa"/>
            <w:noWrap w:val="0"/>
            <w:vAlign w:val="top"/>
          </w:tcPr>
          <w:p w14:paraId="3D3658EF">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473" w:type="dxa"/>
            <w:noWrap w:val="0"/>
            <w:vAlign w:val="top"/>
          </w:tcPr>
          <w:p w14:paraId="519885DF">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地址：常州市清潭路85-2号302室</w:t>
            </w:r>
          </w:p>
        </w:tc>
      </w:tr>
      <w:tr w14:paraId="4C431DAB">
        <w:tblPrEx>
          <w:tblCellMar>
            <w:top w:w="0" w:type="dxa"/>
            <w:left w:w="108" w:type="dxa"/>
            <w:bottom w:w="0" w:type="dxa"/>
            <w:right w:w="108" w:type="dxa"/>
          </w:tblCellMar>
        </w:tblPrEx>
        <w:trPr>
          <w:trHeight w:val="467" w:hRule="atLeast"/>
        </w:trPr>
        <w:tc>
          <w:tcPr>
            <w:tcW w:w="4558" w:type="dxa"/>
            <w:noWrap w:val="0"/>
            <w:vAlign w:val="top"/>
          </w:tcPr>
          <w:p w14:paraId="716113D1">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eastAsia="zh-CN" w:bidi="ar"/>
              </w:rPr>
              <w:t>顾女士</w:t>
            </w:r>
          </w:p>
        </w:tc>
        <w:tc>
          <w:tcPr>
            <w:tcW w:w="5473" w:type="dxa"/>
            <w:noWrap w:val="0"/>
            <w:vAlign w:val="top"/>
          </w:tcPr>
          <w:p w14:paraId="3ABC14E6">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联系人：薛工</w:t>
            </w:r>
          </w:p>
        </w:tc>
      </w:tr>
      <w:tr w14:paraId="446F4779">
        <w:tblPrEx>
          <w:tblCellMar>
            <w:top w:w="0" w:type="dxa"/>
            <w:left w:w="108" w:type="dxa"/>
            <w:bottom w:w="0" w:type="dxa"/>
            <w:right w:w="108" w:type="dxa"/>
          </w:tblCellMar>
        </w:tblPrEx>
        <w:trPr>
          <w:trHeight w:val="454" w:hRule="atLeast"/>
        </w:trPr>
        <w:tc>
          <w:tcPr>
            <w:tcW w:w="4558" w:type="dxa"/>
            <w:noWrap w:val="0"/>
            <w:vAlign w:val="top"/>
          </w:tcPr>
          <w:p w14:paraId="1D7D5B40">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473" w:type="dxa"/>
            <w:noWrap w:val="0"/>
            <w:vAlign w:val="top"/>
          </w:tcPr>
          <w:p w14:paraId="525FE5A2">
            <w:pPr>
              <w:keepNext w:val="0"/>
              <w:keepLines w:val="0"/>
              <w:pageBreakBefore w:val="0"/>
              <w:widowControl w:val="0"/>
              <w:tabs>
                <w:tab w:val="left" w:pos="1680"/>
              </w:tabs>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val="zh-CN" w:bidi="ar"/>
              </w:rPr>
              <w:t>0519-86908235-8</w:t>
            </w:r>
            <w:r>
              <w:rPr>
                <w:rFonts w:hint="eastAsia" w:ascii="仿宋_GB2312" w:hAnsi="仿宋_GB2312" w:eastAsia="仿宋_GB2312" w:cs="仿宋_GB2312"/>
                <w:bCs/>
                <w:color w:val="auto"/>
                <w:sz w:val="32"/>
                <w:szCs w:val="32"/>
                <w:highlight w:val="none"/>
                <w:lang w:bidi="ar"/>
              </w:rPr>
              <w:t>302</w:t>
            </w:r>
          </w:p>
        </w:tc>
      </w:tr>
    </w:tbl>
    <w:p w14:paraId="75076962">
      <w:pPr>
        <w:keepNext w:val="0"/>
        <w:keepLines w:val="0"/>
        <w:pageBreakBefore w:val="0"/>
        <w:tabs>
          <w:tab w:val="left" w:pos="1680"/>
        </w:tabs>
        <w:kinsoku/>
        <w:wordWrap/>
        <w:overflowPunct/>
        <w:topLinePunct w:val="0"/>
        <w:bidi w:val="0"/>
        <w:spacing w:line="560" w:lineRule="exact"/>
        <w:ind w:left="0" w:leftChars="0" w:right="0" w:rightChars="0" w:firstLine="562" w:firstLineChars="200"/>
        <w:rPr>
          <w:rFonts w:ascii="宋体" w:hAnsi="宋体" w:cs="Arial"/>
          <w:b/>
          <w:bCs/>
          <w:color w:val="auto"/>
          <w:kern w:val="0"/>
          <w:sz w:val="28"/>
          <w:szCs w:val="28"/>
          <w:highlight w:val="none"/>
        </w:rPr>
      </w:pPr>
    </w:p>
    <w:p w14:paraId="326BA725">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bookmarkStart w:id="0" w:name="_Toc522797139"/>
      <w:bookmarkStart w:id="1" w:name="_Toc32718"/>
      <w:bookmarkStart w:id="2" w:name="_Toc389065130"/>
      <w:r>
        <w:rPr>
          <w:rFonts w:hint="eastAsia" w:ascii="仿宋_GB2312" w:hAnsi="仿宋_GB2312" w:eastAsia="仿宋_GB2312" w:cs="仿宋_GB2312"/>
          <w:bCs/>
          <w:color w:val="auto"/>
          <w:sz w:val="32"/>
          <w:szCs w:val="32"/>
          <w:highlight w:val="none"/>
          <w:lang w:eastAsia="zh-CN" w:bidi="ar"/>
        </w:rPr>
        <w:t>友情提醒：</w:t>
      </w:r>
    </w:p>
    <w:bookmarkEnd w:id="0"/>
    <w:bookmarkEnd w:id="1"/>
    <w:bookmarkEnd w:id="2"/>
    <w:p w14:paraId="3D2B3B1B">
      <w:pPr>
        <w:keepNext w:val="0"/>
        <w:keepLines w:val="0"/>
        <w:pageBreakBefore w:val="0"/>
        <w:widowControl w:val="0"/>
        <w:tabs>
          <w:tab w:val="left" w:pos="1680"/>
        </w:tabs>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w:t>
      </w:r>
      <w:r>
        <w:rPr>
          <w:rFonts w:hint="eastAsia" w:ascii="仿宋_GB2312" w:hAnsi="仿宋_GB2312" w:eastAsia="仿宋_GB2312" w:cs="仿宋_GB2312"/>
          <w:bCs/>
          <w:color w:val="auto"/>
          <w:sz w:val="32"/>
          <w:szCs w:val="32"/>
          <w:highlight w:val="none"/>
          <w:lang w:bidi="ar"/>
        </w:rPr>
        <w:t>江苏城建校工程咨询网</w:t>
      </w:r>
      <w:r>
        <w:rPr>
          <w:rFonts w:hint="eastAsia" w:ascii="仿宋_GB2312" w:hAnsi="仿宋_GB2312" w:eastAsia="仿宋_GB2312" w:cs="仿宋_GB2312"/>
          <w:bCs/>
          <w:color w:val="auto"/>
          <w:sz w:val="32"/>
          <w:szCs w:val="32"/>
          <w:highlight w:val="none"/>
          <w:lang w:eastAsia="zh-CN" w:bidi="ar"/>
        </w:rPr>
        <w:t>、E交易网。</w:t>
      </w:r>
    </w:p>
    <w:p w14:paraId="6415661A">
      <w:pPr>
        <w:keepNext w:val="0"/>
        <w:keepLines w:val="0"/>
        <w:pageBreakBefore w:val="0"/>
        <w:widowControl w:val="0"/>
        <w:tabs>
          <w:tab w:val="left" w:pos="1680"/>
        </w:tabs>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31B1BADD">
      <w:pPr>
        <w:keepNext w:val="0"/>
        <w:keepLines w:val="0"/>
        <w:pageBreakBefore w:val="0"/>
        <w:widowControl w:val="0"/>
        <w:tabs>
          <w:tab w:val="left" w:pos="1680"/>
        </w:tabs>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56D32D05">
      <w:pPr>
        <w:keepNext w:val="0"/>
        <w:keepLines w:val="0"/>
        <w:pageBreakBefore w:val="0"/>
        <w:widowControl w:val="0"/>
        <w:tabs>
          <w:tab w:val="left" w:pos="1680"/>
        </w:tabs>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4．本工程的图纸设计单位不得参与投标。</w:t>
      </w:r>
    </w:p>
    <w:p w14:paraId="48A5C81E">
      <w:pPr>
        <w:keepNext w:val="0"/>
        <w:keepLines w:val="0"/>
        <w:pageBreakBefore w:val="0"/>
        <w:widowControl w:val="0"/>
        <w:tabs>
          <w:tab w:val="left" w:pos="1680"/>
        </w:tabs>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default"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val="en-US" w:eastAsia="zh-CN" w:bidi="ar"/>
        </w:rPr>
        <w:t>5．</w:t>
      </w:r>
      <w:r>
        <w:rPr>
          <w:rFonts w:hint="eastAsia" w:ascii="仿宋_GB2312" w:hAnsi="仿宋_GB2312" w:eastAsia="仿宋_GB2312" w:cs="仿宋_GB2312"/>
          <w:bCs/>
          <w:color w:val="auto"/>
          <w:sz w:val="32"/>
          <w:szCs w:val="32"/>
          <w:highlight w:val="none"/>
          <w:lang w:eastAsia="zh-CN" w:bidi="ar"/>
        </w:rPr>
        <w:t>监督办公室：合规管理部/纪委办公室，投诉监督电话：0519-81808706。</w:t>
      </w:r>
    </w:p>
    <w:p w14:paraId="1884E3C7">
      <w:pPr>
        <w:tabs>
          <w:tab w:val="left" w:pos="1680"/>
        </w:tabs>
        <w:rPr>
          <w:rFonts w:hint="eastAsia" w:ascii="黑体" w:hAnsi="宋体" w:eastAsia="黑体" w:cs="黑体"/>
          <w:bCs/>
          <w:color w:val="auto"/>
          <w:sz w:val="32"/>
          <w:szCs w:val="32"/>
          <w:highlight w:val="none"/>
          <w:lang w:bidi="ar"/>
        </w:rPr>
      </w:pPr>
    </w:p>
    <w:p w14:paraId="0DCD81C6">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01F14C7">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0D1B3C37">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13F5B6E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0FE5ED91">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5AFC770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26E9921A">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10CF02CD">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6．投标项目负责人必须为投标企业的正式在职职工，具备建设工程质量检测人员岗位合格证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或建设工程质量检测人员检测技术培训合格证书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1FAE111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7．外地检测单位须办理备案登记手续，提供“常州市《外地进常检测单位信用管理登记表》”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xml:space="preserve"> </w:t>
      </w:r>
    </w:p>
    <w:p w14:paraId="2B36D78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r>
        <w:rPr>
          <w:rFonts w:hint="eastAsia" w:ascii="仿宋_GB2312" w:hAnsi="仿宋_GB2312" w:eastAsia="仿宋_GB2312" w:cs="仿宋_GB2312"/>
          <w:color w:val="auto"/>
          <w:sz w:val="32"/>
          <w:szCs w:val="32"/>
          <w:highlight w:val="none"/>
          <w:lang w:eastAsia="zh-CN"/>
        </w:rPr>
        <w:t>；</w:t>
      </w:r>
    </w:p>
    <w:p w14:paraId="4EB12F95">
      <w:pPr>
        <w:keepNext w:val="0"/>
        <w:keepLines w:val="0"/>
        <w:pageBreakBefore w:val="0"/>
        <w:tabs>
          <w:tab w:val="left" w:pos="1680"/>
        </w:tabs>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 xml:space="preserve">．投标人不得存在下列情形之一： </w:t>
      </w:r>
    </w:p>
    <w:p w14:paraId="6BED8A9B">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184AF83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048B958F">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429B9FE8">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76E93D96">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472D9579">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16BEC6C3">
      <w:pPr>
        <w:keepNext w:val="0"/>
        <w:keepLines w:val="0"/>
        <w:pageBreakBefore w:val="0"/>
        <w:tabs>
          <w:tab w:val="left" w:pos="1680"/>
        </w:tabs>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16FA374F">
      <w:pPr>
        <w:keepNext w:val="0"/>
        <w:keepLines w:val="0"/>
        <w:pageBreakBefore w:val="0"/>
        <w:tabs>
          <w:tab w:val="left" w:pos="1680"/>
        </w:tabs>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投标人近3年（自投标截止日期往前推算）内有行贿犯罪行为且被记录，或者法定代表人、项目负责人有行贿犯罪记录且自记录之日起未超过5年（自投标截止日期往前推算）的</w:t>
      </w:r>
      <w:r>
        <w:rPr>
          <w:rFonts w:hint="eastAsia" w:ascii="仿宋_GB2312" w:hAnsi="仿宋_GB2312" w:eastAsia="仿宋_GB2312" w:cs="仿宋_GB2312"/>
          <w:color w:val="auto"/>
          <w:kern w:val="0"/>
          <w:sz w:val="32"/>
          <w:szCs w:val="32"/>
          <w:highlight w:val="none"/>
        </w:rPr>
        <w:t>。</w:t>
      </w:r>
    </w:p>
    <w:p w14:paraId="1DE95587">
      <w:pPr>
        <w:keepNext w:val="0"/>
        <w:keepLines w:val="0"/>
        <w:pageBreakBefore w:val="0"/>
        <w:tabs>
          <w:tab w:val="left" w:pos="1680"/>
        </w:tabs>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．符合法律、法规规定的其他条件。</w:t>
      </w:r>
    </w:p>
    <w:p w14:paraId="61EA3C39">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016F9C32">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0EF72D87">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投标</w:t>
      </w:r>
      <w:r>
        <w:rPr>
          <w:rFonts w:hint="eastAsia" w:ascii="仿宋_GB2312" w:hAnsi="仿宋_GB2312" w:eastAsia="仿宋_GB2312" w:cs="仿宋_GB2312"/>
          <w:color w:val="000000"/>
          <w:sz w:val="32"/>
          <w:szCs w:val="32"/>
          <w:highlight w:val="none"/>
          <w:lang w:val="en-US" w:eastAsia="zh-CN"/>
        </w:rPr>
        <w:t>项目负责人</w:t>
      </w:r>
      <w:r>
        <w:rPr>
          <w:rFonts w:hint="eastAsia" w:ascii="仿宋_GB2312" w:hAnsi="仿宋_GB2312" w:eastAsia="仿宋_GB2312" w:cs="仿宋_GB2312"/>
          <w:color w:val="000000"/>
          <w:sz w:val="32"/>
          <w:szCs w:val="32"/>
          <w:highlight w:val="none"/>
        </w:rPr>
        <w:t>建设工程质量检测人员岗位合格证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或建设工程质量检测人员检测技术培训合格证书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14:paraId="76DD5330">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企业营业执照（副本）；企业资质等级证书（副本）；</w:t>
      </w:r>
    </w:p>
    <w:p w14:paraId="009932E8">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提供投标</w:t>
      </w:r>
      <w:r>
        <w:rPr>
          <w:rFonts w:hint="eastAsia" w:ascii="仿宋_GB2312" w:hAnsi="仿宋_GB2312" w:eastAsia="仿宋_GB2312" w:cs="仿宋_GB2312"/>
          <w:color w:val="000000"/>
          <w:sz w:val="32"/>
          <w:szCs w:val="32"/>
          <w:highlight w:val="none"/>
          <w:lang w:val="en-US" w:eastAsia="zh-CN"/>
        </w:rPr>
        <w:t>项目负责人</w:t>
      </w:r>
      <w:r>
        <w:rPr>
          <w:rFonts w:hint="eastAsia" w:ascii="仿宋_GB2312" w:hAnsi="仿宋_GB2312" w:eastAsia="仿宋_GB2312" w:cs="仿宋_GB2312"/>
          <w:color w:val="000000"/>
          <w:sz w:val="32"/>
          <w:szCs w:val="32"/>
          <w:highlight w:val="none"/>
        </w:rPr>
        <w:t>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highlight w:val="none"/>
          <w:lang w:eastAsia="zh-CN"/>
        </w:rPr>
        <w:t>202</w:t>
      </w: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lang w:eastAsia="zh-CN"/>
        </w:rPr>
        <w:t>年</w:t>
      </w:r>
      <w:r>
        <w:rPr>
          <w:rFonts w:hint="eastAsia" w:ascii="仿宋_GB2312" w:hAnsi="仿宋_GB2312" w:eastAsia="仿宋_GB2312" w:cs="仿宋_GB2312"/>
          <w:b/>
          <w:bCs/>
          <w:color w:val="000000"/>
          <w:sz w:val="32"/>
          <w:szCs w:val="32"/>
          <w:highlight w:val="none"/>
          <w:lang w:val="en-US" w:eastAsia="zh-CN"/>
        </w:rPr>
        <w:t>10</w:t>
      </w:r>
      <w:r>
        <w:rPr>
          <w:rFonts w:hint="eastAsia" w:ascii="仿宋_GB2312" w:hAnsi="仿宋_GB2312" w:eastAsia="仿宋_GB2312" w:cs="仿宋_GB2312"/>
          <w:b/>
          <w:bCs/>
          <w:color w:val="000000"/>
          <w:sz w:val="32"/>
          <w:szCs w:val="32"/>
          <w:highlight w:val="none"/>
          <w:lang w:eastAsia="zh-CN"/>
        </w:rPr>
        <w:t>月至202</w:t>
      </w: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lang w:eastAsia="zh-CN"/>
        </w:rPr>
        <w:t>年</w:t>
      </w:r>
      <w:r>
        <w:rPr>
          <w:rFonts w:hint="eastAsia" w:ascii="仿宋_GB2312" w:hAnsi="仿宋_GB2312" w:eastAsia="仿宋_GB2312" w:cs="仿宋_GB2312"/>
          <w:b/>
          <w:bCs/>
          <w:color w:val="000000"/>
          <w:sz w:val="32"/>
          <w:szCs w:val="32"/>
          <w:highlight w:val="none"/>
          <w:lang w:val="en-US" w:eastAsia="zh-CN"/>
        </w:rPr>
        <w:t>12</w:t>
      </w:r>
      <w:r>
        <w:rPr>
          <w:rFonts w:hint="eastAsia" w:ascii="仿宋_GB2312" w:hAnsi="仿宋_GB2312" w:eastAsia="仿宋_GB2312" w:cs="仿宋_GB2312"/>
          <w:b/>
          <w:bCs/>
          <w:color w:val="000000"/>
          <w:sz w:val="32"/>
          <w:szCs w:val="32"/>
          <w:highlight w:val="none"/>
          <w:lang w:eastAsia="zh-CN"/>
        </w:rPr>
        <w:t>月</w:t>
      </w:r>
      <w:r>
        <w:rPr>
          <w:rFonts w:hint="eastAsia" w:ascii="仿宋_GB2312" w:hAnsi="仿宋_GB2312" w:eastAsia="仿宋_GB2312" w:cs="仿宋_GB2312"/>
          <w:color w:val="000000"/>
          <w:sz w:val="32"/>
          <w:szCs w:val="32"/>
          <w:highlight w:val="none"/>
        </w:rPr>
        <w:t>连续三个月</w:t>
      </w:r>
      <w:r>
        <w:rPr>
          <w:rFonts w:hint="eastAsia" w:ascii="仿宋_GB2312" w:hAnsi="仿宋_GB2312" w:eastAsia="仿宋_GB2312" w:cs="仿宋_GB2312"/>
          <w:b/>
          <w:bCs/>
          <w:color w:val="000000"/>
          <w:sz w:val="32"/>
          <w:szCs w:val="32"/>
          <w:highlight w:val="none"/>
        </w:rPr>
        <w:t>（如为退休返聘人员须提供退休证明及返聘合同）</w:t>
      </w:r>
      <w:r>
        <w:rPr>
          <w:rFonts w:hint="eastAsia" w:ascii="仿宋_GB2312" w:hAnsi="仿宋_GB2312" w:eastAsia="仿宋_GB2312" w:cs="仿宋_GB2312"/>
          <w:color w:val="000000"/>
          <w:sz w:val="32"/>
          <w:szCs w:val="32"/>
          <w:highlight w:val="none"/>
        </w:rPr>
        <w:t>。</w:t>
      </w:r>
    </w:p>
    <w:p w14:paraId="0152CE57">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000000"/>
          <w:sz w:val="32"/>
          <w:szCs w:val="32"/>
          <w:highlight w:val="none"/>
          <w:lang w:eastAsia="zh-CN"/>
        </w:rPr>
        <w:t>202</w:t>
      </w: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lang w:eastAsia="zh-CN"/>
        </w:rPr>
        <w:t>年</w:t>
      </w:r>
      <w:r>
        <w:rPr>
          <w:rFonts w:hint="eastAsia" w:ascii="仿宋_GB2312" w:hAnsi="仿宋_GB2312" w:eastAsia="仿宋_GB2312" w:cs="仿宋_GB2312"/>
          <w:b/>
          <w:bCs/>
          <w:color w:val="000000"/>
          <w:sz w:val="32"/>
          <w:szCs w:val="32"/>
          <w:highlight w:val="none"/>
          <w:lang w:val="en-US" w:eastAsia="zh-CN"/>
        </w:rPr>
        <w:t>10</w:t>
      </w:r>
      <w:r>
        <w:rPr>
          <w:rFonts w:hint="eastAsia" w:ascii="仿宋_GB2312" w:hAnsi="仿宋_GB2312" w:eastAsia="仿宋_GB2312" w:cs="仿宋_GB2312"/>
          <w:b/>
          <w:bCs/>
          <w:color w:val="000000"/>
          <w:sz w:val="32"/>
          <w:szCs w:val="32"/>
          <w:highlight w:val="none"/>
          <w:lang w:eastAsia="zh-CN"/>
        </w:rPr>
        <w:t>月至202</w:t>
      </w: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lang w:eastAsia="zh-CN"/>
        </w:rPr>
        <w:t>年</w:t>
      </w:r>
      <w:r>
        <w:rPr>
          <w:rFonts w:hint="eastAsia" w:ascii="仿宋_GB2312" w:hAnsi="仿宋_GB2312" w:eastAsia="仿宋_GB2312" w:cs="仿宋_GB2312"/>
          <w:b/>
          <w:bCs/>
          <w:color w:val="000000"/>
          <w:sz w:val="32"/>
          <w:szCs w:val="32"/>
          <w:highlight w:val="none"/>
          <w:lang w:val="en-US" w:eastAsia="zh-CN"/>
        </w:rPr>
        <w:t>12</w:t>
      </w:r>
      <w:r>
        <w:rPr>
          <w:rFonts w:hint="eastAsia" w:ascii="仿宋_GB2312" w:hAnsi="仿宋_GB2312" w:eastAsia="仿宋_GB2312" w:cs="仿宋_GB2312"/>
          <w:b/>
          <w:bCs/>
          <w:color w:val="000000"/>
          <w:sz w:val="32"/>
          <w:szCs w:val="32"/>
          <w:highlight w:val="none"/>
          <w:lang w:eastAsia="zh-CN"/>
        </w:rPr>
        <w:t>月</w:t>
      </w:r>
      <w:r>
        <w:rPr>
          <w:rFonts w:hint="eastAsia" w:ascii="仿宋_GB2312" w:hAnsi="仿宋_GB2312" w:eastAsia="仿宋_GB2312" w:cs="仿宋_GB2312"/>
          <w:color w:val="000000"/>
          <w:sz w:val="32"/>
          <w:szCs w:val="32"/>
          <w:highlight w:val="none"/>
        </w:rPr>
        <w:t>连续三个月</w:t>
      </w:r>
      <w:r>
        <w:rPr>
          <w:rFonts w:hint="eastAsia" w:ascii="仿宋_GB2312" w:hAnsi="仿宋_GB2312" w:eastAsia="仿宋_GB2312" w:cs="仿宋_GB2312"/>
          <w:b/>
          <w:bCs/>
          <w:color w:val="000000"/>
          <w:sz w:val="32"/>
          <w:szCs w:val="32"/>
          <w:highlight w:val="none"/>
        </w:rPr>
        <w:t>（如为退休返聘人员须提供退休证明及返聘合同）</w:t>
      </w:r>
      <w:r>
        <w:rPr>
          <w:rFonts w:hint="eastAsia" w:ascii="仿宋_GB2312" w:hAnsi="仿宋_GB2312" w:eastAsia="仿宋_GB2312" w:cs="仿宋_GB2312"/>
          <w:color w:val="000000"/>
          <w:sz w:val="32"/>
          <w:szCs w:val="32"/>
          <w:highlight w:val="none"/>
        </w:rPr>
        <w:t>。</w:t>
      </w:r>
    </w:p>
    <w:p w14:paraId="62A9F432">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授权委托人本人第二代居民身份证。</w:t>
      </w:r>
    </w:p>
    <w:p w14:paraId="16E2ADDA">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投标人的法定代表人或被委托人必须携带法定代表人资格书（加盖公章、格式详见</w:t>
      </w:r>
      <w:r>
        <w:rPr>
          <w:rFonts w:hint="eastAsia" w:ascii="仿宋_GB2312" w:hAnsi="仿宋_GB2312" w:eastAsia="仿宋_GB2312" w:cs="仿宋_GB2312"/>
          <w:color w:val="000000"/>
          <w:sz w:val="32"/>
          <w:szCs w:val="32"/>
          <w:highlight w:val="none"/>
          <w:lang w:eastAsia="zh-CN"/>
        </w:rPr>
        <w:t>附件三</w:t>
      </w:r>
      <w:r>
        <w:rPr>
          <w:rFonts w:hint="eastAsia" w:ascii="仿宋_GB2312" w:hAnsi="仿宋_GB2312" w:eastAsia="仿宋_GB2312" w:cs="仿宋_GB2312"/>
          <w:color w:val="000000"/>
          <w:sz w:val="32"/>
          <w:szCs w:val="32"/>
          <w:highlight w:val="none"/>
        </w:rPr>
        <w:t>）、法定代表人授权委托书（加盖公章、法人签章、格式详见</w:t>
      </w:r>
      <w:r>
        <w:rPr>
          <w:rFonts w:hint="eastAsia" w:ascii="仿宋_GB2312" w:hAnsi="仿宋_GB2312" w:eastAsia="仿宋_GB2312" w:cs="仿宋_GB2312"/>
          <w:color w:val="000000"/>
          <w:sz w:val="32"/>
          <w:szCs w:val="32"/>
          <w:highlight w:val="none"/>
          <w:lang w:eastAsia="zh-CN"/>
        </w:rPr>
        <w:t>附件三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w:t>
      </w:r>
    </w:p>
    <w:p w14:paraId="3F1679F9">
      <w:pPr>
        <w:pStyle w:val="9"/>
        <w:keepNext w:val="0"/>
        <w:keepLines w:val="0"/>
        <w:pageBreakBefore w:val="0"/>
        <w:tabs>
          <w:tab w:val="left" w:pos="1680"/>
        </w:tabs>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4.7投标保证金缴款回单。</w:t>
      </w:r>
    </w:p>
    <w:p w14:paraId="681A59F1">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投标人信用承诺书</w:t>
      </w:r>
      <w:r>
        <w:rPr>
          <w:rFonts w:hint="eastAsia" w:ascii="仿宋_GB2312" w:hAnsi="仿宋_GB2312" w:eastAsia="仿宋_GB2312" w:cs="仿宋_GB2312"/>
          <w:color w:val="000000"/>
          <w:sz w:val="32"/>
          <w:szCs w:val="32"/>
          <w:highlight w:val="none"/>
        </w:rPr>
        <w:t>（详见</w:t>
      </w:r>
      <w:r>
        <w:rPr>
          <w:rFonts w:hint="eastAsia" w:ascii="仿宋_GB2312" w:hAnsi="仿宋_GB2312" w:eastAsia="仿宋_GB2312" w:cs="仿宋_GB2312"/>
          <w:color w:val="000000"/>
          <w:sz w:val="32"/>
          <w:szCs w:val="32"/>
          <w:highlight w:val="none"/>
          <w:lang w:eastAsia="zh-CN"/>
        </w:rPr>
        <w:t>附件四</w:t>
      </w:r>
      <w:r>
        <w:rPr>
          <w:rFonts w:hint="eastAsia" w:ascii="仿宋_GB2312" w:hAnsi="仿宋_GB2312" w:eastAsia="仿宋_GB2312" w:cs="仿宋_GB2312"/>
          <w:color w:val="000000"/>
          <w:sz w:val="32"/>
          <w:szCs w:val="32"/>
          <w:highlight w:val="none"/>
        </w:rPr>
        <w:t>）。</w:t>
      </w:r>
    </w:p>
    <w:p w14:paraId="047E8EEF">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特别提醒：</w:t>
      </w:r>
    </w:p>
    <w:p w14:paraId="54965617">
      <w:pPr>
        <w:pStyle w:val="25"/>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6C87CE6F">
      <w:pPr>
        <w:keepNext w:val="0"/>
        <w:keepLines w:val="0"/>
        <w:pageBreakBefore w:val="0"/>
        <w:widowControl/>
        <w:tabs>
          <w:tab w:val="left" w:pos="1680"/>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253A6071">
      <w:pPr>
        <w:keepNext w:val="0"/>
        <w:keepLines w:val="0"/>
        <w:pageBreakBefore w:val="0"/>
        <w:widowControl/>
        <w:tabs>
          <w:tab w:val="left" w:pos="1680"/>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 xml:space="preserve">③在规定时间内未能按上述要求提供以上资料的作资审不合格处理。 </w:t>
      </w:r>
    </w:p>
    <w:p w14:paraId="18B82735">
      <w:pPr>
        <w:keepNext w:val="0"/>
        <w:keepLines w:val="0"/>
        <w:pageBreakBefore w:val="0"/>
        <w:numPr>
          <w:ilvl w:val="0"/>
          <w:numId w:val="0"/>
        </w:numPr>
        <w:tabs>
          <w:tab w:val="left" w:pos="1680"/>
        </w:tabs>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SA"/>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3EF53CF">
      <w:pPr>
        <w:pStyle w:val="9"/>
        <w:tabs>
          <w:tab w:val="left" w:pos="1680"/>
        </w:tabs>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93252F7">
      <w:pPr>
        <w:pStyle w:val="9"/>
        <w:tabs>
          <w:tab w:val="left" w:pos="1680"/>
        </w:tabs>
        <w:ind w:firstLine="640" w:firstLineChars="200"/>
        <w:rPr>
          <w:rFonts w:hint="eastAsia" w:ascii="仿宋_GB2312" w:hAnsi="仿宋_GB2312" w:eastAsia="仿宋_GB2312" w:cs="仿宋_GB2312"/>
          <w:color w:val="000000"/>
          <w:kern w:val="2"/>
          <w:sz w:val="32"/>
          <w:szCs w:val="32"/>
          <w:highlight w:val="none"/>
          <w:lang w:val="en-US" w:eastAsia="zh-CN" w:bidi="ar-SA"/>
        </w:rPr>
      </w:pPr>
    </w:p>
    <w:p w14:paraId="7A886476">
      <w:pPr>
        <w:pStyle w:val="9"/>
        <w:numPr>
          <w:ilvl w:val="0"/>
          <w:numId w:val="0"/>
        </w:numPr>
        <w:tabs>
          <w:tab w:val="left" w:pos="1680"/>
        </w:tabs>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1FCE30B0">
      <w:pPr>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5EAC9625">
      <w:pPr>
        <w:tabs>
          <w:tab w:val="left" w:pos="1680"/>
        </w:tabs>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49886382">
      <w:pPr>
        <w:pStyle w:val="8"/>
        <w:keepNext w:val="0"/>
        <w:keepLines w:val="0"/>
        <w:pageBreakBefore w:val="0"/>
        <w:shd w:val="clear" w:color="auto" w:fill="FFFFFF"/>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本着公平、公正、公开的原则对各投标单位投标文件中的商务标等方面进行评分。具体办法如下：（共计100分） </w:t>
      </w:r>
    </w:p>
    <w:p w14:paraId="6069D49B">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第一步：投标文件能够满足招标文件的实质性要求； </w:t>
      </w:r>
    </w:p>
    <w:p w14:paraId="79AB3135">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第二步：符合性清标，商务标符合招标文件的实质性要求； </w:t>
      </w:r>
    </w:p>
    <w:p w14:paraId="6E0FC3A9">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第三步：投标报价得分。</w:t>
      </w:r>
    </w:p>
    <w:p w14:paraId="14055262">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一、投标报价（100 分） </w:t>
      </w:r>
    </w:p>
    <w:p w14:paraId="45A3B5CF">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1、确定有效投标报价。 </w:t>
      </w:r>
    </w:p>
    <w:p w14:paraId="06EDC5B6">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凡符合招标文件、招标答疑纪要等有关招标实质性要求，且在招标控制价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及以下的投标文件均为有效投标文件，未能实质性响应上述有关招标要求的投标文件为无效投标文件。 </w:t>
      </w:r>
    </w:p>
    <w:p w14:paraId="4312F429">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2、打分 </w:t>
      </w:r>
    </w:p>
    <w:p w14:paraId="1BAC367A">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以有效投标文件的最低评标价为评标基准价，评标价等于评标基准价的得满分；偏离评标基准价的，评标价相对评标基准价每高1%，扣0.3分，偏离不足1%的，按照插入法计算得分，得分保留二位小数。  </w:t>
      </w:r>
    </w:p>
    <w:p w14:paraId="74D61360">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定标办法</w:t>
      </w:r>
    </w:p>
    <w:p w14:paraId="30DAC129">
      <w:pPr>
        <w:pStyle w:val="8"/>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（1）以上得分最高者为第一中标候选人；若得分相同，则选择其中投标报价低者为中标候选人；若得分相同，投标报价也相同，当场按签到顺序抽签确定中标候选人。</w:t>
      </w:r>
    </w:p>
    <w:p w14:paraId="55068B99">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4427C8D">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79D3CC7C">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１．</w:t>
      </w:r>
      <w:r>
        <w:rPr>
          <w:rFonts w:hint="eastAsia" w:ascii="仿宋_GB2312" w:hAnsi="仿宋_GB2312" w:eastAsia="仿宋_GB2312" w:cs="仿宋_GB2312"/>
          <w:color w:val="auto"/>
          <w:sz w:val="32"/>
          <w:szCs w:val="32"/>
          <w:highlight w:val="none"/>
        </w:rPr>
        <w:t xml:space="preserve">一旦发现中标候选单位的投标建造师已有在建或已另有工程中标的，则取消其中标候选人资格，同时按相关法律法规处罚。 </w:t>
      </w:r>
    </w:p>
    <w:p w14:paraId="1188C8A9">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２．</w:t>
      </w:r>
      <w:r>
        <w:rPr>
          <w:rFonts w:hint="eastAsia" w:ascii="仿宋_GB2312" w:hAnsi="仿宋_GB2312" w:eastAsia="仿宋_GB2312" w:cs="仿宋_GB2312"/>
          <w:color w:val="auto"/>
          <w:sz w:val="32"/>
          <w:szCs w:val="32"/>
          <w:highlight w:val="none"/>
        </w:rPr>
        <w:t xml:space="preserve">一旦发现中标单位存在非法转包、转让、挂靠等行为的， 将依法进行处理 ，给招标人造成损失的，依法承担赔偿责任。 </w:t>
      </w:r>
    </w:p>
    <w:p w14:paraId="3E09B397">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３．</w:t>
      </w:r>
      <w:r>
        <w:rPr>
          <w:rFonts w:hint="eastAsia" w:ascii="仿宋_GB2312" w:hAnsi="仿宋_GB2312" w:eastAsia="仿宋_GB2312" w:cs="仿宋_GB2312"/>
          <w:color w:val="auto"/>
          <w:sz w:val="32"/>
          <w:szCs w:val="32"/>
          <w:highlight w:val="none"/>
        </w:rPr>
        <w:t>本工程招标公告中的评标细则与招标文件中的评标细则不一致时，以招标公告中的评标细则为准。</w:t>
      </w:r>
    </w:p>
    <w:p w14:paraId="6A3DA581">
      <w:pPr>
        <w:keepNext w:val="0"/>
        <w:keepLines w:val="0"/>
        <w:pageBreakBefore w:val="0"/>
        <w:widowControl w:val="0"/>
        <w:tabs>
          <w:tab w:val="left" w:pos="540"/>
          <w:tab w:val="left" w:pos="720"/>
          <w:tab w:val="left" w:pos="900"/>
          <w:tab w:val="left" w:pos="1080"/>
          <w:tab w:val="left" w:pos="16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67E3E2B8">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 w:val="left" w:pos="168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p>
    <w:p w14:paraId="14EDD8F5">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0B5A705C">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34B42C37">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             性别：          年龄：          职务：</w:t>
      </w:r>
    </w:p>
    <w:p w14:paraId="7DD4B2CB">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05EF9F01">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2909BFD2">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113FF05B">
      <w:pPr>
        <w:pStyle w:val="5"/>
        <w:keepNext w:val="0"/>
        <w:keepLines w:val="0"/>
        <w:pageBreakBefore w:val="0"/>
        <w:tabs>
          <w:tab w:val="left" w:pos="1680"/>
        </w:tabs>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0E6A9ECF">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359309C">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C2D5167">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455A67E">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230B12C">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31DB7418">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3AE49B2">
      <w:pPr>
        <w:keepNext w:val="0"/>
        <w:keepLines w:val="0"/>
        <w:pageBreakBefore w:val="0"/>
        <w:tabs>
          <w:tab w:val="left" w:pos="0"/>
          <w:tab w:val="left" w:pos="168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38A15DA6">
      <w:pPr>
        <w:keepNext w:val="0"/>
        <w:keepLines w:val="0"/>
        <w:pageBreakBefore w:val="0"/>
        <w:tabs>
          <w:tab w:val="left" w:pos="0"/>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08AA43DB">
      <w:pPr>
        <w:keepNext w:val="0"/>
        <w:keepLines w:val="0"/>
        <w:pageBreakBefore w:val="0"/>
        <w:tabs>
          <w:tab w:val="left" w:pos="0"/>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18D0F0A2">
      <w:pPr>
        <w:keepNext w:val="0"/>
        <w:keepLines w:val="0"/>
        <w:pageBreakBefore w:val="0"/>
        <w:tabs>
          <w:tab w:val="left" w:pos="0"/>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45AC1DF6">
      <w:pPr>
        <w:keepNext w:val="0"/>
        <w:keepLines w:val="0"/>
        <w:pageBreakBefore w:val="0"/>
        <w:tabs>
          <w:tab w:val="left" w:pos="0"/>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0A543072">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0A43DE1">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64FC59A6">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5CD355F5">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11C627A">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27445726">
      <w:pPr>
        <w:keepNext w:val="0"/>
        <w:keepLines w:val="0"/>
        <w:pageBreakBefore w:val="0"/>
        <w:tabs>
          <w:tab w:val="left" w:pos="1680"/>
        </w:tabs>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8C31327">
      <w:pPr>
        <w:keepNext w:val="0"/>
        <w:keepLines w:val="0"/>
        <w:pageBreakBefore w:val="0"/>
        <w:tabs>
          <w:tab w:val="left" w:pos="0"/>
          <w:tab w:val="left" w:pos="993"/>
          <w:tab w:val="left" w:pos="1134"/>
          <w:tab w:val="left" w:pos="1680"/>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highlight w:val="none"/>
        </w:rPr>
      </w:pPr>
    </w:p>
    <w:p w14:paraId="03C4FD1E">
      <w:pPr>
        <w:tabs>
          <w:tab w:val="left" w:pos="1680"/>
        </w:tabs>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644F7BA6">
      <w:pPr>
        <w:keepNext w:val="0"/>
        <w:keepLines w:val="0"/>
        <w:pageBreakBefore w:val="0"/>
        <w:widowControl w:val="0"/>
        <w:tabs>
          <w:tab w:val="left" w:pos="1680"/>
        </w:tabs>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tabs>
          <w:tab w:val="left" w:pos="1680"/>
        </w:tabs>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中录入的所有企业信息和上传的企业资料都是真实、有效、准确且合法的，没有弄虚作假的情形。</w:t>
      </w:r>
    </w:p>
    <w:p w14:paraId="6A5C51A1">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1A59609">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、在参与本项目招投标活动中，若投标人或项目负责人为失信被执行人的，自愿放弃本次投标资格。</w:t>
      </w:r>
    </w:p>
    <w:p w14:paraId="40E00A19">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、正确履行法律法规规定的投标人权利和义务，遵纪守法，清正廉洁，不徇私枉法，服从建设等行政主管部门监管，接受社会监督。</w:t>
      </w:r>
    </w:p>
    <w:p w14:paraId="30CEA936">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tabs>
          <w:tab w:val="left" w:pos="1680"/>
        </w:tabs>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3262F171">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53CD328">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FE6A166">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C474D66">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0AEB737">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1805E7D6">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04AE435">
      <w:pPr>
        <w:keepNext w:val="0"/>
        <w:keepLines w:val="0"/>
        <w:pageBreakBefore w:val="0"/>
        <w:tabs>
          <w:tab w:val="left" w:pos="168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A9AAEBB">
      <w:pPr>
        <w:keepNext w:val="0"/>
        <w:keepLines w:val="0"/>
        <w:pageBreakBefore w:val="0"/>
        <w:tabs>
          <w:tab w:val="left" w:pos="1680"/>
        </w:tabs>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rPr>
      </w:pPr>
    </w:p>
    <w:p w14:paraId="2047592D">
      <w:pPr>
        <w:keepNext w:val="0"/>
        <w:keepLines w:val="0"/>
        <w:pageBreakBefore w:val="0"/>
        <w:tabs>
          <w:tab w:val="left" w:pos="1680"/>
        </w:tabs>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055284A">
      <w:pPr>
        <w:keepNext w:val="0"/>
        <w:keepLines w:val="0"/>
        <w:pageBreakBefore w:val="0"/>
        <w:tabs>
          <w:tab w:val="left" w:pos="1680"/>
        </w:tabs>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AF596E8">
      <w:pPr>
        <w:keepNext w:val="0"/>
        <w:keepLines w:val="0"/>
        <w:pageBreakBefore w:val="0"/>
        <w:tabs>
          <w:tab w:val="left" w:pos="1680"/>
        </w:tabs>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sectPr>
      <w:footerReference r:id="rId6"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E52E">
    <w:pPr>
      <w:pStyle w:val="6"/>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14:paraId="1E8D8E9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FFF9">
    <w:pPr>
      <w:pStyle w:val="6"/>
      <w:framePr w:wrap="around" w:vAnchor="text" w:hAnchor="margin" w:xAlign="center" w:y="2"/>
      <w:rPr>
        <w:rStyle w:val="13"/>
      </w:rPr>
    </w:pPr>
    <w:r>
      <w:fldChar w:fldCharType="begin"/>
    </w:r>
    <w:r>
      <w:rPr>
        <w:rStyle w:val="13"/>
      </w:rPr>
      <w:instrText xml:space="preserve">PAGE  </w:instrText>
    </w:r>
    <w:r>
      <w:fldChar w:fldCharType="end"/>
    </w:r>
  </w:p>
  <w:p w14:paraId="0E894B1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6"/>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6"/>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E57BD48">
                    <w:pPr>
                      <w:pStyle w:val="6"/>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B51FAF"/>
    <w:rsid w:val="00C220B7"/>
    <w:rsid w:val="00F0589F"/>
    <w:rsid w:val="013851DA"/>
    <w:rsid w:val="01722330"/>
    <w:rsid w:val="018E14F6"/>
    <w:rsid w:val="01BE1198"/>
    <w:rsid w:val="029137FA"/>
    <w:rsid w:val="03647853"/>
    <w:rsid w:val="04F51273"/>
    <w:rsid w:val="054144F3"/>
    <w:rsid w:val="05CB4E38"/>
    <w:rsid w:val="06033F82"/>
    <w:rsid w:val="06236B88"/>
    <w:rsid w:val="06690735"/>
    <w:rsid w:val="068E3768"/>
    <w:rsid w:val="06940536"/>
    <w:rsid w:val="073C3880"/>
    <w:rsid w:val="08AD2EF4"/>
    <w:rsid w:val="08CC4A1B"/>
    <w:rsid w:val="090048DC"/>
    <w:rsid w:val="0A305844"/>
    <w:rsid w:val="0AC63F81"/>
    <w:rsid w:val="0BBE4019"/>
    <w:rsid w:val="0C10591B"/>
    <w:rsid w:val="0C7B72F6"/>
    <w:rsid w:val="0E96630C"/>
    <w:rsid w:val="0F362BEE"/>
    <w:rsid w:val="10495085"/>
    <w:rsid w:val="105E7254"/>
    <w:rsid w:val="10623011"/>
    <w:rsid w:val="11143BC9"/>
    <w:rsid w:val="113B44EC"/>
    <w:rsid w:val="11B81FE1"/>
    <w:rsid w:val="12396644"/>
    <w:rsid w:val="13B33406"/>
    <w:rsid w:val="1407618A"/>
    <w:rsid w:val="140A17A1"/>
    <w:rsid w:val="141E6E98"/>
    <w:rsid w:val="157C2289"/>
    <w:rsid w:val="1586742B"/>
    <w:rsid w:val="161964C6"/>
    <w:rsid w:val="168D7598"/>
    <w:rsid w:val="17251F02"/>
    <w:rsid w:val="17733366"/>
    <w:rsid w:val="191507FE"/>
    <w:rsid w:val="19694374"/>
    <w:rsid w:val="1B213295"/>
    <w:rsid w:val="1B4A3ACE"/>
    <w:rsid w:val="1B4C2CD0"/>
    <w:rsid w:val="1B565763"/>
    <w:rsid w:val="1C391C39"/>
    <w:rsid w:val="1C3D736A"/>
    <w:rsid w:val="1CB117C2"/>
    <w:rsid w:val="1D777799"/>
    <w:rsid w:val="1D7A554B"/>
    <w:rsid w:val="1DD65CC8"/>
    <w:rsid w:val="1E56319D"/>
    <w:rsid w:val="1F163E84"/>
    <w:rsid w:val="1F325180"/>
    <w:rsid w:val="1F8343DB"/>
    <w:rsid w:val="20396400"/>
    <w:rsid w:val="20480747"/>
    <w:rsid w:val="2164555B"/>
    <w:rsid w:val="218B0B78"/>
    <w:rsid w:val="219C367C"/>
    <w:rsid w:val="21DD7533"/>
    <w:rsid w:val="21FD729B"/>
    <w:rsid w:val="220B1557"/>
    <w:rsid w:val="220F26C6"/>
    <w:rsid w:val="22993263"/>
    <w:rsid w:val="24A7216D"/>
    <w:rsid w:val="24AA7A3F"/>
    <w:rsid w:val="24BB4C9A"/>
    <w:rsid w:val="25CA2B30"/>
    <w:rsid w:val="269F1681"/>
    <w:rsid w:val="26B618CC"/>
    <w:rsid w:val="27DE2FC0"/>
    <w:rsid w:val="28CA01D8"/>
    <w:rsid w:val="2A614A98"/>
    <w:rsid w:val="2C244FA1"/>
    <w:rsid w:val="2C6142AE"/>
    <w:rsid w:val="2CCF4C96"/>
    <w:rsid w:val="2E417D09"/>
    <w:rsid w:val="2EA3406A"/>
    <w:rsid w:val="2F124E51"/>
    <w:rsid w:val="2F4733FE"/>
    <w:rsid w:val="2F913390"/>
    <w:rsid w:val="2FBD0A5E"/>
    <w:rsid w:val="2FE619F1"/>
    <w:rsid w:val="30731155"/>
    <w:rsid w:val="33081F33"/>
    <w:rsid w:val="33D32CCC"/>
    <w:rsid w:val="34FD1935"/>
    <w:rsid w:val="384977AD"/>
    <w:rsid w:val="3CFD4441"/>
    <w:rsid w:val="3DDE0DD4"/>
    <w:rsid w:val="3DF8713D"/>
    <w:rsid w:val="3E0A4B97"/>
    <w:rsid w:val="3EA9688B"/>
    <w:rsid w:val="3EBA0082"/>
    <w:rsid w:val="3EFD02AE"/>
    <w:rsid w:val="3F6F2FB1"/>
    <w:rsid w:val="3FE24949"/>
    <w:rsid w:val="40774C14"/>
    <w:rsid w:val="410200B3"/>
    <w:rsid w:val="425158A3"/>
    <w:rsid w:val="42AC759A"/>
    <w:rsid w:val="42C002CF"/>
    <w:rsid w:val="44DB59F9"/>
    <w:rsid w:val="44FA347A"/>
    <w:rsid w:val="45290F50"/>
    <w:rsid w:val="452B1BAF"/>
    <w:rsid w:val="45812155"/>
    <w:rsid w:val="45AE20F3"/>
    <w:rsid w:val="48193586"/>
    <w:rsid w:val="484D176C"/>
    <w:rsid w:val="48F32012"/>
    <w:rsid w:val="4A7B65EB"/>
    <w:rsid w:val="4B751DCD"/>
    <w:rsid w:val="4D1865A3"/>
    <w:rsid w:val="4E3E6DEE"/>
    <w:rsid w:val="4E7A625A"/>
    <w:rsid w:val="4EDD74E8"/>
    <w:rsid w:val="4F020368"/>
    <w:rsid w:val="4F80608F"/>
    <w:rsid w:val="4FC43323"/>
    <w:rsid w:val="503572C0"/>
    <w:rsid w:val="511757F2"/>
    <w:rsid w:val="511D4F82"/>
    <w:rsid w:val="51B3364F"/>
    <w:rsid w:val="53CD14AB"/>
    <w:rsid w:val="55850EFA"/>
    <w:rsid w:val="55AD03B6"/>
    <w:rsid w:val="566B3D9C"/>
    <w:rsid w:val="57DA1D5C"/>
    <w:rsid w:val="57DD440B"/>
    <w:rsid w:val="57F24E68"/>
    <w:rsid w:val="58BB30A2"/>
    <w:rsid w:val="58EF4377"/>
    <w:rsid w:val="58F447C2"/>
    <w:rsid w:val="594E12AA"/>
    <w:rsid w:val="59537B91"/>
    <w:rsid w:val="5966217F"/>
    <w:rsid w:val="59C15A6E"/>
    <w:rsid w:val="59F2097D"/>
    <w:rsid w:val="5A186745"/>
    <w:rsid w:val="5AB3021C"/>
    <w:rsid w:val="5B432946"/>
    <w:rsid w:val="5BD73D3B"/>
    <w:rsid w:val="5C1473E0"/>
    <w:rsid w:val="5E137A36"/>
    <w:rsid w:val="5E5553C7"/>
    <w:rsid w:val="607C3927"/>
    <w:rsid w:val="612B684E"/>
    <w:rsid w:val="61527712"/>
    <w:rsid w:val="63176E75"/>
    <w:rsid w:val="632D5376"/>
    <w:rsid w:val="637A5646"/>
    <w:rsid w:val="639A01CB"/>
    <w:rsid w:val="63F4603A"/>
    <w:rsid w:val="63FA4B54"/>
    <w:rsid w:val="64093F70"/>
    <w:rsid w:val="651346D9"/>
    <w:rsid w:val="65923B91"/>
    <w:rsid w:val="66017F6E"/>
    <w:rsid w:val="66D90E30"/>
    <w:rsid w:val="68110444"/>
    <w:rsid w:val="68352BB8"/>
    <w:rsid w:val="68AB6990"/>
    <w:rsid w:val="69173724"/>
    <w:rsid w:val="69B047F4"/>
    <w:rsid w:val="6AA40BD1"/>
    <w:rsid w:val="6BEB5FCA"/>
    <w:rsid w:val="6BFA3EFD"/>
    <w:rsid w:val="6C0C5C58"/>
    <w:rsid w:val="6E0F2678"/>
    <w:rsid w:val="6E2C2368"/>
    <w:rsid w:val="6F257305"/>
    <w:rsid w:val="70162D6E"/>
    <w:rsid w:val="704045D3"/>
    <w:rsid w:val="70E76A1A"/>
    <w:rsid w:val="71726A12"/>
    <w:rsid w:val="72223297"/>
    <w:rsid w:val="73B75D5F"/>
    <w:rsid w:val="73E0463F"/>
    <w:rsid w:val="74231ACE"/>
    <w:rsid w:val="748553D3"/>
    <w:rsid w:val="76527987"/>
    <w:rsid w:val="773E295A"/>
    <w:rsid w:val="77B57F4F"/>
    <w:rsid w:val="77D15D7E"/>
    <w:rsid w:val="78091B5E"/>
    <w:rsid w:val="783B658D"/>
    <w:rsid w:val="787B29D0"/>
    <w:rsid w:val="78AD248D"/>
    <w:rsid w:val="7A4C17D5"/>
    <w:rsid w:val="7A7A7131"/>
    <w:rsid w:val="7C865339"/>
    <w:rsid w:val="7C907F65"/>
    <w:rsid w:val="7C98391B"/>
    <w:rsid w:val="7D64046A"/>
    <w:rsid w:val="7D8A04D8"/>
    <w:rsid w:val="7DC26768"/>
    <w:rsid w:val="7E55035C"/>
    <w:rsid w:val="7E5D61B0"/>
    <w:rsid w:val="7EB70070"/>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00" w:line="440" w:lineRule="exact"/>
      <w:ind w:right="-2" w:rightChars="-1"/>
    </w:pPr>
    <w:rPr>
      <w:rFonts w:ascii="宋体" w:hAnsi="宋体"/>
      <w:sz w:val="28"/>
    </w:rPr>
  </w:style>
  <w:style w:type="paragraph" w:styleId="3">
    <w:name w:val="Body Text Indent"/>
    <w:basedOn w:val="1"/>
    <w:next w:val="4"/>
    <w:autoRedefine/>
    <w:qFormat/>
    <w:uiPriority w:val="0"/>
    <w:pPr>
      <w:spacing w:line="360" w:lineRule="auto"/>
      <w:ind w:firstLine="570"/>
    </w:pPr>
    <w:rPr>
      <w:sz w:val="24"/>
    </w:rPr>
  </w:style>
  <w:style w:type="paragraph" w:styleId="4">
    <w:name w:val="Body Text First Indent 2"/>
    <w:basedOn w:val="1"/>
    <w:next w:val="1"/>
    <w:autoRedefine/>
    <w:qFormat/>
    <w:uiPriority w:val="99"/>
    <w:pPr>
      <w:spacing w:after="120"/>
      <w:ind w:left="420" w:leftChars="200" w:firstLine="420"/>
    </w:pPr>
    <w:rPr>
      <w:color w:val="000000"/>
      <w:sz w:val="20"/>
    </w:rPr>
  </w:style>
  <w:style w:type="paragraph" w:styleId="5">
    <w:name w:val="Plain Text"/>
    <w:basedOn w:val="1"/>
    <w:qFormat/>
    <w:uiPriority w:val="0"/>
    <w:rPr>
      <w:rFonts w:ascii="宋体" w:hAnsi="Courier New"/>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autoRedefine/>
    <w:qFormat/>
    <w:uiPriority w:val="0"/>
    <w:pPr>
      <w:ind w:firstLine="420" w:firstLineChars="100"/>
    </w:pPr>
  </w:style>
  <w:style w:type="character" w:styleId="12">
    <w:name w:val="Strong"/>
    <w:basedOn w:val="11"/>
    <w:autoRedefine/>
    <w:qFormat/>
    <w:uiPriority w:val="22"/>
    <w:rPr>
      <w:b/>
      <w:bCs/>
    </w:rPr>
  </w:style>
  <w:style w:type="character" w:styleId="13">
    <w:name w:val="page number"/>
    <w:qFormat/>
    <w:uiPriority w:val="0"/>
  </w:style>
  <w:style w:type="character" w:styleId="14">
    <w:name w:val="FollowedHyperlink"/>
    <w:basedOn w:val="11"/>
    <w:qFormat/>
    <w:uiPriority w:val="0"/>
    <w:rPr>
      <w:color w:val="800080"/>
      <w:u w:val="none"/>
    </w:rPr>
  </w:style>
  <w:style w:type="character" w:styleId="15">
    <w:name w:val="Emphasis"/>
    <w:basedOn w:val="11"/>
    <w:qFormat/>
    <w:uiPriority w:val="0"/>
  </w:style>
  <w:style w:type="character" w:styleId="16">
    <w:name w:val="HTML Definition"/>
    <w:basedOn w:val="11"/>
    <w:qFormat/>
    <w:uiPriority w:val="0"/>
  </w:style>
  <w:style w:type="character" w:styleId="17">
    <w:name w:val="HTML Typewriter"/>
    <w:basedOn w:val="11"/>
    <w:qFormat/>
    <w:uiPriority w:val="0"/>
    <w:rPr>
      <w:rFonts w:hint="default" w:ascii="monospace" w:hAnsi="monospace" w:eastAsia="monospace" w:cs="monospace"/>
      <w:sz w:val="20"/>
    </w:rPr>
  </w:style>
  <w:style w:type="character" w:styleId="18">
    <w:name w:val="HTML Acronym"/>
    <w:basedOn w:val="11"/>
    <w:qFormat/>
    <w:uiPriority w:val="0"/>
  </w:style>
  <w:style w:type="character" w:styleId="19">
    <w:name w:val="HTML Variable"/>
    <w:basedOn w:val="11"/>
    <w:qFormat/>
    <w:uiPriority w:val="0"/>
  </w:style>
  <w:style w:type="character" w:styleId="20">
    <w:name w:val="Hyperlink"/>
    <w:basedOn w:val="11"/>
    <w:autoRedefine/>
    <w:qFormat/>
    <w:uiPriority w:val="0"/>
    <w:rPr>
      <w:color w:val="0000FF"/>
      <w:u w:val="single"/>
    </w:rPr>
  </w:style>
  <w:style w:type="character" w:styleId="21">
    <w:name w:val="HTML Code"/>
    <w:basedOn w:val="11"/>
    <w:qFormat/>
    <w:uiPriority w:val="0"/>
    <w:rPr>
      <w:rFonts w:hint="default" w:ascii="monospace" w:hAnsi="monospace" w:eastAsia="monospace" w:cs="monospace"/>
      <w:sz w:val="20"/>
    </w:rPr>
  </w:style>
  <w:style w:type="character" w:styleId="22">
    <w:name w:val="HTML Cite"/>
    <w:basedOn w:val="11"/>
    <w:qFormat/>
    <w:uiPriority w:val="0"/>
  </w:style>
  <w:style w:type="character" w:styleId="23">
    <w:name w:val="HTML Keyboard"/>
    <w:basedOn w:val="11"/>
    <w:qFormat/>
    <w:uiPriority w:val="0"/>
    <w:rPr>
      <w:rFonts w:hint="default" w:ascii="monospace" w:hAnsi="monospace" w:eastAsia="monospace" w:cs="monospace"/>
      <w:sz w:val="20"/>
    </w:rPr>
  </w:style>
  <w:style w:type="character" w:styleId="24">
    <w:name w:val="HTML Sample"/>
    <w:basedOn w:val="11"/>
    <w:qFormat/>
    <w:uiPriority w:val="0"/>
    <w:rPr>
      <w:rFonts w:ascii="monospace" w:hAnsi="monospace" w:eastAsia="monospace" w:cs="monospace"/>
    </w:rPr>
  </w:style>
  <w:style w:type="paragraph" w:customStyle="1" w:styleId="25">
    <w:name w:val="p0"/>
    <w:basedOn w:val="1"/>
    <w:qFormat/>
    <w:uiPriority w:val="0"/>
    <w:pPr>
      <w:widowControl/>
    </w:pPr>
    <w:rPr>
      <w:rFonts w:ascii="Calibri" w:hAnsi="Calibri" w:cs="宋体"/>
      <w:kern w:val="0"/>
      <w:szCs w:val="21"/>
    </w:rPr>
  </w:style>
  <w:style w:type="character" w:customStyle="1" w:styleId="26">
    <w:name w:val="hour_am"/>
    <w:basedOn w:val="11"/>
    <w:qFormat/>
    <w:uiPriority w:val="0"/>
  </w:style>
  <w:style w:type="character" w:customStyle="1" w:styleId="27">
    <w:name w:val="old"/>
    <w:basedOn w:val="11"/>
    <w:qFormat/>
    <w:uiPriority w:val="0"/>
    <w:rPr>
      <w:color w:val="999999"/>
    </w:rPr>
  </w:style>
  <w:style w:type="character" w:customStyle="1" w:styleId="28">
    <w:name w:val="hover"/>
    <w:basedOn w:val="11"/>
    <w:qFormat/>
    <w:uiPriority w:val="0"/>
    <w:rPr>
      <w:shd w:val="clear" w:fill="EEEEEE"/>
    </w:rPr>
  </w:style>
  <w:style w:type="character" w:customStyle="1" w:styleId="29">
    <w:name w:val="glyphicon"/>
    <w:basedOn w:val="11"/>
    <w:qFormat/>
    <w:uiPriority w:val="0"/>
  </w:style>
  <w:style w:type="character" w:customStyle="1" w:styleId="30">
    <w:name w:val="hour_pm"/>
    <w:basedOn w:val="11"/>
    <w:qFormat/>
    <w:uiPriority w:val="0"/>
  </w:style>
  <w:style w:type="character" w:customStyle="1" w:styleId="31">
    <w:name w:val="layui-layer-tabnow"/>
    <w:basedOn w:val="11"/>
    <w:qFormat/>
    <w:uiPriority w:val="0"/>
    <w:rPr>
      <w:bdr w:val="single" w:color="CCCCCC" w:sz="6" w:space="0"/>
      <w:shd w:val="clear" w:fill="FFFFFF"/>
    </w:rPr>
  </w:style>
  <w:style w:type="character" w:customStyle="1" w:styleId="32">
    <w:name w:val="first-child"/>
    <w:basedOn w:val="11"/>
    <w:qFormat/>
    <w:uiPriority w:val="0"/>
  </w:style>
  <w:style w:type="character" w:customStyle="1" w:styleId="33">
    <w:name w:val="hover2"/>
    <w:basedOn w:val="11"/>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4646</Words>
  <Characters>4838</Characters>
  <Lines>19</Lines>
  <Paragraphs>5</Paragraphs>
  <TotalTime>9</TotalTime>
  <ScaleCrop>false</ScaleCrop>
  <LinksUpToDate>false</LinksUpToDate>
  <CharactersWithSpaces>5110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2025-12-31T02:34:10Z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30DFBBEFDA054CBEA4BC7E67B39467C5_13</vt:lpwstr>
  </property>
  <property fmtid="{D5CDD505-2E9C-101B-9397-08002B2CF9AE}" pid="4" name="KSOTemplateDocerSaveRecord">
    <vt:lpwstr>eyJoZGlkIjoiMTk5ZTE3MzAzZDMyNmQ3YzE5NzdiMDEyMjMzYzc3ODgiLCJ1c2VySWQiOiIzNzkyODY0MjUifQ==</vt:lpwstr>
  </property>
</Properties>
</file>