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学生用品</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02A2CFDD">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Times New Roman"/>
          <w:b w:val="0"/>
          <w:bCs w:val="0"/>
        </w:rPr>
        <w:t>总体情况</w:t>
      </w:r>
    </w:p>
    <w:p w14:paraId="53191CC9">
      <w:pPr>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w:t>
      </w:r>
      <w:r>
        <w:rPr>
          <w:rFonts w:hint="eastAsia" w:ascii="仿宋_GB2312" w:hAnsi="宋体" w:eastAsia="仿宋_GB2312"/>
          <w:sz w:val="32"/>
          <w:szCs w:val="32"/>
          <w:lang w:eastAsia="zh-CN"/>
        </w:rPr>
        <w:t>常州市新北区</w:t>
      </w:r>
      <w:r>
        <w:rPr>
          <w:rFonts w:hint="eastAsia" w:ascii="仿宋_GB2312" w:hAnsi="宋体" w:eastAsia="仿宋_GB2312"/>
          <w:sz w:val="32"/>
          <w:szCs w:val="32"/>
        </w:rPr>
        <w:t>市场监管局</w:t>
      </w:r>
      <w:r>
        <w:rPr>
          <w:rFonts w:hint="eastAsia" w:ascii="仿宋" w:hAnsi="仿宋" w:eastAsia="仿宋" w:cs="仿宋"/>
          <w:sz w:val="32"/>
          <w:szCs w:val="32"/>
          <w:lang w:val="en-US" w:eastAsia="zh-CN" w:bidi="ar-SA"/>
        </w:rPr>
        <w:t>委托斯坦德检测集团股份有限公司研究院对学生用品开展定期监督抽查。</w:t>
      </w:r>
      <w:r>
        <w:rPr>
          <w:rFonts w:hint="eastAsia" w:ascii="仿宋_GB2312" w:hAnsi="宋体" w:eastAsia="仿宋_GB2312"/>
          <w:sz w:val="32"/>
          <w:szCs w:val="32"/>
        </w:rPr>
        <w:t>本次监督抽查对象为销售</w:t>
      </w:r>
      <w:r>
        <w:rPr>
          <w:rFonts w:hint="eastAsia" w:ascii="仿宋_GB2312" w:hAnsi="宋体" w:eastAsia="仿宋_GB2312"/>
          <w:sz w:val="32"/>
          <w:szCs w:val="32"/>
          <w:lang w:eastAsia="zh-CN"/>
        </w:rPr>
        <w:t>学生用品</w:t>
      </w:r>
      <w:r>
        <w:rPr>
          <w:rFonts w:hint="eastAsia" w:ascii="仿宋_GB2312" w:hAnsi="宋体" w:eastAsia="仿宋_GB2312"/>
          <w:sz w:val="32"/>
          <w:szCs w:val="32"/>
        </w:rPr>
        <w:t>实体店，检测依据为</w:t>
      </w:r>
      <w:r>
        <w:rPr>
          <w:rFonts w:hint="eastAsia" w:ascii="仿宋_GB2312" w:hAnsi="宋体" w:eastAsia="仿宋_GB2312"/>
          <w:sz w:val="32"/>
          <w:szCs w:val="32"/>
          <w:lang w:eastAsia="zh-CN"/>
        </w:rPr>
        <w:t>：</w:t>
      </w:r>
      <w:r>
        <w:rPr>
          <w:rFonts w:hint="eastAsia" w:ascii="仿宋_GB2312" w:hAnsi="宋体" w:eastAsia="仿宋_GB2312"/>
          <w:sz w:val="32"/>
          <w:szCs w:val="32"/>
        </w:rPr>
        <w:t>GB 21027-2020《学生用品的安全通用要求》、GB 40070-2021《儿童青少年学习用品近视防控卫生要求》、QB/T 1437-20</w:t>
      </w:r>
      <w:r>
        <w:rPr>
          <w:rFonts w:hint="eastAsia" w:ascii="仿宋_GB2312" w:hAnsi="宋体" w:eastAsia="仿宋_GB2312"/>
          <w:sz w:val="32"/>
          <w:szCs w:val="32"/>
          <w:lang w:val="en-US" w:eastAsia="zh-CN"/>
        </w:rPr>
        <w:t>23</w:t>
      </w:r>
      <w:r>
        <w:rPr>
          <w:rFonts w:hint="eastAsia" w:ascii="仿宋_GB2312" w:hAnsi="宋体" w:eastAsia="仿宋_GB2312"/>
          <w:sz w:val="32"/>
          <w:szCs w:val="32"/>
        </w:rPr>
        <w:t>《课业簿册》标准。本次共抽检</w:t>
      </w:r>
      <w:r>
        <w:rPr>
          <w:rFonts w:hint="eastAsia" w:ascii="仿宋_GB2312" w:hAnsi="宋体" w:eastAsia="仿宋_GB2312"/>
          <w:sz w:val="32"/>
          <w:szCs w:val="32"/>
          <w:lang w:val="en-US" w:eastAsia="zh-CN"/>
        </w:rPr>
        <w:t>20</w:t>
      </w:r>
      <w:r>
        <w:rPr>
          <w:rFonts w:hint="eastAsia" w:ascii="仿宋_GB2312" w:hAnsi="宋体" w:eastAsia="仿宋_GB2312"/>
          <w:sz w:val="32"/>
          <w:szCs w:val="32"/>
        </w:rPr>
        <w:t>批次，涉及中华牌</w:t>
      </w:r>
      <w:r>
        <w:rPr>
          <w:rFonts w:hint="eastAsia" w:ascii="仿宋_GB2312" w:hAnsi="宋体" w:eastAsia="仿宋_GB2312"/>
          <w:sz w:val="32"/>
          <w:szCs w:val="32"/>
          <w:lang w:eastAsia="zh-CN"/>
        </w:rPr>
        <w:t>、马培德</w:t>
      </w:r>
      <w:r>
        <w:rPr>
          <w:rFonts w:hint="eastAsia" w:ascii="仿宋_GB2312" w:hAnsi="宋体" w:eastAsia="仿宋_GB2312"/>
          <w:sz w:val="32"/>
          <w:szCs w:val="32"/>
        </w:rPr>
        <w:t>等多个品牌，合格</w:t>
      </w:r>
      <w:r>
        <w:rPr>
          <w:rFonts w:hint="eastAsia" w:ascii="仿宋_GB2312" w:hAnsi="宋体" w:eastAsia="仿宋_GB2312"/>
          <w:sz w:val="32"/>
          <w:szCs w:val="32"/>
          <w:lang w:val="en-US" w:eastAsia="zh-CN"/>
        </w:rPr>
        <w:t>20</w:t>
      </w:r>
      <w:r>
        <w:rPr>
          <w:rFonts w:hint="eastAsia" w:ascii="仿宋_GB2312" w:hAnsi="宋体" w:eastAsia="仿宋_GB2312"/>
          <w:sz w:val="32"/>
          <w:szCs w:val="32"/>
        </w:rPr>
        <w:t>批次，</w:t>
      </w:r>
      <w:r>
        <w:rPr>
          <w:rFonts w:hint="eastAsia" w:ascii="仿宋_GB2312" w:hAnsi="宋体" w:eastAsia="仿宋_GB2312"/>
          <w:sz w:val="32"/>
          <w:szCs w:val="32"/>
          <w:lang w:val="en-US" w:eastAsia="zh-CN"/>
        </w:rPr>
        <w:t>未发现</w:t>
      </w:r>
      <w:r>
        <w:rPr>
          <w:rFonts w:hint="eastAsia" w:ascii="仿宋_GB2312" w:hAnsi="宋体" w:eastAsia="仿宋_GB2312"/>
          <w:sz w:val="32"/>
          <w:szCs w:val="32"/>
        </w:rPr>
        <w:t>不合格</w:t>
      </w:r>
      <w:r>
        <w:rPr>
          <w:rFonts w:hint="eastAsia" w:ascii="仿宋_GB2312" w:hAnsi="宋体" w:eastAsia="仿宋_GB2312"/>
          <w:sz w:val="32"/>
          <w:szCs w:val="32"/>
          <w:lang w:val="en-US" w:eastAsia="zh-CN"/>
        </w:rPr>
        <w:t>产品</w:t>
      </w:r>
      <w:r>
        <w:rPr>
          <w:rFonts w:eastAsia="仿宋"/>
          <w:sz w:val="32"/>
          <w:szCs w:val="32"/>
        </w:rPr>
        <w:t>，不合格发现率</w:t>
      </w:r>
      <w:r>
        <w:rPr>
          <w:rFonts w:hint="eastAsia" w:eastAsia="仿宋"/>
          <w:sz w:val="32"/>
          <w:szCs w:val="32"/>
          <w:lang w:val="en-US" w:eastAsia="zh-CN"/>
        </w:rPr>
        <w:t>0</w:t>
      </w:r>
      <w:r>
        <w:rPr>
          <w:rFonts w:eastAsia="仿宋"/>
          <w:sz w:val="32"/>
          <w:szCs w:val="32"/>
        </w:rPr>
        <w:t>%</w:t>
      </w:r>
      <w:r>
        <w:rPr>
          <w:rFonts w:hint="eastAsia" w:ascii="仿宋_GB2312" w:hAnsi="宋体" w:eastAsia="仿宋_GB2312"/>
          <w:sz w:val="32"/>
          <w:szCs w:val="32"/>
        </w:rPr>
        <w:t>。</w:t>
      </w:r>
    </w:p>
    <w:p w14:paraId="22C246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Times New Roman"/>
          <w:sz w:val="32"/>
          <w:szCs w:val="32"/>
        </w:rPr>
        <w:t>综合分析</w:t>
      </w:r>
    </w:p>
    <w:p w14:paraId="05152885">
      <w:pPr>
        <w:pStyle w:val="3"/>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楷体_GB2312" w:hAnsi="宋体" w:eastAsia="楷体_GB2312" w:cs="宋体"/>
          <w:b w:val="0"/>
          <w:bCs w:val="0"/>
        </w:rPr>
      </w:pPr>
      <w:bookmarkStart w:id="0" w:name="_Toc24193"/>
      <w:r>
        <w:rPr>
          <w:rFonts w:hint="eastAsia" w:ascii="楷体_GB2312" w:hAnsi="宋体" w:eastAsia="楷体_GB2312" w:cs="宋体"/>
          <w:b w:val="0"/>
          <w:bCs w:val="0"/>
        </w:rPr>
        <w:t>（</w:t>
      </w:r>
      <w:r>
        <w:rPr>
          <w:rFonts w:hint="eastAsia" w:ascii="楷体_GB2312" w:hAnsi="宋体" w:eastAsia="楷体_GB2312" w:cs="宋体"/>
          <w:b w:val="0"/>
          <w:bCs w:val="0"/>
          <w:lang w:val="en-US" w:eastAsia="zh-CN"/>
        </w:rPr>
        <w:t>一</w:t>
      </w:r>
      <w:r>
        <w:rPr>
          <w:rFonts w:hint="eastAsia" w:ascii="楷体_GB2312" w:hAnsi="宋体" w:eastAsia="楷体_GB2312" w:cs="宋体"/>
          <w:b w:val="0"/>
          <w:bCs w:val="0"/>
        </w:rPr>
        <w:t>）产品质量抽查结果分析</w:t>
      </w:r>
      <w:bookmarkEnd w:id="0"/>
    </w:p>
    <w:p w14:paraId="63F82386">
      <w:pPr>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产品检验标准为GB 21027-2020《学生用品的安全通用要求》、GB 40070-2021《儿童青少年学习用品近视防控卫生要求》、QB/T 1437-</w:t>
      </w:r>
      <w:r>
        <w:rPr>
          <w:rFonts w:hint="eastAsia" w:ascii="仿宋_GB2312" w:hAnsi="宋体" w:eastAsia="仿宋_GB2312" w:cs="Times New Roman"/>
          <w:sz w:val="32"/>
          <w:szCs w:val="32"/>
          <w:lang w:val="en-US" w:eastAsia="zh-CN"/>
        </w:rPr>
        <w:t>2023</w:t>
      </w:r>
      <w:bookmarkStart w:id="7" w:name="_GoBack"/>
      <w:bookmarkEnd w:id="7"/>
      <w:r>
        <w:rPr>
          <w:rFonts w:hint="eastAsia" w:ascii="仿宋_GB2312" w:hAnsi="宋体" w:eastAsia="仿宋_GB2312" w:cs="Times New Roman"/>
          <w:sz w:val="32"/>
          <w:szCs w:val="32"/>
          <w:lang w:eastAsia="zh-CN"/>
        </w:rPr>
        <w:t>《课业簿册》</w:t>
      </w:r>
      <w:r>
        <w:rPr>
          <w:rFonts w:hint="eastAsia" w:ascii="仿宋_GB2312" w:hAnsi="宋体" w:eastAsia="仿宋_GB2312" w:cs="Times New Roman"/>
          <w:sz w:val="32"/>
          <w:szCs w:val="32"/>
          <w:lang w:val="en-US" w:eastAsia="zh-CN"/>
        </w:rPr>
        <w:t>标准</w:t>
      </w:r>
      <w:r>
        <w:rPr>
          <w:rFonts w:hint="eastAsia" w:ascii="仿宋_GB2312" w:hAnsi="宋体" w:eastAsia="仿宋_GB2312" w:cs="Times New Roman"/>
          <w:sz w:val="32"/>
          <w:szCs w:val="32"/>
          <w:lang w:eastAsia="zh-CN"/>
        </w:rPr>
        <w:t>，经检验，</w:t>
      </w: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lang w:eastAsia="zh-CN"/>
        </w:rPr>
        <w:t>批次</w:t>
      </w:r>
      <w:r>
        <w:rPr>
          <w:rFonts w:hint="eastAsia" w:ascii="仿宋_GB2312" w:hAnsi="宋体" w:eastAsia="仿宋_GB2312" w:cs="Times New Roman"/>
          <w:sz w:val="32"/>
          <w:szCs w:val="32"/>
          <w:lang w:val="en-US" w:eastAsia="zh-CN"/>
        </w:rPr>
        <w:t>全部</w:t>
      </w:r>
      <w:r>
        <w:rPr>
          <w:rFonts w:hint="eastAsia" w:ascii="仿宋_GB2312" w:hAnsi="宋体" w:eastAsia="仿宋_GB2312" w:cs="Times New Roman"/>
          <w:sz w:val="32"/>
          <w:szCs w:val="32"/>
          <w:lang w:eastAsia="zh-CN"/>
        </w:rPr>
        <w:t>合格。</w:t>
      </w:r>
    </w:p>
    <w:p w14:paraId="5E8D5F72">
      <w:pPr>
        <w:keepNext w:val="0"/>
        <w:keepLines w:val="0"/>
        <w:pageBreakBefore w:val="0"/>
        <w:widowControl w:val="0"/>
        <w:kinsoku/>
        <w:wordWrap/>
        <w:overflowPunct/>
        <w:topLinePunct w:val="0"/>
        <w:autoSpaceDE w:val="0"/>
        <w:autoSpaceDN w:val="0"/>
        <w:bidi w:val="0"/>
        <w:adjustRightInd/>
        <w:snapToGrid/>
        <w:spacing w:line="360" w:lineRule="auto"/>
        <w:ind w:firstLine="2560" w:firstLineChars="8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表</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 xml:space="preserve"> 检验项目分</w:t>
      </w:r>
      <w:r>
        <w:rPr>
          <w:rFonts w:hint="eastAsia" w:ascii="仿宋_GB2312" w:hAnsi="宋体" w:eastAsia="仿宋_GB2312" w:cs="宋体"/>
          <w:sz w:val="32"/>
          <w:szCs w:val="32"/>
          <w:lang w:val="en-US" w:eastAsia="zh-CN"/>
        </w:rPr>
        <w:t>析</w:t>
      </w:r>
      <w:r>
        <w:rPr>
          <w:rFonts w:hint="eastAsia" w:ascii="仿宋_GB2312" w:hAnsi="宋体" w:eastAsia="仿宋_GB2312" w:cs="宋体"/>
          <w:sz w:val="32"/>
          <w:szCs w:val="32"/>
        </w:rPr>
        <w:t>表</w:t>
      </w:r>
    </w:p>
    <w:tbl>
      <w:tblPr>
        <w:tblStyle w:val="16"/>
        <w:tblpPr w:leftFromText="180" w:rightFromText="180" w:vertAnchor="text" w:horzAnchor="margin" w:tblpXSpec="center" w:tblpY="332"/>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448"/>
        <w:gridCol w:w="1511"/>
        <w:gridCol w:w="1007"/>
        <w:gridCol w:w="950"/>
        <w:gridCol w:w="1067"/>
        <w:gridCol w:w="981"/>
      </w:tblGrid>
      <w:tr w14:paraId="18C2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noWrap w:val="0"/>
            <w:vAlign w:val="center"/>
          </w:tcPr>
          <w:p w14:paraId="602A171E">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bookmarkStart w:id="1" w:name="_Hlk78275255"/>
            <w:r>
              <w:rPr>
                <w:rFonts w:hint="eastAsia" w:ascii="仿宋_GB2312" w:hAnsi="宋体" w:eastAsia="仿宋_GB2312" w:cs="Times New Roman"/>
                <w:kern w:val="2"/>
                <w:sz w:val="28"/>
                <w:szCs w:val="28"/>
                <w:lang w:val="en-US"/>
              </w:rPr>
              <w:t>产品类别</w:t>
            </w:r>
          </w:p>
        </w:tc>
        <w:tc>
          <w:tcPr>
            <w:tcW w:w="2959" w:type="dxa"/>
            <w:gridSpan w:val="2"/>
            <w:noWrap w:val="0"/>
            <w:vAlign w:val="center"/>
          </w:tcPr>
          <w:p w14:paraId="1F3C9F71">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检验检测项目</w:t>
            </w:r>
          </w:p>
        </w:tc>
        <w:tc>
          <w:tcPr>
            <w:tcW w:w="1007" w:type="dxa"/>
            <w:noWrap w:val="0"/>
            <w:vAlign w:val="center"/>
          </w:tcPr>
          <w:p w14:paraId="684A0714">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批次</w:t>
            </w:r>
          </w:p>
        </w:tc>
        <w:tc>
          <w:tcPr>
            <w:tcW w:w="950" w:type="dxa"/>
            <w:noWrap w:val="0"/>
            <w:vAlign w:val="center"/>
          </w:tcPr>
          <w:p w14:paraId="69983EE6">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合格批次</w:t>
            </w:r>
          </w:p>
        </w:tc>
        <w:tc>
          <w:tcPr>
            <w:tcW w:w="1067" w:type="dxa"/>
            <w:noWrap w:val="0"/>
            <w:vAlign w:val="center"/>
          </w:tcPr>
          <w:p w14:paraId="220BD67F">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不合格批次</w:t>
            </w:r>
          </w:p>
        </w:tc>
        <w:tc>
          <w:tcPr>
            <w:tcW w:w="981" w:type="dxa"/>
            <w:noWrap w:val="0"/>
            <w:vAlign w:val="center"/>
          </w:tcPr>
          <w:p w14:paraId="060E048B">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合格率/%</w:t>
            </w:r>
          </w:p>
        </w:tc>
      </w:tr>
      <w:tr w14:paraId="51B9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65" w:type="dxa"/>
            <w:vMerge w:val="restart"/>
            <w:noWrap w:val="0"/>
            <w:vAlign w:val="center"/>
          </w:tcPr>
          <w:p w14:paraId="40D17F3B">
            <w:pPr>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eastAsia="仿宋"/>
                <w:sz w:val="28"/>
                <w:szCs w:val="28"/>
                <w:lang w:val="en-US" w:eastAsia="zh-CN"/>
              </w:rPr>
              <w:t>课业簿册</w:t>
            </w:r>
          </w:p>
        </w:tc>
        <w:tc>
          <w:tcPr>
            <w:tcW w:w="2959" w:type="dxa"/>
            <w:gridSpan w:val="2"/>
            <w:noWrap w:val="0"/>
            <w:vAlign w:val="center"/>
          </w:tcPr>
          <w:p w14:paraId="19F68948">
            <w:pPr>
              <w:adjustRightInd w:val="0"/>
              <w:snapToGrid w:val="0"/>
              <w:spacing w:line="240" w:lineRule="auto"/>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封面、封底定量</w:t>
            </w:r>
          </w:p>
        </w:tc>
        <w:tc>
          <w:tcPr>
            <w:tcW w:w="1007" w:type="dxa"/>
            <w:noWrap w:val="0"/>
            <w:vAlign w:val="center"/>
          </w:tcPr>
          <w:p w14:paraId="46B73C2E">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400D9DA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51637C65">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770145C">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8B2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88BD0FC">
            <w:pPr>
              <w:widowControl/>
              <w:spacing w:line="240" w:lineRule="auto"/>
              <w:jc w:val="center"/>
              <w:textAlignment w:val="center"/>
              <w:rPr>
                <w:rFonts w:hint="eastAsia" w:ascii="仿宋_GB2312" w:hAnsi="宋体" w:eastAsia="仿宋_GB2312" w:cs="Times New Roman"/>
                <w:kern w:val="2"/>
                <w:sz w:val="28"/>
                <w:szCs w:val="28"/>
                <w:lang w:val="en-US"/>
              </w:rPr>
            </w:pPr>
          </w:p>
        </w:tc>
        <w:tc>
          <w:tcPr>
            <w:tcW w:w="2959" w:type="dxa"/>
            <w:gridSpan w:val="2"/>
            <w:tcBorders>
              <w:top w:val="single" w:color="auto" w:sz="4" w:space="0"/>
              <w:left w:val="single" w:color="auto" w:sz="4" w:space="0"/>
              <w:bottom w:val="single" w:color="auto" w:sz="4" w:space="0"/>
              <w:right w:val="single" w:color="auto" w:sz="4" w:space="0"/>
            </w:tcBorders>
            <w:noWrap w:val="0"/>
            <w:vAlign w:val="center"/>
          </w:tcPr>
          <w:p w14:paraId="0EE82996">
            <w:pPr>
              <w:adjustRightInd w:val="0"/>
              <w:snapToGrid w:val="0"/>
              <w:spacing w:line="240" w:lineRule="auto"/>
              <w:jc w:val="center"/>
              <w:rPr>
                <w:rFonts w:hint="default" w:ascii="仿宋_GB2312" w:hAnsi="宋体" w:eastAsia="仿宋_GB2312" w:cs="Times New Roman"/>
                <w:kern w:val="2"/>
                <w:sz w:val="28"/>
                <w:szCs w:val="28"/>
                <w:lang w:val="en-US"/>
              </w:rPr>
            </w:pPr>
            <w:r>
              <w:rPr>
                <w:rFonts w:hint="eastAsia" w:ascii="Times New Roman" w:hAnsi="Times New Roman" w:eastAsia="仿宋" w:cs="Times New Roman"/>
                <w:kern w:val="2"/>
                <w:sz w:val="28"/>
                <w:szCs w:val="28"/>
                <w:lang w:val="en-US" w:eastAsia="zh-CN" w:bidi="ar-SA"/>
              </w:rPr>
              <w:t>内芯张数</w:t>
            </w:r>
          </w:p>
        </w:tc>
        <w:tc>
          <w:tcPr>
            <w:tcW w:w="1007" w:type="dxa"/>
            <w:noWrap w:val="0"/>
            <w:vAlign w:val="center"/>
          </w:tcPr>
          <w:p w14:paraId="23D90897">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589B12EE">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206C4344">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186424BD">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027B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84E5492">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2959" w:type="dxa"/>
            <w:gridSpan w:val="2"/>
            <w:tcBorders>
              <w:top w:val="single" w:color="auto" w:sz="4" w:space="0"/>
              <w:left w:val="single" w:color="auto" w:sz="4" w:space="0"/>
              <w:right w:val="single" w:color="auto" w:sz="4" w:space="0"/>
            </w:tcBorders>
            <w:noWrap w:val="0"/>
            <w:vAlign w:val="center"/>
          </w:tcPr>
          <w:p w14:paraId="134D5F3C">
            <w:pPr>
              <w:adjustRightInd w:val="0"/>
              <w:snapToGrid w:val="0"/>
              <w:spacing w:line="240" w:lineRule="auto"/>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D65亮度</w:t>
            </w:r>
          </w:p>
        </w:tc>
        <w:tc>
          <w:tcPr>
            <w:tcW w:w="1007" w:type="dxa"/>
            <w:noWrap w:val="0"/>
            <w:vAlign w:val="center"/>
          </w:tcPr>
          <w:p w14:paraId="3773CEF7">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28DDBFC5">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6DB1A144">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2817AA5">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32F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2BE89A6">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2959" w:type="dxa"/>
            <w:gridSpan w:val="2"/>
            <w:tcBorders>
              <w:left w:val="single" w:color="auto" w:sz="4" w:space="0"/>
              <w:bottom w:val="single" w:color="auto" w:sz="4" w:space="0"/>
              <w:right w:val="single" w:color="auto" w:sz="4" w:space="0"/>
            </w:tcBorders>
            <w:noWrap w:val="0"/>
            <w:vAlign w:val="center"/>
          </w:tcPr>
          <w:p w14:paraId="4601EB45">
            <w:pPr>
              <w:adjustRightInd w:val="0"/>
              <w:snapToGrid w:val="0"/>
              <w:spacing w:line="240" w:lineRule="auto"/>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D65荧光亮度</w:t>
            </w:r>
          </w:p>
        </w:tc>
        <w:tc>
          <w:tcPr>
            <w:tcW w:w="1007" w:type="dxa"/>
            <w:noWrap w:val="0"/>
            <w:vAlign w:val="center"/>
          </w:tcPr>
          <w:p w14:paraId="14881328">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18D68938">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6BA3DE6F">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32948A0">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44CA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 w:type="dxa"/>
            <w:vMerge w:val="continue"/>
            <w:noWrap w:val="0"/>
            <w:vAlign w:val="center"/>
          </w:tcPr>
          <w:p w14:paraId="08B96BC2">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restart"/>
            <w:tcBorders>
              <w:top w:val="single" w:color="auto" w:sz="4" w:space="0"/>
              <w:left w:val="single" w:color="auto" w:sz="4" w:space="0"/>
              <w:right w:val="single" w:color="auto" w:sz="4" w:space="0"/>
            </w:tcBorders>
            <w:noWrap w:val="0"/>
            <w:vAlign w:val="center"/>
          </w:tcPr>
          <w:p w14:paraId="52FC12E4">
            <w:pPr>
              <w:adjustRightInd w:val="0"/>
              <w:snapToGrid w:val="0"/>
              <w:spacing w:line="240" w:lineRule="auto"/>
              <w:jc w:val="center"/>
              <w:rPr>
                <w:rFonts w:hint="default" w:ascii="仿宋_GB2312" w:hAnsi="宋体" w:eastAsia="仿宋_GB2312" w:cs="Times New Roman"/>
                <w:kern w:val="2"/>
                <w:sz w:val="28"/>
                <w:szCs w:val="28"/>
                <w:lang w:val="en-US"/>
              </w:rPr>
            </w:pPr>
            <w:r>
              <w:rPr>
                <w:rFonts w:hint="eastAsia" w:ascii="Times New Roman" w:hAnsi="Times New Roman" w:eastAsia="仿宋" w:cs="Times New Roman"/>
                <w:kern w:val="2"/>
                <w:sz w:val="28"/>
                <w:szCs w:val="28"/>
                <w:lang w:val="en-US" w:eastAsia="zh-CN" w:bidi="ar-SA"/>
              </w:rPr>
              <w:t>可迁移元素含量</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A0905C0">
            <w:pPr>
              <w:adjustRightInd w:val="0"/>
              <w:snapToGrid w:val="0"/>
              <w:spacing w:line="240" w:lineRule="auto"/>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锑（</w:t>
            </w:r>
            <w:r>
              <w:rPr>
                <w:rFonts w:hint="default" w:ascii="Times New Roman" w:hAnsi="Times New Roman" w:eastAsia="仿宋" w:cs="Times New Roman"/>
                <w:kern w:val="2"/>
                <w:sz w:val="28"/>
                <w:szCs w:val="28"/>
                <w:lang w:val="en-US" w:eastAsia="zh-CN" w:bidi="ar-SA"/>
              </w:rPr>
              <w:t>Sb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1805EABE">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2E08E986">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3D102D12">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C2E57A2">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22A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Merge w:val="continue"/>
            <w:noWrap w:val="0"/>
            <w:vAlign w:val="center"/>
          </w:tcPr>
          <w:p w14:paraId="39AC526F">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bottom w:val="single" w:color="auto" w:sz="4" w:space="0"/>
              <w:right w:val="single" w:color="auto" w:sz="4" w:space="0"/>
            </w:tcBorders>
            <w:noWrap w:val="0"/>
            <w:vAlign w:val="center"/>
          </w:tcPr>
          <w:p w14:paraId="5C6E983E">
            <w:pPr>
              <w:jc w:val="center"/>
              <w:rPr>
                <w:rFonts w:hint="default" w:ascii="仿宋_GB2312" w:hAnsi="宋体" w:eastAsia="仿宋_GB2312" w:cs="Times New Roman"/>
                <w:kern w:val="2"/>
                <w:sz w:val="28"/>
                <w:szCs w:val="28"/>
                <w:lang w:val="en-US"/>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A347A2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砷（</w:t>
            </w:r>
            <w:r>
              <w:rPr>
                <w:rFonts w:hint="default" w:ascii="Times New Roman" w:hAnsi="Times New Roman" w:eastAsia="仿宋" w:cs="Times New Roman"/>
                <w:kern w:val="2"/>
                <w:sz w:val="28"/>
                <w:szCs w:val="28"/>
                <w:lang w:val="en-US" w:eastAsia="zh-CN" w:bidi="ar-SA"/>
              </w:rPr>
              <w:t>As</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6C7A011F">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55177D3F">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43516EC3">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A99DB02">
            <w:pPr>
              <w:autoSpaceDE/>
              <w:autoSpaceDN/>
              <w:adjustRightInd w:val="0"/>
              <w:snapToGrid w:val="0"/>
              <w:spacing w:line="240" w:lineRule="auto"/>
              <w:jc w:val="center"/>
              <w:rPr>
                <w:rFonts w:hint="eastAsia" w:ascii="Times New Roman" w:hAnsi="Times New Roman"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bookmarkStart w:id="2" w:name="_bookmark10"/>
        <w:bookmarkStart w:id="3" w:name="_bookmark11"/>
      </w:tr>
      <w:tr w14:paraId="5DAE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F7598A5">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top w:val="single" w:color="auto" w:sz="4" w:space="0"/>
              <w:left w:val="single" w:color="auto" w:sz="4" w:space="0"/>
              <w:right w:val="single" w:color="auto" w:sz="4" w:space="0"/>
            </w:tcBorders>
            <w:noWrap w:val="0"/>
            <w:vAlign w:val="center"/>
          </w:tcPr>
          <w:p w14:paraId="2F853BFD">
            <w:pPr>
              <w:jc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4DAF99B">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钡（</w:t>
            </w:r>
            <w:r>
              <w:rPr>
                <w:rFonts w:hint="default" w:ascii="Times New Roman" w:hAnsi="Times New Roman" w:eastAsia="仿宋" w:cs="Times New Roman"/>
                <w:kern w:val="2"/>
                <w:sz w:val="28"/>
                <w:szCs w:val="28"/>
                <w:lang w:val="en-US" w:eastAsia="zh-CN" w:bidi="ar-SA"/>
              </w:rPr>
              <w:t>Ba</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01687E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2755511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6108B72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70991B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EA3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8FDE91A">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041912DF">
            <w:pPr>
              <w:jc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2FFF1FC">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镉（</w:t>
            </w:r>
            <w:r>
              <w:rPr>
                <w:rFonts w:hint="default" w:ascii="Times New Roman" w:hAnsi="Times New Roman" w:eastAsia="仿宋" w:cs="Times New Roman"/>
                <w:kern w:val="2"/>
                <w:sz w:val="28"/>
                <w:szCs w:val="28"/>
                <w:lang w:val="en-US" w:eastAsia="zh-CN" w:bidi="ar-SA"/>
              </w:rPr>
              <w:t>Cd</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39AFC3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7315418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789165E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309F133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CB5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68EFF6AF">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5B6FAD28">
            <w:pPr>
              <w:jc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4D46524">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铬（</w:t>
            </w:r>
            <w:r>
              <w:rPr>
                <w:rFonts w:hint="default" w:ascii="Times New Roman" w:hAnsi="Times New Roman" w:eastAsia="仿宋" w:cs="Times New Roman"/>
                <w:kern w:val="2"/>
                <w:sz w:val="28"/>
                <w:szCs w:val="28"/>
                <w:lang w:val="en-US" w:eastAsia="zh-CN" w:bidi="ar-SA"/>
              </w:rPr>
              <w:t>Cr</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3A357E1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7ABB0CE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7546DAF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8188C6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211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0EC8A346">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0B14E88E">
            <w:pPr>
              <w:jc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261166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铅（</w:t>
            </w:r>
            <w:r>
              <w:rPr>
                <w:rFonts w:hint="default" w:ascii="Times New Roman" w:hAnsi="Times New Roman" w:eastAsia="仿宋" w:cs="Times New Roman"/>
                <w:kern w:val="2"/>
                <w:sz w:val="28"/>
                <w:szCs w:val="28"/>
                <w:lang w:val="en-US" w:eastAsia="zh-CN" w:bidi="ar-SA"/>
              </w:rPr>
              <w:t>Pb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6806125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4D54661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46B1595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E127D1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FB3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F30B263">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4A612AA4">
            <w:pPr>
              <w:jc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213C80A">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汞（</w:t>
            </w:r>
            <w:r>
              <w:rPr>
                <w:rFonts w:hint="default" w:ascii="Times New Roman" w:hAnsi="Times New Roman" w:eastAsia="仿宋" w:cs="Times New Roman"/>
                <w:kern w:val="2"/>
                <w:sz w:val="28"/>
                <w:szCs w:val="28"/>
                <w:lang w:val="en-US" w:eastAsia="zh-CN" w:bidi="ar-SA"/>
              </w:rPr>
              <w:t>Hg</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5C4A188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4152BFC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34CA6FA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76D5DB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F0A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05FA3CDB">
            <w:pPr>
              <w:adjustRightInd w:val="0"/>
              <w:snapToGrid w:val="0"/>
              <w:spacing w:line="240" w:lineRule="auto"/>
              <w:ind w:firstLine="470" w:firstLineChars="168"/>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70BBAE0C">
            <w:pPr>
              <w:jc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7A17945">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硒（</w:t>
            </w:r>
            <w:r>
              <w:rPr>
                <w:rFonts w:hint="default" w:ascii="Times New Roman" w:hAnsi="Times New Roman" w:eastAsia="仿宋" w:cs="Times New Roman"/>
                <w:kern w:val="2"/>
                <w:sz w:val="28"/>
                <w:szCs w:val="28"/>
                <w:lang w:val="en-US" w:eastAsia="zh-CN" w:bidi="ar-SA"/>
              </w:rPr>
              <w:t>Se</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65FF8F1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950" w:type="dxa"/>
            <w:noWrap w:val="0"/>
            <w:vAlign w:val="center"/>
          </w:tcPr>
          <w:p w14:paraId="4574CE3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9</w:t>
            </w:r>
          </w:p>
        </w:tc>
        <w:tc>
          <w:tcPr>
            <w:tcW w:w="1067" w:type="dxa"/>
            <w:noWrap w:val="0"/>
            <w:vAlign w:val="center"/>
          </w:tcPr>
          <w:p w14:paraId="55F0417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1F544AE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0290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restart"/>
            <w:noWrap w:val="0"/>
            <w:vAlign w:val="center"/>
          </w:tcPr>
          <w:p w14:paraId="3CBD1515">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r>
              <w:rPr>
                <w:rFonts w:hint="eastAsia" w:ascii="Times New Roman" w:hAnsi="Times New Roman" w:eastAsia="仿宋" w:cs="Times New Roman"/>
                <w:kern w:val="2"/>
                <w:sz w:val="28"/>
                <w:szCs w:val="28"/>
                <w:lang w:val="en-US" w:eastAsia="zh-CN" w:bidi="ar-SA"/>
              </w:rPr>
              <w:t>橡皮擦</w:t>
            </w:r>
          </w:p>
        </w:tc>
        <w:tc>
          <w:tcPr>
            <w:tcW w:w="1448" w:type="dxa"/>
            <w:vMerge w:val="restart"/>
            <w:tcBorders>
              <w:left w:val="single" w:color="auto" w:sz="4" w:space="0"/>
              <w:right w:val="single" w:color="auto" w:sz="4" w:space="0"/>
            </w:tcBorders>
            <w:noWrap w:val="0"/>
            <w:vAlign w:val="center"/>
          </w:tcPr>
          <w:p w14:paraId="5ECF763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邻苯二甲酸酯</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1595CC41">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邻苯二甲酸二己酯（</w:t>
            </w:r>
            <w:r>
              <w:rPr>
                <w:rFonts w:hint="default" w:ascii="Times New Roman" w:hAnsi="Times New Roman" w:eastAsia="仿宋" w:cs="Times New Roman"/>
                <w:kern w:val="2"/>
                <w:sz w:val="28"/>
                <w:szCs w:val="28"/>
                <w:lang w:val="en-US" w:eastAsia="zh-CN" w:bidi="ar-SA"/>
              </w:rPr>
              <w:t>DEHP)</w:t>
            </w:r>
          </w:p>
        </w:tc>
        <w:tc>
          <w:tcPr>
            <w:tcW w:w="1007" w:type="dxa"/>
            <w:noWrap w:val="0"/>
            <w:vAlign w:val="center"/>
          </w:tcPr>
          <w:p w14:paraId="2869C73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0A88233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259B5D8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3B5FE9D">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04A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DF1A009">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01DCC17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5FDD41F">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邻苯二甲酸二丁酯（</w:t>
            </w:r>
            <w:r>
              <w:rPr>
                <w:rFonts w:hint="default" w:ascii="Times New Roman" w:hAnsi="Times New Roman" w:eastAsia="仿宋" w:cs="Times New Roman"/>
                <w:kern w:val="2"/>
                <w:sz w:val="28"/>
                <w:szCs w:val="28"/>
                <w:lang w:val="en-US" w:eastAsia="zh-CN" w:bidi="ar-SA"/>
              </w:rPr>
              <w:t>DBP)</w:t>
            </w:r>
          </w:p>
        </w:tc>
        <w:tc>
          <w:tcPr>
            <w:tcW w:w="1007" w:type="dxa"/>
            <w:noWrap w:val="0"/>
            <w:vAlign w:val="center"/>
          </w:tcPr>
          <w:p w14:paraId="1ABB587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61CCBA6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799E7D2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C6880C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0F7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9FBE39A">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319C5FA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left w:val="single" w:color="auto" w:sz="4" w:space="0"/>
              <w:right w:val="single" w:color="auto" w:sz="4" w:space="0"/>
            </w:tcBorders>
            <w:noWrap w:val="0"/>
            <w:vAlign w:val="center"/>
          </w:tcPr>
          <w:p w14:paraId="73AB9E96">
            <w:pPr>
              <w:keepNext w:val="0"/>
              <w:keepLines w:val="0"/>
              <w:widowControl/>
              <w:suppressLineNumbers w:val="0"/>
              <w:jc w:val="center"/>
              <w:textAlignment w:val="center"/>
            </w:pPr>
            <w:r>
              <w:rPr>
                <w:rFonts w:hint="eastAsia" w:ascii="Times New Roman" w:hAnsi="Times New Roman" w:eastAsia="仿宋" w:cs="Times New Roman"/>
                <w:kern w:val="2"/>
                <w:sz w:val="28"/>
                <w:szCs w:val="28"/>
                <w:lang w:val="en-US" w:eastAsia="zh-CN" w:bidi="ar-SA"/>
              </w:rPr>
              <w:t>邻苯二甲酸丁苄酯（</w:t>
            </w:r>
            <w:r>
              <w:rPr>
                <w:rFonts w:hint="default" w:ascii="Times New Roman" w:hAnsi="Times New Roman" w:eastAsia="仿宋" w:cs="Times New Roman"/>
                <w:kern w:val="2"/>
                <w:sz w:val="28"/>
                <w:szCs w:val="28"/>
                <w:lang w:val="en-US" w:eastAsia="zh-CN" w:bidi="ar-SA"/>
              </w:rPr>
              <w:t>BBP)</w:t>
            </w:r>
          </w:p>
        </w:tc>
        <w:tc>
          <w:tcPr>
            <w:tcW w:w="1007" w:type="dxa"/>
            <w:noWrap w:val="0"/>
            <w:vAlign w:val="center"/>
          </w:tcPr>
          <w:p w14:paraId="471D763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6804B4F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5AEBFE7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BC6174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032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6E8C1C5B">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restart"/>
            <w:tcBorders>
              <w:left w:val="single" w:color="auto" w:sz="4" w:space="0"/>
              <w:right w:val="single" w:color="auto" w:sz="4" w:space="0"/>
            </w:tcBorders>
            <w:noWrap w:val="0"/>
            <w:vAlign w:val="center"/>
          </w:tcPr>
          <w:p w14:paraId="40CC4F18">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可迁移元素含量</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513B61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锑（</w:t>
            </w:r>
            <w:r>
              <w:rPr>
                <w:rFonts w:hint="default" w:ascii="Times New Roman" w:hAnsi="Times New Roman" w:eastAsia="仿宋" w:cs="Times New Roman"/>
                <w:kern w:val="2"/>
                <w:sz w:val="28"/>
                <w:szCs w:val="28"/>
                <w:lang w:val="en-US" w:eastAsia="zh-CN" w:bidi="ar-SA"/>
              </w:rPr>
              <w:t>Sb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5785490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4D0B10B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74A8CA4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3F9480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66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556B301">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68316A8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118F56C">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砷（</w:t>
            </w:r>
            <w:r>
              <w:rPr>
                <w:rFonts w:hint="default" w:ascii="Times New Roman" w:hAnsi="Times New Roman" w:eastAsia="仿宋" w:cs="Times New Roman"/>
                <w:kern w:val="2"/>
                <w:sz w:val="28"/>
                <w:szCs w:val="28"/>
                <w:lang w:val="en-US" w:eastAsia="zh-CN" w:bidi="ar-SA"/>
              </w:rPr>
              <w:t>As</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DA8A3C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791696F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377F602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639AB7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9E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0A095A8A">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073995A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205B1D8">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钡（</w:t>
            </w:r>
            <w:r>
              <w:rPr>
                <w:rFonts w:hint="default" w:ascii="Times New Roman" w:hAnsi="Times New Roman" w:eastAsia="仿宋" w:cs="Times New Roman"/>
                <w:kern w:val="2"/>
                <w:sz w:val="28"/>
                <w:szCs w:val="28"/>
                <w:lang w:val="en-US" w:eastAsia="zh-CN" w:bidi="ar-SA"/>
              </w:rPr>
              <w:t>Ba</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B374C5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135A11B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7A5FE0A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49CB28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232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5F430C7">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E65CBC9">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7B07E14">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镉（</w:t>
            </w:r>
            <w:r>
              <w:rPr>
                <w:rFonts w:hint="default" w:ascii="Times New Roman" w:hAnsi="Times New Roman" w:eastAsia="仿宋" w:cs="Times New Roman"/>
                <w:kern w:val="2"/>
                <w:sz w:val="28"/>
                <w:szCs w:val="28"/>
                <w:lang w:val="en-US" w:eastAsia="zh-CN" w:bidi="ar-SA"/>
              </w:rPr>
              <w:t>Cd</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4D196AC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53012C6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6790610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1900D9E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ADB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0B58CD87">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0D449DC9">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8996926">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铬（</w:t>
            </w:r>
            <w:r>
              <w:rPr>
                <w:rFonts w:hint="default" w:ascii="Times New Roman" w:hAnsi="Times New Roman" w:eastAsia="仿宋" w:cs="Times New Roman"/>
                <w:kern w:val="2"/>
                <w:sz w:val="28"/>
                <w:szCs w:val="28"/>
                <w:lang w:val="en-US" w:eastAsia="zh-CN" w:bidi="ar-SA"/>
              </w:rPr>
              <w:t>Cr</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2C0B1CB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2CB341C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28562FE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81DD1C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F7D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359C27AE">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AFC4A93">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491DEF46">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铅（</w:t>
            </w:r>
            <w:r>
              <w:rPr>
                <w:rFonts w:hint="default" w:ascii="Times New Roman" w:hAnsi="Times New Roman" w:eastAsia="仿宋" w:cs="Times New Roman"/>
                <w:kern w:val="2"/>
                <w:sz w:val="28"/>
                <w:szCs w:val="28"/>
                <w:lang w:val="en-US" w:eastAsia="zh-CN" w:bidi="ar-SA"/>
              </w:rPr>
              <w:t>Pb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933F19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5C75FEF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3B12460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09D8B4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01A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B58A30A">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15F65E66">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DC55DB3">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汞（</w:t>
            </w:r>
            <w:r>
              <w:rPr>
                <w:rFonts w:hint="default" w:ascii="Times New Roman" w:hAnsi="Times New Roman" w:eastAsia="仿宋" w:cs="Times New Roman"/>
                <w:kern w:val="2"/>
                <w:sz w:val="28"/>
                <w:szCs w:val="28"/>
                <w:lang w:val="en-US" w:eastAsia="zh-CN" w:bidi="ar-SA"/>
              </w:rPr>
              <w:t>Hg</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2F2FFF6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42700CD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5333385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64E2A2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6DAD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0148F77">
            <w:pPr>
              <w:keepNext w:val="0"/>
              <w:keepLines w:val="0"/>
              <w:widowControl/>
              <w:suppressLineNumbers w:val="0"/>
              <w:jc w:val="center"/>
              <w:textAlignment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19467715">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66A3A01">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硒（</w:t>
            </w:r>
            <w:r>
              <w:rPr>
                <w:rFonts w:hint="default" w:ascii="Times New Roman" w:hAnsi="Times New Roman" w:eastAsia="仿宋" w:cs="Times New Roman"/>
                <w:kern w:val="2"/>
                <w:sz w:val="28"/>
                <w:szCs w:val="28"/>
                <w:lang w:val="en-US" w:eastAsia="zh-CN" w:bidi="ar-SA"/>
              </w:rPr>
              <w:t>Se</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5C614D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950" w:type="dxa"/>
            <w:noWrap w:val="0"/>
            <w:vAlign w:val="center"/>
          </w:tcPr>
          <w:p w14:paraId="1FE1DA1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w:t>
            </w:r>
          </w:p>
        </w:tc>
        <w:tc>
          <w:tcPr>
            <w:tcW w:w="1067" w:type="dxa"/>
            <w:noWrap w:val="0"/>
            <w:vAlign w:val="center"/>
          </w:tcPr>
          <w:p w14:paraId="1B3C7DA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3AC9E1D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ED8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restart"/>
            <w:noWrap w:val="0"/>
            <w:vAlign w:val="center"/>
          </w:tcPr>
          <w:p w14:paraId="695B877A">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eastAsia="仿宋"/>
                <w:sz w:val="28"/>
                <w:szCs w:val="28"/>
                <w:lang w:val="en-US" w:eastAsia="zh-CN"/>
              </w:rPr>
              <w:t>书写笔</w:t>
            </w:r>
          </w:p>
        </w:tc>
        <w:tc>
          <w:tcPr>
            <w:tcW w:w="2959" w:type="dxa"/>
            <w:gridSpan w:val="2"/>
            <w:tcBorders>
              <w:left w:val="single" w:color="auto" w:sz="4" w:space="0"/>
              <w:right w:val="single" w:color="auto" w:sz="4" w:space="0"/>
            </w:tcBorders>
            <w:noWrap w:val="0"/>
            <w:vAlign w:val="center"/>
          </w:tcPr>
          <w:p w14:paraId="1E246653">
            <w:pPr>
              <w:adjustRightInd w:val="0"/>
              <w:snapToGrid w:val="0"/>
              <w:spacing w:line="240" w:lineRule="auto"/>
              <w:jc w:val="center"/>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笔套安全</w:t>
            </w:r>
          </w:p>
        </w:tc>
        <w:tc>
          <w:tcPr>
            <w:tcW w:w="1007" w:type="dxa"/>
            <w:noWrap w:val="0"/>
            <w:vAlign w:val="center"/>
          </w:tcPr>
          <w:p w14:paraId="29D0DE36">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w:t>
            </w:r>
          </w:p>
        </w:tc>
        <w:tc>
          <w:tcPr>
            <w:tcW w:w="950" w:type="dxa"/>
            <w:noWrap w:val="0"/>
            <w:vAlign w:val="center"/>
          </w:tcPr>
          <w:p w14:paraId="0733D99F">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w:t>
            </w:r>
          </w:p>
        </w:tc>
        <w:tc>
          <w:tcPr>
            <w:tcW w:w="1067" w:type="dxa"/>
            <w:noWrap w:val="0"/>
            <w:vAlign w:val="center"/>
          </w:tcPr>
          <w:p w14:paraId="0C989670">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w:t>
            </w:r>
          </w:p>
        </w:tc>
        <w:tc>
          <w:tcPr>
            <w:tcW w:w="981" w:type="dxa"/>
            <w:noWrap w:val="0"/>
            <w:vAlign w:val="center"/>
          </w:tcPr>
          <w:p w14:paraId="7535A759">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w:t>
            </w:r>
          </w:p>
        </w:tc>
      </w:tr>
      <w:tr w14:paraId="7D1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840532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restart"/>
            <w:tcBorders>
              <w:left w:val="single" w:color="auto" w:sz="4" w:space="0"/>
              <w:right w:val="single" w:color="auto" w:sz="4" w:space="0"/>
            </w:tcBorders>
            <w:noWrap w:val="0"/>
            <w:vAlign w:val="center"/>
          </w:tcPr>
          <w:p w14:paraId="3BFBB2C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邻苯二甲酸酯</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D8EE9E1">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邻苯二甲酸二己酯（</w:t>
            </w:r>
            <w:r>
              <w:rPr>
                <w:rFonts w:hint="default" w:ascii="Times New Roman" w:hAnsi="Times New Roman" w:eastAsia="仿宋" w:cs="Times New Roman"/>
                <w:kern w:val="2"/>
                <w:sz w:val="28"/>
                <w:szCs w:val="28"/>
                <w:lang w:val="en-US" w:eastAsia="zh-CN" w:bidi="ar-SA"/>
              </w:rPr>
              <w:t>DEHP)</w:t>
            </w:r>
          </w:p>
        </w:tc>
        <w:tc>
          <w:tcPr>
            <w:tcW w:w="1007" w:type="dxa"/>
            <w:noWrap w:val="0"/>
            <w:vAlign w:val="center"/>
          </w:tcPr>
          <w:p w14:paraId="4FCAE9F6">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04440945">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469CB5C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73927CD">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EC8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16CF42E0">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3DE6FEF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9745405">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邻苯二甲酸二丁酯（</w:t>
            </w:r>
            <w:r>
              <w:rPr>
                <w:rFonts w:hint="default" w:ascii="Times New Roman" w:hAnsi="Times New Roman" w:eastAsia="仿宋" w:cs="Times New Roman"/>
                <w:kern w:val="2"/>
                <w:sz w:val="28"/>
                <w:szCs w:val="28"/>
                <w:lang w:val="en-US" w:eastAsia="zh-CN" w:bidi="ar-SA"/>
              </w:rPr>
              <w:t>DBP)</w:t>
            </w:r>
          </w:p>
        </w:tc>
        <w:tc>
          <w:tcPr>
            <w:tcW w:w="1007" w:type="dxa"/>
            <w:noWrap w:val="0"/>
            <w:vAlign w:val="center"/>
          </w:tcPr>
          <w:p w14:paraId="6017EC3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2EB29BB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2626AAC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290552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71E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43C74B9">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13691C3F">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70EA14A">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邻苯二甲酸丁苄酯（</w:t>
            </w:r>
            <w:r>
              <w:rPr>
                <w:rFonts w:hint="default" w:ascii="Times New Roman" w:hAnsi="Times New Roman" w:eastAsia="仿宋" w:cs="Times New Roman"/>
                <w:kern w:val="2"/>
                <w:sz w:val="28"/>
                <w:szCs w:val="28"/>
                <w:lang w:val="en-US" w:eastAsia="zh-CN" w:bidi="ar-SA"/>
              </w:rPr>
              <w:t>BBP)</w:t>
            </w:r>
          </w:p>
        </w:tc>
        <w:tc>
          <w:tcPr>
            <w:tcW w:w="1007" w:type="dxa"/>
            <w:noWrap w:val="0"/>
            <w:vAlign w:val="center"/>
          </w:tcPr>
          <w:p w14:paraId="1EE476E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7DAE8BA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0164B77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2C13C5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4C96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F4F9727">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restart"/>
            <w:tcBorders>
              <w:left w:val="single" w:color="auto" w:sz="4" w:space="0"/>
              <w:right w:val="single" w:color="auto" w:sz="4" w:space="0"/>
            </w:tcBorders>
            <w:noWrap w:val="0"/>
            <w:vAlign w:val="center"/>
          </w:tcPr>
          <w:p w14:paraId="0A2A183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可迁移元素含量</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7450DFA">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锑（</w:t>
            </w:r>
            <w:r>
              <w:rPr>
                <w:rFonts w:hint="default" w:ascii="Times New Roman" w:hAnsi="Times New Roman" w:eastAsia="仿宋" w:cs="Times New Roman"/>
                <w:kern w:val="2"/>
                <w:sz w:val="28"/>
                <w:szCs w:val="28"/>
                <w:lang w:val="en-US" w:eastAsia="zh-CN" w:bidi="ar-SA"/>
              </w:rPr>
              <w:t>Sb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78D55EB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1DECD62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2056598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E79903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6BF2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3FDFFCB">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600813AC">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89008CE">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砷（</w:t>
            </w:r>
            <w:r>
              <w:rPr>
                <w:rFonts w:hint="default" w:ascii="Times New Roman" w:hAnsi="Times New Roman" w:eastAsia="仿宋" w:cs="Times New Roman"/>
                <w:kern w:val="2"/>
                <w:sz w:val="28"/>
                <w:szCs w:val="28"/>
                <w:lang w:val="en-US" w:eastAsia="zh-CN" w:bidi="ar-SA"/>
              </w:rPr>
              <w:t>As</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1D9FA70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465CDD9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45712D6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13A1C9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B88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189CD855">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0801C2F">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1CB3764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钡（</w:t>
            </w:r>
            <w:r>
              <w:rPr>
                <w:rFonts w:hint="default" w:ascii="Times New Roman" w:hAnsi="Times New Roman" w:eastAsia="仿宋" w:cs="Times New Roman"/>
                <w:kern w:val="2"/>
                <w:sz w:val="28"/>
                <w:szCs w:val="28"/>
                <w:lang w:val="en-US" w:eastAsia="zh-CN" w:bidi="ar-SA"/>
              </w:rPr>
              <w:t>Ba</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428856C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6B2C5DA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3EC4C3A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634A0F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054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1AB3C372">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4F038B8">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BF2AD5D">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镉（</w:t>
            </w:r>
            <w:r>
              <w:rPr>
                <w:rFonts w:hint="default" w:ascii="Times New Roman" w:hAnsi="Times New Roman" w:eastAsia="仿宋" w:cs="Times New Roman"/>
                <w:kern w:val="2"/>
                <w:sz w:val="28"/>
                <w:szCs w:val="28"/>
                <w:lang w:val="en-US" w:eastAsia="zh-CN" w:bidi="ar-SA"/>
              </w:rPr>
              <w:t>Cd</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1BA7E7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56199F8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31C8951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473092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766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C1F29C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3CF08DE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C433519">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铬（</w:t>
            </w:r>
            <w:r>
              <w:rPr>
                <w:rFonts w:hint="default" w:ascii="Times New Roman" w:hAnsi="Times New Roman" w:eastAsia="仿宋" w:cs="Times New Roman"/>
                <w:kern w:val="2"/>
                <w:sz w:val="28"/>
                <w:szCs w:val="28"/>
                <w:lang w:val="en-US" w:eastAsia="zh-CN" w:bidi="ar-SA"/>
              </w:rPr>
              <w:t>Cr</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7A44C44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7D442BB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3358311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E05A99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AC6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5538AE5">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0CC8D3DE">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A1E76F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铅（</w:t>
            </w:r>
            <w:r>
              <w:rPr>
                <w:rFonts w:hint="default" w:ascii="Times New Roman" w:hAnsi="Times New Roman" w:eastAsia="仿宋" w:cs="Times New Roman"/>
                <w:kern w:val="2"/>
                <w:sz w:val="28"/>
                <w:szCs w:val="28"/>
                <w:lang w:val="en-US" w:eastAsia="zh-CN" w:bidi="ar-SA"/>
              </w:rPr>
              <w:t>Pb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190DFB1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21398BC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61FB969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34F076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F41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3F7CD332">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5CE3CD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D8D4BDC">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汞（</w:t>
            </w:r>
            <w:r>
              <w:rPr>
                <w:rFonts w:hint="default" w:ascii="Times New Roman" w:hAnsi="Times New Roman" w:eastAsia="仿宋" w:cs="Times New Roman"/>
                <w:kern w:val="2"/>
                <w:sz w:val="28"/>
                <w:szCs w:val="28"/>
                <w:lang w:val="en-US" w:eastAsia="zh-CN" w:bidi="ar-SA"/>
              </w:rPr>
              <w:t>Hg</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54BE6E9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6CAEAD7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6FD62C1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4A7C16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32E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0A8E7F2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06E615E">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9BD916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硒（</w:t>
            </w:r>
            <w:r>
              <w:rPr>
                <w:rFonts w:hint="default" w:ascii="Times New Roman" w:hAnsi="Times New Roman" w:eastAsia="仿宋" w:cs="Times New Roman"/>
                <w:kern w:val="2"/>
                <w:sz w:val="28"/>
                <w:szCs w:val="28"/>
                <w:lang w:val="en-US" w:eastAsia="zh-CN" w:bidi="ar-SA"/>
              </w:rPr>
              <w:t>Se</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1D625FA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950" w:type="dxa"/>
            <w:noWrap w:val="0"/>
            <w:vAlign w:val="center"/>
          </w:tcPr>
          <w:p w14:paraId="0254E11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8</w:t>
            </w:r>
          </w:p>
        </w:tc>
        <w:tc>
          <w:tcPr>
            <w:tcW w:w="1067" w:type="dxa"/>
            <w:noWrap w:val="0"/>
            <w:vAlign w:val="center"/>
          </w:tcPr>
          <w:p w14:paraId="675D5F0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A882C0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E04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restart"/>
            <w:noWrap w:val="0"/>
            <w:vAlign w:val="center"/>
          </w:tcPr>
          <w:p w14:paraId="50820158">
            <w:pPr>
              <w:adjustRightInd w:val="0"/>
              <w:snapToGrid w:val="0"/>
              <w:spacing w:line="240" w:lineRule="auto"/>
              <w:jc w:val="both"/>
              <w:rPr>
                <w:rFonts w:hint="eastAsia" w:ascii="仿宋_GB2312" w:hAnsi="宋体" w:eastAsia="仿宋_GB2312" w:cs="Times New Roman"/>
                <w:kern w:val="2"/>
                <w:sz w:val="28"/>
                <w:szCs w:val="28"/>
                <w:lang w:val="en-US"/>
              </w:rPr>
            </w:pPr>
            <w:r>
              <w:rPr>
                <w:rFonts w:hint="eastAsia" w:eastAsia="仿宋"/>
                <w:sz w:val="28"/>
                <w:szCs w:val="28"/>
                <w:lang w:val="en-US" w:eastAsia="zh-CN"/>
              </w:rPr>
              <w:t>修正带</w:t>
            </w:r>
          </w:p>
        </w:tc>
        <w:tc>
          <w:tcPr>
            <w:tcW w:w="2959" w:type="dxa"/>
            <w:gridSpan w:val="2"/>
            <w:tcBorders>
              <w:left w:val="single" w:color="auto" w:sz="4" w:space="0"/>
              <w:right w:val="single" w:color="auto" w:sz="4" w:space="0"/>
            </w:tcBorders>
            <w:noWrap w:val="0"/>
            <w:vAlign w:val="center"/>
          </w:tcPr>
          <w:p w14:paraId="076319D4">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苯</w:t>
            </w:r>
          </w:p>
        </w:tc>
        <w:tc>
          <w:tcPr>
            <w:tcW w:w="1007" w:type="dxa"/>
            <w:noWrap w:val="0"/>
            <w:vAlign w:val="center"/>
          </w:tcPr>
          <w:p w14:paraId="454DFB1A">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00E7C5C3">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29F7DFC7">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88739D6">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8BA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249C70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959" w:type="dxa"/>
            <w:gridSpan w:val="2"/>
            <w:tcBorders>
              <w:left w:val="single" w:color="auto" w:sz="4" w:space="0"/>
              <w:right w:val="single" w:color="auto" w:sz="4" w:space="0"/>
            </w:tcBorders>
            <w:noWrap w:val="0"/>
            <w:vAlign w:val="center"/>
          </w:tcPr>
          <w:p w14:paraId="5FAE226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氯代烃</w:t>
            </w:r>
          </w:p>
        </w:tc>
        <w:tc>
          <w:tcPr>
            <w:tcW w:w="1007" w:type="dxa"/>
            <w:noWrap w:val="0"/>
            <w:vAlign w:val="center"/>
          </w:tcPr>
          <w:p w14:paraId="290DE09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6724B97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0915308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22B4D4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69D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91D369C">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restart"/>
            <w:tcBorders>
              <w:left w:val="single" w:color="auto" w:sz="4" w:space="0"/>
              <w:right w:val="single" w:color="auto" w:sz="4" w:space="0"/>
            </w:tcBorders>
            <w:noWrap w:val="0"/>
            <w:vAlign w:val="center"/>
          </w:tcPr>
          <w:p w14:paraId="66804076">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邻苯二甲酸酯</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ABF4ED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邻苯二甲酸二己酯（</w:t>
            </w:r>
            <w:r>
              <w:rPr>
                <w:rFonts w:hint="default" w:ascii="Times New Roman" w:hAnsi="Times New Roman" w:eastAsia="仿宋" w:cs="Times New Roman"/>
                <w:kern w:val="2"/>
                <w:sz w:val="28"/>
                <w:szCs w:val="28"/>
                <w:lang w:val="en-US" w:eastAsia="zh-CN" w:bidi="ar-SA"/>
              </w:rPr>
              <w:t>DEHP)</w:t>
            </w:r>
          </w:p>
        </w:tc>
        <w:tc>
          <w:tcPr>
            <w:tcW w:w="1007" w:type="dxa"/>
            <w:noWrap w:val="0"/>
            <w:vAlign w:val="center"/>
          </w:tcPr>
          <w:p w14:paraId="1C9E18D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531E6AC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56B30F9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4F2042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B0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E1AD9BE">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4850EFB2">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1B5016D0">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邻苯二甲酸二丁酯（</w:t>
            </w:r>
            <w:r>
              <w:rPr>
                <w:rFonts w:hint="default" w:ascii="Times New Roman" w:hAnsi="Times New Roman" w:eastAsia="仿宋" w:cs="Times New Roman"/>
                <w:kern w:val="2"/>
                <w:sz w:val="28"/>
                <w:szCs w:val="28"/>
                <w:lang w:val="en-US" w:eastAsia="zh-CN" w:bidi="ar-SA"/>
              </w:rPr>
              <w:t>DBP)</w:t>
            </w:r>
          </w:p>
        </w:tc>
        <w:tc>
          <w:tcPr>
            <w:tcW w:w="1007" w:type="dxa"/>
            <w:noWrap w:val="0"/>
            <w:vAlign w:val="center"/>
          </w:tcPr>
          <w:p w14:paraId="7FAD2D4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04BC23D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616A042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AD5DB2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BC5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278C62A6">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center"/>
          </w:tcPr>
          <w:p w14:paraId="59D35F99">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99BDD23">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邻苯二甲酸丁苄酯（</w:t>
            </w:r>
            <w:r>
              <w:rPr>
                <w:rFonts w:hint="default" w:ascii="Times New Roman" w:hAnsi="Times New Roman" w:eastAsia="仿宋" w:cs="Times New Roman"/>
                <w:kern w:val="2"/>
                <w:sz w:val="28"/>
                <w:szCs w:val="28"/>
                <w:lang w:val="en-US" w:eastAsia="zh-CN" w:bidi="ar-SA"/>
              </w:rPr>
              <w:t>BBP)</w:t>
            </w:r>
          </w:p>
        </w:tc>
        <w:tc>
          <w:tcPr>
            <w:tcW w:w="1007" w:type="dxa"/>
            <w:noWrap w:val="0"/>
            <w:vAlign w:val="center"/>
          </w:tcPr>
          <w:p w14:paraId="3E586A5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1CD3C13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2AD6502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07AC7E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334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71936FDC">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restart"/>
            <w:tcBorders>
              <w:left w:val="single" w:color="auto" w:sz="4" w:space="0"/>
              <w:right w:val="single" w:color="auto" w:sz="4" w:space="0"/>
            </w:tcBorders>
            <w:noWrap w:val="0"/>
            <w:vAlign w:val="center"/>
          </w:tcPr>
          <w:p w14:paraId="038C051D">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可迁移元素含量</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76F0CCF">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锑（</w:t>
            </w:r>
            <w:r>
              <w:rPr>
                <w:rFonts w:hint="default" w:ascii="Times New Roman" w:hAnsi="Times New Roman" w:eastAsia="仿宋" w:cs="Times New Roman"/>
                <w:kern w:val="2"/>
                <w:sz w:val="28"/>
                <w:szCs w:val="28"/>
                <w:lang w:val="en-US" w:eastAsia="zh-CN" w:bidi="ar-SA"/>
              </w:rPr>
              <w:t>Sb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67CE16C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3511348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6F70D18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59622C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4E6B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42B4C76">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137B003F">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3587C8C">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砷（</w:t>
            </w:r>
            <w:r>
              <w:rPr>
                <w:rFonts w:hint="default" w:ascii="Times New Roman" w:hAnsi="Times New Roman" w:eastAsia="仿宋" w:cs="Times New Roman"/>
                <w:kern w:val="2"/>
                <w:sz w:val="28"/>
                <w:szCs w:val="28"/>
                <w:lang w:val="en-US" w:eastAsia="zh-CN" w:bidi="ar-SA"/>
              </w:rPr>
              <w:t>As</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5B13BDE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14662CE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71D136F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F929EE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8FB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6235E2FB">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4501E0F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4913F8B1">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钡（</w:t>
            </w:r>
            <w:r>
              <w:rPr>
                <w:rFonts w:hint="default" w:ascii="Times New Roman" w:hAnsi="Times New Roman" w:eastAsia="仿宋" w:cs="Times New Roman"/>
                <w:kern w:val="2"/>
                <w:sz w:val="28"/>
                <w:szCs w:val="28"/>
                <w:lang w:val="en-US" w:eastAsia="zh-CN" w:bidi="ar-SA"/>
              </w:rPr>
              <w:t>Ba</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7E88323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195D5EA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1EC830B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C3FD82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30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521B26F6">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51150D9E">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6FBD4C6">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镉（</w:t>
            </w:r>
            <w:r>
              <w:rPr>
                <w:rFonts w:hint="default" w:ascii="Times New Roman" w:hAnsi="Times New Roman" w:eastAsia="仿宋" w:cs="Times New Roman"/>
                <w:kern w:val="2"/>
                <w:sz w:val="28"/>
                <w:szCs w:val="28"/>
                <w:lang w:val="en-US" w:eastAsia="zh-CN" w:bidi="ar-SA"/>
              </w:rPr>
              <w:t>Cd</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2CAB5A7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6630613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3B7254C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1A7839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24A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3E288CFF">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2195054E">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10227873">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铬（</w:t>
            </w:r>
            <w:r>
              <w:rPr>
                <w:rFonts w:hint="default" w:ascii="Times New Roman" w:hAnsi="Times New Roman" w:eastAsia="仿宋" w:cs="Times New Roman"/>
                <w:kern w:val="2"/>
                <w:sz w:val="28"/>
                <w:szCs w:val="28"/>
                <w:lang w:val="en-US" w:eastAsia="zh-CN" w:bidi="ar-SA"/>
              </w:rPr>
              <w:t>Cr</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28B9F01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0C50561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7252524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2B75415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49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2FE30621">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6D1C044A">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BEF582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铅（</w:t>
            </w:r>
            <w:r>
              <w:rPr>
                <w:rFonts w:hint="default" w:ascii="Times New Roman" w:hAnsi="Times New Roman" w:eastAsia="仿宋" w:cs="Times New Roman"/>
                <w:kern w:val="2"/>
                <w:sz w:val="28"/>
                <w:szCs w:val="28"/>
                <w:lang w:val="en-US" w:eastAsia="zh-CN" w:bidi="ar-SA"/>
              </w:rPr>
              <w:t>Pb</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48F1EBB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7D3134F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4315595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3A5FF14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9E3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17419568">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6205350B">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2D81424">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汞（</w:t>
            </w:r>
            <w:r>
              <w:rPr>
                <w:rFonts w:hint="default" w:ascii="Times New Roman" w:hAnsi="Times New Roman" w:eastAsia="仿宋" w:cs="Times New Roman"/>
                <w:kern w:val="2"/>
                <w:sz w:val="28"/>
                <w:szCs w:val="28"/>
                <w:lang w:val="en-US" w:eastAsia="zh-CN" w:bidi="ar-SA"/>
              </w:rPr>
              <w:t>Hg</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0F0A2FF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4D027C4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6940BC4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AB8B23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CE0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Merge w:val="continue"/>
            <w:noWrap w:val="0"/>
            <w:vAlign w:val="center"/>
          </w:tcPr>
          <w:p w14:paraId="45CA80CE">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1448" w:type="dxa"/>
            <w:vMerge w:val="continue"/>
            <w:tcBorders>
              <w:left w:val="single" w:color="auto" w:sz="4" w:space="0"/>
              <w:right w:val="single" w:color="auto" w:sz="4" w:space="0"/>
            </w:tcBorders>
            <w:noWrap w:val="0"/>
            <w:vAlign w:val="bottom"/>
          </w:tcPr>
          <w:p w14:paraId="38201A0B">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17A1DB17">
            <w:pPr>
              <w:keepNext w:val="0"/>
              <w:keepLines w:val="0"/>
              <w:widowControl/>
              <w:suppressLineNumbers w:val="0"/>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kern w:val="2"/>
                <w:sz w:val="28"/>
                <w:szCs w:val="28"/>
                <w:lang w:val="en-US" w:eastAsia="zh-CN" w:bidi="ar-SA"/>
              </w:rPr>
              <w:t>硒（</w:t>
            </w:r>
            <w:r>
              <w:rPr>
                <w:rFonts w:hint="default" w:ascii="Times New Roman" w:hAnsi="Times New Roman" w:eastAsia="仿宋" w:cs="Times New Roman"/>
                <w:kern w:val="2"/>
                <w:sz w:val="28"/>
                <w:szCs w:val="28"/>
                <w:lang w:val="en-US" w:eastAsia="zh-CN" w:bidi="ar-SA"/>
              </w:rPr>
              <w:t>Se</w:t>
            </w:r>
            <w:r>
              <w:rPr>
                <w:rFonts w:hint="eastAsia" w:ascii="Times New Roman" w:hAnsi="Times New Roman" w:eastAsia="仿宋" w:cs="Times New Roman"/>
                <w:kern w:val="2"/>
                <w:sz w:val="28"/>
                <w:szCs w:val="28"/>
                <w:lang w:val="en-US" w:eastAsia="zh-CN" w:bidi="ar-SA"/>
              </w:rPr>
              <w:t>）</w:t>
            </w:r>
          </w:p>
        </w:tc>
        <w:tc>
          <w:tcPr>
            <w:tcW w:w="1007" w:type="dxa"/>
            <w:noWrap w:val="0"/>
            <w:vAlign w:val="center"/>
          </w:tcPr>
          <w:p w14:paraId="6B1086B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7CF745E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4A424AB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BCF9B2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bookmarkEnd w:id="1"/>
      <w:bookmarkEnd w:id="2"/>
      <w:bookmarkEnd w:id="3"/>
    </w:tbl>
    <w:p w14:paraId="1FA015AC">
      <w:pPr>
        <w:keepNext w:val="0"/>
        <w:keepLines w:val="0"/>
        <w:pageBreakBefore w:val="0"/>
        <w:widowControl w:val="0"/>
        <w:kinsoku/>
        <w:wordWrap/>
        <w:overflowPunct/>
        <w:topLinePunct w:val="0"/>
        <w:autoSpaceDE w:val="0"/>
        <w:autoSpaceDN w:val="0"/>
        <w:bidi w:val="0"/>
        <w:adjustRightInd w:val="0"/>
        <w:snapToGrid/>
        <w:spacing w:line="560" w:lineRule="exact"/>
        <w:textAlignment w:val="auto"/>
        <w:outlineLvl w:val="1"/>
        <w:rPr>
          <w:rFonts w:hint="default" w:ascii="楷体_GB2312" w:hAnsi="宋体" w:eastAsia="楷体_GB2312"/>
          <w:b w:val="0"/>
          <w:bCs w:val="0"/>
          <w:color w:val="FF0000"/>
          <w:sz w:val="32"/>
          <w:szCs w:val="32"/>
          <w:lang w:val="en-US" w:eastAsia="zh-CN"/>
        </w:rPr>
      </w:pPr>
      <w:bookmarkStart w:id="4" w:name="_Toc12393"/>
      <w:r>
        <w:rPr>
          <w:rFonts w:hint="eastAsia" w:ascii="楷体_GB2312" w:hAnsi="宋体" w:eastAsia="楷体_GB2312"/>
          <w:b w:val="0"/>
          <w:bCs w:val="0"/>
          <w:sz w:val="32"/>
          <w:szCs w:val="32"/>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rPr>
        <w:t>）</w:t>
      </w:r>
      <w:r>
        <w:rPr>
          <w:rFonts w:hint="eastAsia" w:ascii="楷体_GB2312" w:hAnsi="宋体" w:eastAsia="楷体_GB2312"/>
          <w:b w:val="0"/>
          <w:bCs w:val="0"/>
          <w:sz w:val="32"/>
          <w:szCs w:val="32"/>
          <w:lang w:val="en-US" w:eastAsia="zh-CN"/>
        </w:rPr>
        <w:t>重点检测项目分析</w:t>
      </w:r>
      <w:bookmarkEnd w:id="4"/>
    </w:p>
    <w:p w14:paraId="0445B4B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邻苯二甲酸酯</w:t>
      </w:r>
    </w:p>
    <w:p w14:paraId="02AFC12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对学生用品中的邻苯二甲酸酯进行检测具有至关重要的健康安全意义。这类物质作为增塑剂广泛存在于塑料、橡皮等文具中，但其与聚合物结合并非完全牢固，会持续缓慢地迁移至外部。儿童和学生群体由于行为特点（如啃咬笔头、用手接触后直接进食）以及身体正处于发育期，更易成为暴露和危害的高风险人群。因此，实施严格检测是评估产品安全性、从源头阻断暴露途径、保护青少年健康的关键技术屏障，也是市场监管和企业质量管控的核心依据。</w:t>
      </w:r>
    </w:p>
    <w:p w14:paraId="6B91EA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邻苯二甲酸酯超标对学生健康构成严重威胁，其主要危害在于其内分泌干扰作用。这类物质被认定为环境激素，可经口、皮肤接触等途径进入儿童体内，干扰正常的雄性激素代谢，可能影响男孩生殖系统的正常发育，并导致女孩性早熟。长期暴露还会对肝脏和肾脏造成毒性损伤，甚至有研究提示其与儿童过敏和哮喘发生相关。鉴于其危害的隐蔽性和长期性，严格控制学生用品中的含量对保障下一代健康成长至关重要。</w:t>
      </w:r>
    </w:p>
    <w:p w14:paraId="41E5F6F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可迁移元素含量</w:t>
      </w:r>
    </w:p>
    <w:p w14:paraId="3448AF4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对学生用品中的可迁移元素含量进行强制性检测，核心目的在于评估其在模拟使用场景下（如吮吸、咀嚼、皮肤接触后经汗液或唾液溶解）被人体特别是儿童吸收的风险。这类元素常存在于产品的油漆涂层、油墨、塑料或金属部件中。由于儿童行为习惯特殊（如啃咬玩具、用手接触后直接进食）且身体代谢系统发育不完善，对有毒元素的耐受性极低。因此，该检测是国际通行的关键安全指标，是构建产品安全防线、保护易感人群免受慢性毒害不可或缺的技术手段。</w:t>
      </w:r>
    </w:p>
    <w:p w14:paraId="732BD57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可迁移元素超标对学生健康构成严重且长期的危害。这些重金属及有害元素一旦通过迁移进入儿童体内，会在体内逐渐蓄积，难以排出。铅、汞等会严重损害神经系统发育，导致儿童智力下降、注意力不集中和多动；铬、砷等具有致癌性；镉则主要损害肾脏和骨骼。其危害具有隐蔽性和累积性，即使低剂量长期暴露，后果也十分严重，可能造成不可逆的健康损伤，因此必须从源头上严格控制。</w:t>
      </w:r>
    </w:p>
    <w:p w14:paraId="7456EAB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eastAsia="zh-CN"/>
        </w:rPr>
        <w:t>）苯、氯代烃</w:t>
      </w:r>
    </w:p>
    <w:p w14:paraId="123F227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对修正带和修正液中的苯及氯代烃进行严格检测具有至关重要的健康防护意义。这类有机溶剂被用于溶解成膜物质，使其易于涂改，但其极易在室温下挥发并扩散到周围空气中。学生在使用过程中会通过呼吸道吸入这些挥发性化合物，成为最主要的暴露途径。由于青少年正处于呼吸系统和神经系统发育的关键期，且教室环境人员密集、通风可能有限，极易造成污染物积聚。因此，该检测是评估产品在使用过程中室内空气质量风险、保护学生群体呼吸健康的关键技术手段，是产品安全性的核心评价指标。</w:t>
      </w:r>
    </w:p>
    <w:p w14:paraId="337707D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和氯代烃超标对学生的健康危害巨大且直接。苯是国际公认的强致癌物，长期吸入会损害造血系统，引发再生障碍性贫血甚至白血病。氯代烃（如三氯乙烷、二氯甲烷等）则对中枢神经系统有强烈抑制作用，可能导致头晕、嗜睡、恶心等急性症状，长期暴露还会损伤肝脏和肾脏。这些有害物质通过挥发被学生直接吸入，危害具有隐蔽性和不可逆性，严重威胁在校学生的身体健康与安全发育。</w:t>
      </w:r>
    </w:p>
    <w:p w14:paraId="0873E09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lang w:eastAsia="zh-CN"/>
        </w:rPr>
        <w:t>）D65亮度、D65荧光亮度</w:t>
      </w:r>
    </w:p>
    <w:p w14:paraId="558B73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对课业簿册的D65亮度和D65荧光亮度进行检测，核心意义在于科学评估纸张的视觉舒适度与潜在健康风险，是保护学生视力健康的重要技术措施。D65亮度反映了在标准日光光源下纸张表面的反射光强度，而荧光亮度则特指通过添加荧光增白剂（FWAs）所产生的不自然的过量蓝白光。该检测旨在防止生产商为追求纸张“洁白”视觉效果而过度使用荧光增白剂，从而为学生提供光线柔和、对比度适宜的学习用具，减少视觉疲劳，营造健康的视觉环境。</w:t>
      </w:r>
    </w:p>
    <w:p w14:paraId="292274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D65亮度及D65荧光亮度超标会对学生视力造成多重危害。过高的亮度会产生强烈的眩光，如同直视雪地或强光，迫使眼睛睫状肌过度紧张以调节视线，极易导致视觉疲劳、酸胀干涩，进而诱发或加深近视。更严重的是，过量荧光增白剂吸收紫外线后发射出的过量蓝白光段，其高能短波蓝光穿透力强，可能损害视网膜细胞，长期使用会对眼睛造成累积性、不可逆的损伤，严重威胁青少年视力发育与健康。</w:t>
      </w:r>
    </w:p>
    <w:p w14:paraId="4AC2D76E">
      <w:pPr>
        <w:pStyle w:val="20"/>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outlineLvl w:val="0"/>
        <w:rPr>
          <w:rFonts w:ascii="黑体" w:hAnsi="黑体" w:eastAsia="黑体"/>
          <w:sz w:val="32"/>
          <w:szCs w:val="32"/>
        </w:rPr>
      </w:pPr>
      <w:bookmarkStart w:id="5" w:name="_Toc31462"/>
      <w:r>
        <w:rPr>
          <w:rFonts w:hint="eastAsia" w:ascii="黑体" w:hAnsi="黑体" w:eastAsia="黑体"/>
          <w:sz w:val="32"/>
          <w:szCs w:val="32"/>
          <w:lang w:val="en-US" w:eastAsia="zh-CN"/>
        </w:rPr>
        <w:t>三</w:t>
      </w:r>
      <w:r>
        <w:rPr>
          <w:rFonts w:hint="eastAsia" w:ascii="黑体" w:hAnsi="黑体" w:eastAsia="黑体"/>
          <w:sz w:val="32"/>
          <w:szCs w:val="32"/>
        </w:rPr>
        <w:t>、消费建议</w:t>
      </w:r>
      <w:bookmarkEnd w:id="5"/>
    </w:p>
    <w:p w14:paraId="145808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bookmarkStart w:id="6" w:name="_Hlk110003160"/>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选购学生用品前需仔细检查标签，看是否标注了生产厂家、地址和联系方式等信息；在电商平台购买时要核对网页描述信息，购买网页信息全面，优先选择附有正规机构检测报告的产品。</w:t>
      </w:r>
    </w:p>
    <w:p w14:paraId="4FA3ED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eastAsia="zh-CN"/>
        </w:rPr>
        <w:t>尽量在正规商场、文具店和网络旗舰店购买文具。文具用品应清楚标明产品名称、执行标准、生产厂名、厂址、警示用语、使用时应注意的事项、生产日期、保质期等内容，避免购买三无产品。</w:t>
      </w:r>
    </w:p>
    <w:bookmarkEnd w:id="6"/>
    <w:p w14:paraId="3918DC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eastAsia="zh-CN"/>
        </w:rPr>
        <w:t>选购课业簿册时，要看清封底有无产品标识,包括制造厂名、地址、规格尺寸、内芯张数、采用标准编号；封面的图案和文字是否完整,视觉上有无重影感；按照封底标注的页数,查看内页是否有缺页、破损页和无格线的白页；特别关注内页中缝处两个钉子的钉脚尖端是否有外翘现象,是否偏离中缝线，如发现问题及时向商家退换。</w:t>
      </w:r>
    </w:p>
    <w:p w14:paraId="77FB5C7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lang w:eastAsia="zh-CN"/>
        </w:rPr>
        <w:t>购买时不要过于注重文具的“色香味”，应打开闻一闻气味，劣质产品容易有明显刺鼻气味，或有添加劣质香精造成的不正常浓烈香味。</w:t>
      </w:r>
    </w:p>
    <w:p w14:paraId="4CA3D609">
      <w:pPr>
        <w:ind w:firstLine="640" w:firstLineChars="200"/>
        <w:rPr>
          <w:rFonts w:hint="eastAsia" w:ascii="仿宋_GB2312" w:hAnsi="宋体" w:eastAsia="仿宋_GB2312" w:cs="Times New Roman"/>
          <w:sz w:val="32"/>
          <w:szCs w:val="32"/>
          <w:lang w:eastAsia="zh-CN"/>
        </w:rPr>
      </w:pPr>
    </w:p>
    <w:p w14:paraId="219D1DDA">
      <w:pPr>
        <w:ind w:firstLine="640" w:firstLineChars="200"/>
        <w:rPr>
          <w:rFonts w:hint="eastAsia" w:ascii="仿宋_GB2312" w:hAnsi="宋体" w:eastAsia="仿宋_GB2312" w:cs="Times New Roman"/>
          <w:sz w:val="32"/>
          <w:szCs w:val="32"/>
          <w:lang w:val="en-US" w:eastAsia="zh-CN"/>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49C7EFB"/>
    <w:rsid w:val="05C50AD2"/>
    <w:rsid w:val="05E50846"/>
    <w:rsid w:val="075D1A4D"/>
    <w:rsid w:val="0869448C"/>
    <w:rsid w:val="0C580AA0"/>
    <w:rsid w:val="0D465BE4"/>
    <w:rsid w:val="0D834329"/>
    <w:rsid w:val="0F694D72"/>
    <w:rsid w:val="1032477F"/>
    <w:rsid w:val="12B85F06"/>
    <w:rsid w:val="12B97DBE"/>
    <w:rsid w:val="13655850"/>
    <w:rsid w:val="139D612C"/>
    <w:rsid w:val="146B158C"/>
    <w:rsid w:val="15325C06"/>
    <w:rsid w:val="15A45C82"/>
    <w:rsid w:val="183D0B4A"/>
    <w:rsid w:val="197C1B46"/>
    <w:rsid w:val="1BD94E2F"/>
    <w:rsid w:val="1C3E7845"/>
    <w:rsid w:val="255E0351"/>
    <w:rsid w:val="26B91CE3"/>
    <w:rsid w:val="2A7C3754"/>
    <w:rsid w:val="2A9C3DF6"/>
    <w:rsid w:val="2C4B2A08"/>
    <w:rsid w:val="2C8573E5"/>
    <w:rsid w:val="30156EFC"/>
    <w:rsid w:val="307F7AFA"/>
    <w:rsid w:val="34F367C5"/>
    <w:rsid w:val="351153E0"/>
    <w:rsid w:val="358D4A67"/>
    <w:rsid w:val="37CE746E"/>
    <w:rsid w:val="3870241E"/>
    <w:rsid w:val="3B4167A1"/>
    <w:rsid w:val="3D87339C"/>
    <w:rsid w:val="3E8E35FE"/>
    <w:rsid w:val="42CE08A9"/>
    <w:rsid w:val="48D83DF3"/>
    <w:rsid w:val="492E6109"/>
    <w:rsid w:val="4CC34DBA"/>
    <w:rsid w:val="4EB64BD7"/>
    <w:rsid w:val="4F7C7BCE"/>
    <w:rsid w:val="5281374D"/>
    <w:rsid w:val="53D17DBD"/>
    <w:rsid w:val="53F65A75"/>
    <w:rsid w:val="564E3440"/>
    <w:rsid w:val="589917F1"/>
    <w:rsid w:val="5A20384C"/>
    <w:rsid w:val="5A70032F"/>
    <w:rsid w:val="5B5C018E"/>
    <w:rsid w:val="5DD706C5"/>
    <w:rsid w:val="5E541D16"/>
    <w:rsid w:val="5E567766"/>
    <w:rsid w:val="611B6B1B"/>
    <w:rsid w:val="6200643D"/>
    <w:rsid w:val="64B61035"/>
    <w:rsid w:val="68356714"/>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1"/>
    <w:basedOn w:val="1"/>
    <w:next w:val="1"/>
    <w:qFormat/>
    <w:uiPriority w:val="0"/>
    <w:pPr>
      <w:ind w:left="923" w:right="938"/>
      <w:outlineLvl w:val="0"/>
    </w:pPr>
    <w:rPr>
      <w:rFonts w:ascii="Microsoft JhengHei" w:hAnsi="Microsoft JhengHei" w:eastAsia="Microsoft JhengHei" w:cs="Microsoft JhengHei"/>
      <w:b/>
      <w:bCs/>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snapToGrid/>
      <w:spacing w:line="240" w:lineRule="auto"/>
      <w:ind w:firstLine="420"/>
    </w:pPr>
    <w:rPr>
      <w:sz w:val="21"/>
    </w:rPr>
  </w:style>
  <w:style w:type="paragraph" w:styleId="6">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qFormat/>
    <w:uiPriority w:val="0"/>
    <w:rPr>
      <w:rFonts w:ascii="Arial" w:hAnsi="Arial"/>
    </w:rPr>
  </w:style>
  <w:style w:type="paragraph" w:styleId="9">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10">
    <w:name w:val="Body Text Indent 2"/>
    <w:basedOn w:val="1"/>
    <w:unhideWhenUsed/>
    <w:qFormat/>
    <w:uiPriority w:val="99"/>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unhideWhenUsed/>
    <w:qFormat/>
    <w:uiPriority w:val="99"/>
    <w:rPr>
      <w:sz w:val="24"/>
    </w:rPr>
  </w:style>
  <w:style w:type="paragraph" w:customStyle="1" w:styleId="18">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9">
    <w:name w:val="正文 + (西文) Times New Roman"/>
    <w:basedOn w:val="15"/>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20">
    <w:name w:val="List Paragraph"/>
    <w:basedOn w:val="1"/>
    <w:qFormat/>
    <w:uiPriority w:val="34"/>
    <w:pPr>
      <w:ind w:firstLine="420" w:firstLineChars="200"/>
    </w:pPr>
  </w:style>
  <w:style w:type="paragraph" w:customStyle="1" w:styleId="21">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2782</Words>
  <Characters>3126</Characters>
  <Lines>0</Lines>
  <Paragraphs>0</Paragraphs>
  <TotalTime>14</TotalTime>
  <ScaleCrop>false</ScaleCrop>
  <LinksUpToDate>false</LinksUpToDate>
  <CharactersWithSpaces>3134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cc</cp:lastModifiedBy>
  <dcterms:modified xsi:type="dcterms:W3CDTF">2025-12-31T07:13:30Z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eyJoZGlkIjoiNTM0MWY1MTkyZmEwZjk0NTI1NmU4NmQ5NTg1ZDdkMGMiLCJ1c2VySWQiOiI3MDU4NDgzNTgifQ==</vt:lpwstr>
  </property>
</Properties>
</file>