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年新北区电动自行车充电器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产品质量</w:t>
      </w:r>
    </w:p>
    <w:p w14:paraId="1FBB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监督抽查分析报告</w:t>
      </w:r>
    </w:p>
    <w:p w14:paraId="35CC24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Times New Roman"/>
          <w:b w:val="0"/>
          <w:bCs w:val="0"/>
        </w:rPr>
        <w:t>总体情况</w:t>
      </w:r>
    </w:p>
    <w:p w14:paraId="637C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2025年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常州国家高新技术产业开发区（新北区）市场监督管理局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委托斯坦德检测集团股份有限公司对电动自行车充电器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开展定期监督抽查。</w:t>
      </w:r>
      <w:r>
        <w:rPr>
          <w:rFonts w:hint="eastAsia" w:ascii="仿宋_GB2312" w:hAnsi="宋体" w:eastAsia="仿宋_GB2312"/>
          <w:sz w:val="32"/>
          <w:szCs w:val="32"/>
        </w:rPr>
        <w:t>本次监督抽查对象为本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销售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电动自行车充电器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实体店，检测依据为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GB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42296-2022《电动自行车用充电器安全技术要求》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及1号修改单、T/TCDZ0001-2019《电动自行车用蓄电池充电器》</w:t>
      </w:r>
      <w:r>
        <w:rPr>
          <w:rFonts w:hint="eastAsia" w:ascii="仿宋_GB2312" w:hAnsi="宋体" w:eastAsia="仿宋_GB2312"/>
          <w:sz w:val="32"/>
          <w:szCs w:val="32"/>
        </w:rPr>
        <w:t>标准。本次共抽检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批次，涉及裕兴等多个品牌，合格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批次，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宋体" w:eastAsia="仿宋_GB2312"/>
          <w:sz w:val="32"/>
          <w:szCs w:val="32"/>
        </w:rPr>
        <w:t>不合格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产品2批次</w:t>
      </w:r>
      <w:r>
        <w:rPr>
          <w:rFonts w:eastAsia="仿宋"/>
          <w:sz w:val="32"/>
          <w:szCs w:val="32"/>
        </w:rPr>
        <w:t>，不合格发现率</w:t>
      </w:r>
      <w:r>
        <w:rPr>
          <w:rFonts w:hint="eastAsia" w:eastAsia="仿宋"/>
          <w:sz w:val="32"/>
          <w:szCs w:val="32"/>
          <w:lang w:val="en-US" w:eastAsia="zh-CN"/>
        </w:rPr>
        <w:t>40.0</w:t>
      </w:r>
      <w:r>
        <w:rPr>
          <w:rFonts w:eastAsia="仿宋"/>
          <w:sz w:val="32"/>
          <w:szCs w:val="32"/>
        </w:rPr>
        <w:t>%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241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综合分析</w:t>
      </w:r>
    </w:p>
    <w:p w14:paraId="0B1F00B1"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楷体_GB2312" w:hAnsi="宋体" w:eastAsia="楷体_GB2312" w:cs="宋体"/>
          <w:b w:val="0"/>
          <w:bCs w:val="0"/>
        </w:rPr>
      </w:pPr>
      <w:bookmarkStart w:id="0" w:name="_Toc32191"/>
      <w:r>
        <w:rPr>
          <w:rFonts w:hint="eastAsia" w:ascii="楷体_GB2312" w:hAnsi="宋体" w:eastAsia="楷体_GB2312" w:cs="宋体"/>
          <w:b w:val="0"/>
          <w:bCs w:val="0"/>
        </w:rPr>
        <w:t>（</w:t>
      </w:r>
      <w:r>
        <w:rPr>
          <w:rFonts w:hint="eastAsia" w:ascii="楷体_GB2312" w:hAnsi="宋体" w:eastAsia="楷体_GB2312" w:cs="宋体"/>
          <w:b w:val="0"/>
          <w:bCs w:val="0"/>
          <w:lang w:val="en-US" w:eastAsia="zh-CN"/>
        </w:rPr>
        <w:t>一</w:t>
      </w:r>
      <w:r>
        <w:rPr>
          <w:rFonts w:hint="eastAsia" w:ascii="楷体_GB2312" w:hAnsi="宋体" w:eastAsia="楷体_GB2312" w:cs="宋体"/>
          <w:b w:val="0"/>
          <w:bCs w:val="0"/>
        </w:rPr>
        <w:t>）产品质量抽查结果分析</w:t>
      </w:r>
      <w:bookmarkEnd w:id="0"/>
    </w:p>
    <w:p w14:paraId="17ADD42B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52" w:firstLineChars="177"/>
        <w:textAlignment w:val="auto"/>
        <w:rPr>
          <w:rFonts w:hint="eastAsia"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产品检验标准为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GB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42296-2022《电动自行车用充电器安全技术要求》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及1号修改单、T/TCDZ0001-2019《电动自行车用蓄电池充电器》</w:t>
      </w:r>
      <w:r>
        <w:rPr>
          <w:rFonts w:hint="eastAsia" w:eastAsia="仿宋"/>
          <w:sz w:val="32"/>
          <w:szCs w:val="32"/>
          <w:lang w:val="en-US" w:eastAsia="zh-CN"/>
        </w:rPr>
        <w:t>标准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，经检验，</w:t>
      </w:r>
      <w:r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批次</w:t>
      </w:r>
      <w:r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  <w:t>产品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合格</w:t>
      </w:r>
      <w:r>
        <w:rPr>
          <w:rFonts w:hint="eastAsia" w:ascii="仿宋_GB2312" w:hAnsi="宋体" w:eastAsia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pacing w:val="-4"/>
          <w:sz w:val="32"/>
          <w:szCs w:val="32"/>
          <w:lang w:val="en-US" w:eastAsia="zh-CN"/>
        </w:rPr>
        <w:t>发现不合格产品2批次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。</w:t>
      </w:r>
    </w:p>
    <w:p w14:paraId="30A71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560" w:firstLineChars="8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检验项目分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析</w:t>
      </w:r>
      <w:r>
        <w:rPr>
          <w:rFonts w:hint="eastAsia" w:ascii="仿宋_GB2312" w:hAnsi="宋体" w:eastAsia="仿宋_GB2312" w:cs="宋体"/>
          <w:sz w:val="32"/>
          <w:szCs w:val="32"/>
        </w:rPr>
        <w:t>表</w:t>
      </w:r>
    </w:p>
    <w:tbl>
      <w:tblPr>
        <w:tblStyle w:val="16"/>
        <w:tblpPr w:leftFromText="180" w:rightFromText="180" w:vertAnchor="text" w:horzAnchor="margin" w:tblpXSpec="center" w:tblpY="332"/>
        <w:tblW w:w="7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959"/>
        <w:gridCol w:w="1007"/>
        <w:gridCol w:w="950"/>
        <w:gridCol w:w="1067"/>
        <w:gridCol w:w="981"/>
      </w:tblGrid>
      <w:tr w14:paraId="603A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noWrap w:val="0"/>
            <w:vAlign w:val="center"/>
          </w:tcPr>
          <w:p w14:paraId="0DA3104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bookmarkStart w:id="1" w:name="_Hlk78275255"/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产品类别</w:t>
            </w:r>
          </w:p>
        </w:tc>
        <w:tc>
          <w:tcPr>
            <w:tcW w:w="2959" w:type="dxa"/>
            <w:noWrap w:val="0"/>
            <w:vAlign w:val="center"/>
          </w:tcPr>
          <w:p w14:paraId="7582180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检验检测项目</w:t>
            </w:r>
          </w:p>
        </w:tc>
        <w:tc>
          <w:tcPr>
            <w:tcW w:w="1007" w:type="dxa"/>
            <w:noWrap w:val="0"/>
            <w:vAlign w:val="center"/>
          </w:tcPr>
          <w:p w14:paraId="3815989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批次</w:t>
            </w:r>
          </w:p>
        </w:tc>
        <w:tc>
          <w:tcPr>
            <w:tcW w:w="950" w:type="dxa"/>
            <w:noWrap w:val="0"/>
            <w:vAlign w:val="center"/>
          </w:tcPr>
          <w:p w14:paraId="2CD4FF3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合格批次</w:t>
            </w:r>
          </w:p>
        </w:tc>
        <w:tc>
          <w:tcPr>
            <w:tcW w:w="1067" w:type="dxa"/>
            <w:noWrap w:val="0"/>
            <w:vAlign w:val="center"/>
          </w:tcPr>
          <w:p w14:paraId="4CEF459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不合格批次</w:t>
            </w:r>
          </w:p>
        </w:tc>
        <w:tc>
          <w:tcPr>
            <w:tcW w:w="981" w:type="dxa"/>
            <w:noWrap w:val="0"/>
            <w:vAlign w:val="center"/>
          </w:tcPr>
          <w:p w14:paraId="1B6D864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合格率/%</w:t>
            </w:r>
          </w:p>
        </w:tc>
      </w:tr>
      <w:tr w14:paraId="606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restart"/>
            <w:noWrap w:val="0"/>
            <w:vAlign w:val="center"/>
          </w:tcPr>
          <w:p w14:paraId="1AD577C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电动自行车充电器（GB 42296-2022）</w:t>
            </w:r>
          </w:p>
        </w:tc>
        <w:tc>
          <w:tcPr>
            <w:tcW w:w="2959" w:type="dxa"/>
            <w:noWrap w:val="0"/>
            <w:vAlign w:val="center"/>
          </w:tcPr>
          <w:p w14:paraId="39A26E9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外壳冲击</w:t>
            </w:r>
          </w:p>
        </w:tc>
        <w:tc>
          <w:tcPr>
            <w:tcW w:w="1007" w:type="dxa"/>
            <w:noWrap w:val="0"/>
            <w:vAlign w:val="center"/>
          </w:tcPr>
          <w:p w14:paraId="43143E0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9EF42E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0BBB2D6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50FD8C7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7FD5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61263FD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bookmarkStart w:id="2" w:name="_bookmark11"/>
            <w:bookmarkStart w:id="3" w:name="_bookmark10"/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972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跌落</w:t>
            </w:r>
          </w:p>
        </w:tc>
        <w:tc>
          <w:tcPr>
            <w:tcW w:w="1007" w:type="dxa"/>
            <w:noWrap w:val="0"/>
            <w:vAlign w:val="center"/>
          </w:tcPr>
          <w:p w14:paraId="77F0C8C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91C4D5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72DBBB2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23EB2C3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3FB4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380A8C9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E8E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工作温度下的泄漏电流</w:t>
            </w:r>
          </w:p>
        </w:tc>
        <w:tc>
          <w:tcPr>
            <w:tcW w:w="1007" w:type="dxa"/>
            <w:noWrap w:val="0"/>
            <w:vAlign w:val="center"/>
          </w:tcPr>
          <w:p w14:paraId="35BD6F1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CCC1A7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58A91B2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3B0BED6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3968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7AA246A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D1D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电气强度</w:t>
            </w:r>
          </w:p>
        </w:tc>
        <w:tc>
          <w:tcPr>
            <w:tcW w:w="1007" w:type="dxa"/>
            <w:noWrap w:val="0"/>
            <w:vAlign w:val="center"/>
          </w:tcPr>
          <w:p w14:paraId="15B6B1E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73EBC9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4FDA62F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2F59ACF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57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4D9D1F1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C28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防触电保护</w:t>
            </w:r>
          </w:p>
        </w:tc>
        <w:tc>
          <w:tcPr>
            <w:tcW w:w="1007" w:type="dxa"/>
            <w:noWrap w:val="0"/>
            <w:vAlign w:val="center"/>
          </w:tcPr>
          <w:p w14:paraId="1970190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091AC1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693DC5A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00675C0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4DB6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6F39BCD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6572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非正常工作（仅测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5.2.5.1、5.2.5.2）</w:t>
            </w:r>
          </w:p>
        </w:tc>
        <w:tc>
          <w:tcPr>
            <w:tcW w:w="1007" w:type="dxa"/>
            <w:noWrap w:val="0"/>
            <w:vAlign w:val="center"/>
          </w:tcPr>
          <w:p w14:paraId="552601D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A3952B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5C342FF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7FD4E51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554C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04CBD51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B2E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超温保护</w:t>
            </w:r>
          </w:p>
        </w:tc>
        <w:tc>
          <w:tcPr>
            <w:tcW w:w="1007" w:type="dxa"/>
            <w:noWrap w:val="0"/>
            <w:vAlign w:val="center"/>
          </w:tcPr>
          <w:p w14:paraId="4310574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653B9E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6C9E478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2507C14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8EB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03A7EF1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90A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过充切断</w:t>
            </w:r>
          </w:p>
        </w:tc>
        <w:tc>
          <w:tcPr>
            <w:tcW w:w="1007" w:type="dxa"/>
            <w:noWrap w:val="0"/>
            <w:vAlign w:val="center"/>
          </w:tcPr>
          <w:p w14:paraId="36E3221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99B3E0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0DD28CA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52D3EC5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7F63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609AF16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3D5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延时切断</w:t>
            </w:r>
          </w:p>
        </w:tc>
        <w:tc>
          <w:tcPr>
            <w:tcW w:w="1007" w:type="dxa"/>
            <w:noWrap w:val="0"/>
            <w:vAlign w:val="center"/>
          </w:tcPr>
          <w:p w14:paraId="5361642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BE972B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2EB812C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0121447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43F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0B59A5B2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441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耐热</w:t>
            </w:r>
          </w:p>
        </w:tc>
        <w:tc>
          <w:tcPr>
            <w:tcW w:w="1007" w:type="dxa"/>
            <w:noWrap w:val="0"/>
            <w:vAlign w:val="center"/>
          </w:tcPr>
          <w:p w14:paraId="1C938E6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844BBC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2184281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3DF5F69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D57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68A73DE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13E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灼热丝</w:t>
            </w:r>
          </w:p>
        </w:tc>
        <w:tc>
          <w:tcPr>
            <w:tcW w:w="1007" w:type="dxa"/>
            <w:noWrap w:val="0"/>
            <w:vAlign w:val="center"/>
          </w:tcPr>
          <w:p w14:paraId="64B1F1C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7A3001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 w14:paraId="0F33C8C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455E471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35E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12EF343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A12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1007" w:type="dxa"/>
            <w:noWrap w:val="0"/>
            <w:vAlign w:val="center"/>
          </w:tcPr>
          <w:p w14:paraId="3E3A8BC2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5C1992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7" w:type="dxa"/>
            <w:noWrap w:val="0"/>
            <w:vAlign w:val="center"/>
          </w:tcPr>
          <w:p w14:paraId="09246A7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18F04F5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50.0</w:t>
            </w:r>
          </w:p>
        </w:tc>
      </w:tr>
      <w:tr w14:paraId="4171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restart"/>
            <w:noWrap w:val="0"/>
            <w:vAlign w:val="center"/>
          </w:tcPr>
          <w:p w14:paraId="1474C49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电动自行车充电器（T/TCDZ0001-2019）</w:t>
            </w: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FE8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内部布线</w:t>
            </w:r>
          </w:p>
        </w:tc>
        <w:tc>
          <w:tcPr>
            <w:tcW w:w="1007" w:type="dxa"/>
            <w:noWrap w:val="0"/>
            <w:vAlign w:val="center"/>
          </w:tcPr>
          <w:p w14:paraId="588058C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04366BF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42E883C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1159688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515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5D5FDFC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DAE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对触及带电部件的防护</w:t>
            </w:r>
          </w:p>
        </w:tc>
        <w:tc>
          <w:tcPr>
            <w:tcW w:w="1007" w:type="dxa"/>
            <w:noWrap w:val="0"/>
            <w:vAlign w:val="center"/>
          </w:tcPr>
          <w:p w14:paraId="465A4EA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2452E2D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214865F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7E8A4BB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2FD6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065D569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D9C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接地措施</w:t>
            </w:r>
          </w:p>
        </w:tc>
        <w:tc>
          <w:tcPr>
            <w:tcW w:w="1007" w:type="dxa"/>
            <w:noWrap w:val="0"/>
            <w:vAlign w:val="center"/>
          </w:tcPr>
          <w:p w14:paraId="0025649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78173BC2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040EBED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0A94A42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5160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17ECE63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344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标志和说明</w:t>
            </w:r>
          </w:p>
        </w:tc>
        <w:tc>
          <w:tcPr>
            <w:tcW w:w="1007" w:type="dxa"/>
            <w:noWrap w:val="0"/>
            <w:vAlign w:val="center"/>
          </w:tcPr>
          <w:p w14:paraId="68076EA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310286E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43A6663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0680FDD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43EA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7EFBF8F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C27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泄漏电流和电气强度</w:t>
            </w:r>
          </w:p>
        </w:tc>
        <w:tc>
          <w:tcPr>
            <w:tcW w:w="1007" w:type="dxa"/>
            <w:noWrap w:val="0"/>
            <w:vAlign w:val="center"/>
          </w:tcPr>
          <w:p w14:paraId="1CF9FDD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366912F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669AC8D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53CA1AA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3EAA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4274A9C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5CD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爬电距离、</w:t>
            </w: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电气间隙</w:t>
            </w:r>
          </w:p>
        </w:tc>
        <w:tc>
          <w:tcPr>
            <w:tcW w:w="1007" w:type="dxa"/>
            <w:noWrap w:val="0"/>
            <w:vAlign w:val="center"/>
          </w:tcPr>
          <w:p w14:paraId="402CA81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3E8F33D2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6085416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031A12B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34D8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515588F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79F2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结构</w:t>
            </w:r>
          </w:p>
        </w:tc>
        <w:tc>
          <w:tcPr>
            <w:tcW w:w="1007" w:type="dxa"/>
            <w:noWrap w:val="0"/>
            <w:vAlign w:val="center"/>
          </w:tcPr>
          <w:p w14:paraId="624C236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0E0AB0E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263EFA7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62E0318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6E54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4E6AAD7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649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电源连接和外部软线</w:t>
            </w:r>
          </w:p>
        </w:tc>
        <w:tc>
          <w:tcPr>
            <w:tcW w:w="1007" w:type="dxa"/>
            <w:noWrap w:val="0"/>
            <w:vAlign w:val="center"/>
          </w:tcPr>
          <w:p w14:paraId="2B6CF3A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5A8363F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4758840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2DEF52D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727D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28348D1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BA3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输入功率和电流</w:t>
            </w:r>
          </w:p>
        </w:tc>
        <w:tc>
          <w:tcPr>
            <w:tcW w:w="1007" w:type="dxa"/>
            <w:noWrap w:val="0"/>
            <w:vAlign w:val="center"/>
          </w:tcPr>
          <w:p w14:paraId="125E9EB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4A05D12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1E1D808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65361EC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125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41F1F4C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F7C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发热</w:t>
            </w:r>
          </w:p>
        </w:tc>
        <w:tc>
          <w:tcPr>
            <w:tcW w:w="1007" w:type="dxa"/>
            <w:noWrap w:val="0"/>
            <w:vAlign w:val="center"/>
          </w:tcPr>
          <w:p w14:paraId="5AEFBB4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1FEF9DA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0761AB3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41A015B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31C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 w14:paraId="4D311A3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72B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耐热和耐燃</w:t>
            </w:r>
          </w:p>
        </w:tc>
        <w:tc>
          <w:tcPr>
            <w:tcW w:w="1007" w:type="dxa"/>
            <w:noWrap w:val="0"/>
            <w:vAlign w:val="center"/>
          </w:tcPr>
          <w:p w14:paraId="0300D9A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 w14:paraId="602A9B2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1BD5A72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617BA7C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bookmarkEnd w:id="1"/>
      <w:bookmarkEnd w:id="2"/>
      <w:bookmarkEnd w:id="3"/>
    </w:tbl>
    <w:p w14:paraId="0E6144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 w:firstLineChars="200"/>
        <w:textAlignment w:val="auto"/>
        <w:outlineLvl w:val="1"/>
        <w:rPr>
          <w:rFonts w:hint="default" w:ascii="楷体_GB2312" w:hAnsi="宋体" w:eastAsia="楷体_GB2312"/>
          <w:b w:val="0"/>
          <w:bCs w:val="0"/>
          <w:color w:val="FF0000"/>
          <w:sz w:val="32"/>
          <w:szCs w:val="32"/>
          <w:lang w:val="en-US" w:eastAsia="zh-CN"/>
        </w:rPr>
      </w:pPr>
      <w:bookmarkStart w:id="4" w:name="_Toc11586"/>
      <w:r>
        <w:rPr>
          <w:rFonts w:hint="eastAsia" w:ascii="楷体_GB2312" w:hAnsi="宋体" w:eastAsia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宋体" w:eastAsia="楷体_GB2312"/>
          <w:b w:val="0"/>
          <w:bCs w:val="0"/>
          <w:sz w:val="32"/>
          <w:szCs w:val="32"/>
          <w:lang w:val="en-US" w:eastAsia="zh-CN"/>
        </w:rPr>
        <w:t>产品质量不合格项目及原因分析</w:t>
      </w:r>
      <w:bookmarkEnd w:id="4"/>
    </w:p>
    <w:p w14:paraId="76B3F9E3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本次共抽查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批次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电动自行车充电器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批次合格，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批次不合格，不合格项目为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编码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B2AB45E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编码</w:t>
      </w:r>
    </w:p>
    <w:p w14:paraId="51D4F280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电动自行车充电器编码项目的测试核心意义在于建立产品可追溯性，是落实产品质量主体责任的关键环节。编码如同充电器的“电子身份证”，一旦发生安全事故，监管部门和消费者可迅速锁定生产批次及责任企业，从而实现精准召回与追责，并有效遏制无标生产、假冒伪劣产品流入市场。当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eastAsia="仿宋_GB2312"/>
          <w:sz w:val="32"/>
          <w:szCs w:val="32"/>
          <w:lang w:eastAsia="zh-CN"/>
        </w:rPr>
        <w:t>无编码的主要原因，从生产企业角度看，在于对GB 42296-2022等新标准学习滞后、执行意识淡薄，或为节约生产成本而故意省略该工序，同时也暴露出其内部质量管理体系存在漏洞，未将编码纳入必需的生产与检验流程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789D2DB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动自行车充电器编码项目不合格，其核心危害在于严重削弱了产品的可追溯性，使安全监管和责任追究难以落实。一旦发生因充电器质量问题引发的火灾、触电等安全事故，监管部门与消费者无法通过产品标识快速锁定生产主体和具体批次，导致问题产品无法被精准、高效地召回，极大增加了公共安全风险。同时，这也为不法企业生产劣质产品、逃避责任提供了便利，严重扰乱了市场秩序，最终损害的是整个行业的健康发展和消费者的生命财产安全。</w:t>
      </w:r>
    </w:p>
    <w:p w14:paraId="28670081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三、消费建议</w:t>
      </w:r>
    </w:p>
    <w:p w14:paraId="4136C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（一）购买产品常识。消费者在选购电动自行车充电器商品时应注意：</w:t>
      </w:r>
    </w:p>
    <w:p w14:paraId="6DB6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1.关注产品标识。消费者购买产品时应该关注产品标识、包装和说明书，不仅要看清楚产品型号规格、额定电压、额定功率和输出电压，还要看清楚安全警告语句、厂名厂址和出厂日期等，在不能确定有关标识的情况下，不要盲目购买充电器，以免损坏电池或引发安全事故。</w:t>
      </w:r>
    </w:p>
    <w:p w14:paraId="7B9F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2.确认产品规格。本次抽查结果显示市场上存在很多规格的充电器和电池产品。建议消费者在选购的时候，首先要去正规的商铺选购。其次在选购的时候，一定要针对电瓶车所用电池组的规格来进行选购，选择和电池组电压和容量相匹配的充电器产品。</w:t>
      </w:r>
    </w:p>
    <w:p w14:paraId="572B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（二）使用产品常识。消费者在使用电动自行车充电器商品时应注意：</w:t>
      </w:r>
    </w:p>
    <w:p w14:paraId="7935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1.注意连接顺序。电动自行车充电器产品存在输出电压超过安全电压的现象，因此建议消费者在使用中，先将充电器输出端连接到电动自行车上，然后再将充电器连接到220V市电上，以免触电危险。</w:t>
      </w:r>
    </w:p>
    <w:p w14:paraId="095B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2.充满及时断开。使用蓄电池不要过量放电，尽量避免电池处于欠压状态；也不要过量充电，建议当电动自行车充电完成后消费者应及时将充电器断开，降低发生安全意外的概率。</w:t>
      </w:r>
    </w:p>
    <w:p w14:paraId="1EA10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  <w:lang w:val="en-US" w:eastAsia="zh-CN" w:bidi="ar-SA"/>
        </w:rPr>
      </w:pPr>
    </w:p>
    <w:p w14:paraId="27714052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5" w:name="_GoBack"/>
      <w:bookmarkEnd w:id="5"/>
    </w:p>
    <w:sectPr>
      <w:footerReference r:id="rId3" w:type="default"/>
      <w:pgSz w:w="11906" w:h="16838"/>
      <w:pgMar w:top="2154" w:right="1361" w:bottom="1928" w:left="1474" w:header="851" w:footer="113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FCC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2565400</wp:posOffset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F2BB7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pt;margin-top:-27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jfMA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F2BB7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9B3110"/>
    <w:rsid w:val="01F64D0F"/>
    <w:rsid w:val="021603B2"/>
    <w:rsid w:val="040A4AA1"/>
    <w:rsid w:val="05E50846"/>
    <w:rsid w:val="075D1A4D"/>
    <w:rsid w:val="0869448C"/>
    <w:rsid w:val="0C580AA0"/>
    <w:rsid w:val="0D352B8F"/>
    <w:rsid w:val="0D465BE4"/>
    <w:rsid w:val="0D834329"/>
    <w:rsid w:val="0F694D72"/>
    <w:rsid w:val="1032477F"/>
    <w:rsid w:val="11633808"/>
    <w:rsid w:val="12B97DBE"/>
    <w:rsid w:val="13655850"/>
    <w:rsid w:val="139D612C"/>
    <w:rsid w:val="146B158C"/>
    <w:rsid w:val="15325C06"/>
    <w:rsid w:val="183D0B4A"/>
    <w:rsid w:val="197C1B46"/>
    <w:rsid w:val="1BD94E2F"/>
    <w:rsid w:val="1C3E7845"/>
    <w:rsid w:val="21AC2D1B"/>
    <w:rsid w:val="255E0351"/>
    <w:rsid w:val="26B91CE3"/>
    <w:rsid w:val="2A7C3754"/>
    <w:rsid w:val="2A9C3DF6"/>
    <w:rsid w:val="2C4B2A08"/>
    <w:rsid w:val="2C8573E5"/>
    <w:rsid w:val="30156EFC"/>
    <w:rsid w:val="307F7AFA"/>
    <w:rsid w:val="34F367C5"/>
    <w:rsid w:val="351153E0"/>
    <w:rsid w:val="358D4A67"/>
    <w:rsid w:val="37CE746E"/>
    <w:rsid w:val="3870241E"/>
    <w:rsid w:val="3B4167A1"/>
    <w:rsid w:val="3D87339C"/>
    <w:rsid w:val="3E8E35FE"/>
    <w:rsid w:val="42CE08A9"/>
    <w:rsid w:val="48D83DF3"/>
    <w:rsid w:val="492E6109"/>
    <w:rsid w:val="4CC34DBA"/>
    <w:rsid w:val="4E21448E"/>
    <w:rsid w:val="4EB64BD7"/>
    <w:rsid w:val="4F7C7BCE"/>
    <w:rsid w:val="5281374D"/>
    <w:rsid w:val="53D17DBD"/>
    <w:rsid w:val="53F65A75"/>
    <w:rsid w:val="564E3440"/>
    <w:rsid w:val="589917F1"/>
    <w:rsid w:val="5A20384C"/>
    <w:rsid w:val="5A3B2434"/>
    <w:rsid w:val="5A70032F"/>
    <w:rsid w:val="5B5C018E"/>
    <w:rsid w:val="5DD706C5"/>
    <w:rsid w:val="5E541D16"/>
    <w:rsid w:val="5E567766"/>
    <w:rsid w:val="611B6B1B"/>
    <w:rsid w:val="6200643D"/>
    <w:rsid w:val="654B4A7D"/>
    <w:rsid w:val="68356714"/>
    <w:rsid w:val="6E58315D"/>
    <w:rsid w:val="6E625D89"/>
    <w:rsid w:val="6F3D03A5"/>
    <w:rsid w:val="6FEF189F"/>
    <w:rsid w:val="70E92792"/>
    <w:rsid w:val="71AD50A1"/>
    <w:rsid w:val="71FE226D"/>
    <w:rsid w:val="72563E57"/>
    <w:rsid w:val="72987FCC"/>
    <w:rsid w:val="75D752AF"/>
    <w:rsid w:val="75DD3A84"/>
    <w:rsid w:val="76AE4262"/>
    <w:rsid w:val="773F310C"/>
    <w:rsid w:val="7761738C"/>
    <w:rsid w:val="79F144F9"/>
    <w:rsid w:val="7E413C0D"/>
    <w:rsid w:val="7F511C2E"/>
    <w:rsid w:val="7F7D0C75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923" w:right="938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sz w:val="21"/>
    </w:rPr>
  </w:style>
  <w:style w:type="paragraph" w:styleId="6">
    <w:name w:val="Body Text"/>
    <w:basedOn w:val="1"/>
    <w:unhideWhenUsed/>
    <w:qFormat/>
    <w:uiPriority w:val="1"/>
    <w:pPr>
      <w:autoSpaceDE w:val="0"/>
      <w:autoSpaceDN w:val="0"/>
      <w:ind w:left="140" w:firstLine="419"/>
      <w:jc w:val="left"/>
    </w:pPr>
    <w:rPr>
      <w:rFonts w:ascii="宋体" w:hAnsi="宋体" w:cs="宋体" w:eastAsiaTheme="minorEastAsia"/>
      <w:szCs w:val="21"/>
      <w:lang w:val="zh-CN" w:bidi="zh-CN"/>
    </w:rPr>
  </w:style>
  <w:style w:type="paragraph" w:styleId="7">
    <w:name w:val="Body Text Indent"/>
    <w:basedOn w:val="1"/>
    <w:next w:val="8"/>
    <w:unhideWhenUsed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rPr>
      <w:rFonts w:ascii="Arial" w:hAnsi="Arial"/>
    </w:rPr>
  </w:style>
  <w:style w:type="paragraph" w:styleId="9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cs="Courier New"/>
      <w:sz w:val="21"/>
      <w:szCs w:val="21"/>
    </w:rPr>
  </w:style>
  <w:style w:type="paragraph" w:styleId="10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rPr>
      <w:sz w:val="24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0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正文 + (西文) Times New Roman"/>
    <w:basedOn w:val="15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color w:val="000000"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1680</Characters>
  <Lines>0</Lines>
  <Paragraphs>0</Paragraphs>
  <TotalTime>7</TotalTime>
  <ScaleCrop>false</ScaleCrop>
  <LinksUpToDate>false</LinksUpToDate>
  <CharactersWithSpaces>1683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2024-06-11T02:46:00Z</dcterms:created>
  <dc:creator>SDB</dc:creator>
  <cp:lastModifiedBy>盛</cp:lastModifiedBy>
  <dcterms:modified xsi:type="dcterms:W3CDTF">2026-01-08T07:26:14Z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CEFB21BCDEF34FF7B17E29F7E9725B81_12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