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5CE07">
      <w:pPr>
        <w:autoSpaceDE w:val="0"/>
        <w:spacing w:line="560" w:lineRule="exact"/>
        <w:ind w:firstLine="880" w:firstLineChars="200"/>
        <w:jc w:val="center"/>
        <w:outlineLvl w:val="0"/>
        <w:rPr>
          <w:rFonts w:ascii="方正小标宋简体" w:eastAsia="方正小标宋简体" w:cs="方正小标宋简体"/>
          <w:bCs/>
          <w:kern w:val="44"/>
          <w:sz w:val="44"/>
          <w:szCs w:val="44"/>
        </w:rPr>
      </w:pPr>
      <w:bookmarkStart w:id="5" w:name="_GoBack"/>
      <w:bookmarkEnd w:id="5"/>
      <w:r>
        <w:rPr>
          <w:rFonts w:hint="eastAsia" w:ascii="方正小标宋简体" w:eastAsia="方正小标宋简体" w:cs="方正小标宋简体"/>
          <w:bCs/>
          <w:kern w:val="44"/>
          <w:sz w:val="44"/>
          <w:szCs w:val="44"/>
        </w:rPr>
        <w:t>常州市建设工程招标公告</w:t>
      </w:r>
    </w:p>
    <w:p w14:paraId="5DFAE5F9">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一、招标条件</w:t>
      </w:r>
    </w:p>
    <w:p w14:paraId="681175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u w:val="single"/>
        </w:rPr>
        <w:t>滨江创智企业港项目</w:t>
      </w:r>
      <w:r>
        <w:rPr>
          <w:rFonts w:hint="eastAsia" w:ascii="仿宋_GB2312" w:hAnsi="仿宋_GB2312" w:eastAsia="仿宋_GB2312" w:cs="仿宋_GB2312"/>
          <w:kern w:val="0"/>
          <w:sz w:val="32"/>
          <w:szCs w:val="32"/>
        </w:rPr>
        <w:t>已批准建设，招标人为</w:t>
      </w:r>
      <w:r>
        <w:rPr>
          <w:rFonts w:hint="eastAsia" w:ascii="仿宋_GB2312" w:hAnsi="仿宋_GB2312" w:eastAsia="仿宋_GB2312" w:cs="仿宋_GB2312"/>
          <w:sz w:val="32"/>
          <w:szCs w:val="32"/>
          <w:u w:val="single"/>
        </w:rPr>
        <w:t>常州上荣科技服务有限公司</w:t>
      </w:r>
      <w:r>
        <w:rPr>
          <w:rFonts w:hint="eastAsia" w:ascii="仿宋_GB2312" w:hAnsi="仿宋_GB2312" w:eastAsia="仿宋_GB2312" w:cs="仿宋_GB2312"/>
          <w:kern w:val="0"/>
          <w:sz w:val="32"/>
          <w:szCs w:val="32"/>
        </w:rPr>
        <w:t>，建设资金来自</w:t>
      </w:r>
      <w:r>
        <w:rPr>
          <w:rFonts w:hint="eastAsia" w:ascii="仿宋_GB2312" w:hAnsi="仿宋_GB2312" w:eastAsia="仿宋_GB2312" w:cs="仿宋_GB2312"/>
          <w:kern w:val="0"/>
          <w:sz w:val="32"/>
          <w:szCs w:val="32"/>
          <w:u w:val="single"/>
        </w:rPr>
        <w:t>自筹</w:t>
      </w:r>
      <w:r>
        <w:rPr>
          <w:rFonts w:hint="eastAsia" w:ascii="仿宋_GB2312" w:hAnsi="仿宋_GB2312" w:eastAsia="仿宋_GB2312" w:cs="仿宋_GB2312"/>
          <w:kern w:val="0"/>
          <w:sz w:val="32"/>
          <w:szCs w:val="32"/>
        </w:rPr>
        <w:t>，项目出资比例为</w:t>
      </w:r>
      <w:r>
        <w:rPr>
          <w:rFonts w:hint="eastAsia" w:ascii="仿宋_GB2312" w:hAnsi="仿宋_GB2312" w:eastAsia="仿宋_GB2312" w:cs="仿宋_GB2312"/>
          <w:kern w:val="0"/>
          <w:sz w:val="32"/>
          <w:szCs w:val="32"/>
          <w:u w:val="single"/>
        </w:rPr>
        <w:t>国有</w:t>
      </w:r>
      <w:r>
        <w:rPr>
          <w:rFonts w:hint="eastAsia" w:ascii="仿宋_GB2312" w:hAnsi="仿宋_GB2312" w:eastAsia="仿宋_GB2312" w:cs="仿宋_GB2312"/>
          <w:sz w:val="32"/>
          <w:szCs w:val="32"/>
          <w:u w:val="single"/>
        </w:rPr>
        <w:t>资金</w:t>
      </w:r>
      <w:r>
        <w:rPr>
          <w:rFonts w:hint="eastAsia" w:ascii="仿宋_GB2312" w:hAnsi="仿宋_GB2312" w:eastAsia="仿宋_GB2312" w:cs="仿宋_GB2312"/>
          <w:kern w:val="0"/>
          <w:sz w:val="32"/>
          <w:szCs w:val="32"/>
          <w:u w:val="single"/>
        </w:rPr>
        <w:t>：100.00 %</w:t>
      </w:r>
      <w:r>
        <w:rPr>
          <w:rFonts w:hint="eastAsia" w:ascii="仿宋_GB2312" w:hAnsi="仿宋_GB2312" w:eastAsia="仿宋_GB2312" w:cs="仿宋_GB2312"/>
          <w:kern w:val="0"/>
          <w:sz w:val="32"/>
          <w:szCs w:val="32"/>
        </w:rPr>
        <w:t>。项目已具备招标条件，现对该项目</w:t>
      </w:r>
      <w:r>
        <w:rPr>
          <w:rFonts w:hint="eastAsia" w:ascii="仿宋_GB2312" w:hAnsi="仿宋_GB2312" w:eastAsia="仿宋_GB2312" w:cs="仿宋_GB2312"/>
          <w:kern w:val="0"/>
          <w:sz w:val="32"/>
          <w:szCs w:val="32"/>
          <w:u w:val="single"/>
        </w:rPr>
        <w:t>滨江创智企业港1.2期项目钢结构光伏车棚工程</w:t>
      </w:r>
      <w:r>
        <w:rPr>
          <w:rFonts w:hint="eastAsia" w:ascii="仿宋_GB2312" w:hAnsi="仿宋_GB2312" w:eastAsia="仿宋_GB2312" w:cs="仿宋_GB2312"/>
          <w:kern w:val="0"/>
          <w:sz w:val="32"/>
          <w:szCs w:val="32"/>
        </w:rPr>
        <w:t>进行</w:t>
      </w:r>
      <w:r>
        <w:rPr>
          <w:rFonts w:hint="eastAsia" w:ascii="仿宋_GB2312" w:hAnsi="仿宋_GB2312" w:eastAsia="仿宋_GB2312" w:cs="仿宋_GB2312"/>
          <w:kern w:val="0"/>
          <w:sz w:val="32"/>
          <w:szCs w:val="32"/>
          <w:u w:val="single"/>
        </w:rPr>
        <w:t>公开</w:t>
      </w:r>
      <w:r>
        <w:rPr>
          <w:rFonts w:hint="eastAsia" w:ascii="仿宋_GB2312" w:hAnsi="仿宋_GB2312" w:eastAsia="仿宋_GB2312" w:cs="仿宋_GB2312"/>
          <w:kern w:val="0"/>
          <w:sz w:val="32"/>
          <w:szCs w:val="32"/>
        </w:rPr>
        <w:t>招标，特邀请有兴趣的潜在投标人参加投标。</w:t>
      </w:r>
    </w:p>
    <w:p w14:paraId="3230F70B">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二、项目概况与招标范围</w:t>
      </w:r>
    </w:p>
    <w:p w14:paraId="22DB4F14">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2.1项目概况</w:t>
      </w:r>
    </w:p>
    <w:p w14:paraId="2014CB3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rPr>
        <w:t>2.1.1建设地点：</w:t>
      </w:r>
      <w:r>
        <w:rPr>
          <w:rFonts w:hint="eastAsia" w:ascii="仿宋_GB2312" w:hAnsi="仿宋_GB2312" w:eastAsia="仿宋_GB2312" w:cs="仿宋_GB2312"/>
          <w:kern w:val="0"/>
          <w:sz w:val="32"/>
          <w:szCs w:val="32"/>
        </w:rPr>
        <w:t>常州市新北区。</w:t>
      </w:r>
    </w:p>
    <w:p w14:paraId="421B606E">
      <w:pPr>
        <w:spacing w:line="560" w:lineRule="exact"/>
        <w:ind w:firstLine="640" w:firstLineChars="200"/>
        <w:rPr>
          <w:rFonts w:ascii="仿宋_GB2312" w:hAnsi="宋体" w:eastAsia="仿宋_GB2312" w:cs="仿宋_GB2312"/>
          <w:color w:val="000000"/>
          <w:kern w:val="0"/>
          <w:sz w:val="31"/>
          <w:szCs w:val="31"/>
        </w:rPr>
      </w:pPr>
      <w:r>
        <w:rPr>
          <w:rFonts w:hint="eastAsia" w:ascii="仿宋_GB2312" w:hAnsi="仿宋_GB2312" w:eastAsia="仿宋_GB2312" w:cs="仿宋_GB2312"/>
          <w:bCs/>
          <w:sz w:val="32"/>
          <w:szCs w:val="32"/>
        </w:rPr>
        <w:t>2.1.2建设规模：</w:t>
      </w:r>
      <w:r>
        <w:rPr>
          <w:rFonts w:hint="eastAsia" w:ascii="仿宋_GB2312" w:hAnsi="宋体" w:eastAsia="仿宋_GB2312" w:cs="仿宋_GB2312"/>
          <w:color w:val="000000"/>
          <w:kern w:val="0"/>
          <w:sz w:val="31"/>
          <w:szCs w:val="31"/>
        </w:rPr>
        <w:t>本项目位于常州市新北区环保四路以南、珠峰路以东的滨江创智企业港项目1.2期园区，园区8#、9#、10#厂房屋面作为普通汽车停车场使用（厂房屋面面积约14275.8m²），三栋屋面范围内结合现有预留支墩合理布置钢结构光伏车棚。</w:t>
      </w:r>
    </w:p>
    <w:p w14:paraId="0862009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2.1.3本标段合同估算价</w:t>
      </w:r>
      <w:r>
        <w:rPr>
          <w:rFonts w:hint="eastAsia" w:ascii="仿宋_GB2312" w:hAnsi="仿宋_GB2312" w:eastAsia="仿宋_GB2312" w:cs="仿宋_GB2312"/>
          <w:sz w:val="32"/>
          <w:szCs w:val="32"/>
        </w:rPr>
        <w:t>：3973093.21元</w:t>
      </w:r>
      <w:r>
        <w:rPr>
          <w:rFonts w:hint="eastAsia" w:ascii="仿宋_GB2312" w:hAnsi="仿宋_GB2312" w:eastAsia="仿宋_GB2312" w:cs="仿宋_GB2312"/>
          <w:bCs/>
          <w:sz w:val="32"/>
          <w:szCs w:val="32"/>
        </w:rPr>
        <w:t>。</w:t>
      </w:r>
    </w:p>
    <w:p w14:paraId="0E4D7D8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2.1.4工期要求：65日历天。其中</w:t>
      </w:r>
      <w:r>
        <w:rPr>
          <w:rFonts w:hint="eastAsia" w:ascii="仿宋_GB2312" w:hAnsi="宋体" w:eastAsia="仿宋_GB2312" w:cs="仿宋_GB2312"/>
          <w:kern w:val="0"/>
          <w:sz w:val="31"/>
          <w:szCs w:val="31"/>
        </w:rPr>
        <w:t>钢结构施工工期50日历天，布线及照明待现场具备条件（光伏板安装完成后）后15日历天内施工完成（具体开工时间以甲方开工令为准）。</w:t>
      </w:r>
    </w:p>
    <w:p w14:paraId="23BCF50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2.2招标范围：</w:t>
      </w:r>
      <w:bookmarkStart w:id="0" w:name="OLE_LINK1"/>
      <w:bookmarkStart w:id="1" w:name="OLE_LINK2"/>
      <w:r>
        <w:rPr>
          <w:rFonts w:hint="eastAsia" w:ascii="仿宋_GB2312" w:hAnsi="仿宋_GB2312" w:eastAsia="仿宋_GB2312" w:cs="仿宋_GB2312"/>
          <w:bCs/>
          <w:sz w:val="32"/>
          <w:szCs w:val="32"/>
        </w:rPr>
        <w:t>图纸及</w:t>
      </w:r>
      <w:r>
        <w:rPr>
          <w:rFonts w:hint="eastAsia" w:ascii="仿宋_GB2312" w:hAnsi="仿宋_GB2312" w:eastAsia="仿宋_GB2312" w:cs="仿宋_GB2312"/>
          <w:sz w:val="32"/>
          <w:szCs w:val="32"/>
        </w:rPr>
        <w:t>工程量清单（含编制说明）范围内全部工程</w:t>
      </w:r>
      <w:bookmarkEnd w:id="0"/>
      <w:bookmarkEnd w:id="1"/>
      <w:r>
        <w:rPr>
          <w:rFonts w:hint="eastAsia" w:ascii="仿宋_GB2312" w:hAnsi="仿宋_GB2312" w:eastAsia="仿宋_GB2312" w:cs="仿宋_GB2312"/>
          <w:bCs/>
          <w:sz w:val="32"/>
          <w:szCs w:val="32"/>
        </w:rPr>
        <w:t>。</w:t>
      </w:r>
    </w:p>
    <w:p w14:paraId="01E177F3">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三、投标人资格条件</w:t>
      </w:r>
    </w:p>
    <w:p w14:paraId="1EBC19E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3.1投标人须具备</w:t>
      </w:r>
      <w:r>
        <w:rPr>
          <w:rFonts w:hint="eastAsia" w:ascii="仿宋_GB2312" w:hAnsi="仿宋_GB2312" w:eastAsia="仿宋_GB2312" w:cs="仿宋_GB2312"/>
          <w:b/>
          <w:kern w:val="0"/>
          <w:sz w:val="32"/>
          <w:szCs w:val="32"/>
          <w:u w:val="single"/>
        </w:rPr>
        <w:t>建筑工程施工总承包三级及以上</w:t>
      </w:r>
      <w:r>
        <w:rPr>
          <w:rFonts w:hint="eastAsia" w:ascii="仿宋_GB2312" w:hAnsi="仿宋_GB2312" w:eastAsia="仿宋_GB2312" w:cs="仿宋_GB2312"/>
          <w:kern w:val="0"/>
          <w:sz w:val="32"/>
          <w:szCs w:val="32"/>
          <w:u w:val="single"/>
        </w:rPr>
        <w:t>（资质）或</w:t>
      </w:r>
      <w:r>
        <w:rPr>
          <w:rFonts w:hint="eastAsia" w:ascii="仿宋_GB2312" w:hAnsi="仿宋_GB2312" w:eastAsia="仿宋_GB2312" w:cs="仿宋_GB2312"/>
          <w:b/>
          <w:bCs/>
          <w:kern w:val="0"/>
          <w:sz w:val="32"/>
          <w:szCs w:val="32"/>
          <w:u w:val="single"/>
        </w:rPr>
        <w:t>钢结构工程专业承包三级及以上</w:t>
      </w:r>
      <w:r>
        <w:rPr>
          <w:rFonts w:hint="eastAsia" w:ascii="仿宋_GB2312" w:hAnsi="仿宋_GB2312" w:eastAsia="仿宋_GB2312" w:cs="仿宋_GB2312"/>
          <w:kern w:val="0"/>
          <w:sz w:val="32"/>
          <w:szCs w:val="32"/>
          <w:u w:val="single"/>
        </w:rPr>
        <w:t>（资质）</w:t>
      </w:r>
      <w:r>
        <w:rPr>
          <w:rFonts w:hint="eastAsia" w:ascii="仿宋_GB2312" w:hAnsi="仿宋_GB2312" w:eastAsia="仿宋_GB2312" w:cs="仿宋_GB2312"/>
          <w:kern w:val="0"/>
          <w:sz w:val="32"/>
          <w:szCs w:val="32"/>
        </w:rPr>
        <w:t>，并在人员、设备、资金等方面具有相应的施工能力。</w:t>
      </w:r>
    </w:p>
    <w:p w14:paraId="031146E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3.2投标人拟派项目负责人须具备</w:t>
      </w:r>
      <w:r>
        <w:rPr>
          <w:rFonts w:hint="eastAsia" w:ascii="仿宋_GB2312" w:hAnsi="仿宋_GB2312" w:eastAsia="仿宋_GB2312" w:cs="仿宋_GB2312"/>
          <w:b/>
          <w:bCs/>
          <w:kern w:val="0"/>
          <w:sz w:val="32"/>
          <w:szCs w:val="32"/>
          <w:u w:val="single"/>
        </w:rPr>
        <w:t>建筑工程二级及以上注册建造师</w:t>
      </w:r>
      <w:r>
        <w:rPr>
          <w:rFonts w:hint="eastAsia" w:ascii="仿宋_GB2312" w:hAnsi="仿宋_GB2312" w:eastAsia="仿宋_GB2312" w:cs="仿宋_GB2312"/>
          <w:kern w:val="0"/>
          <w:sz w:val="32"/>
          <w:szCs w:val="32"/>
        </w:rPr>
        <w:t>（资格）。</w:t>
      </w:r>
    </w:p>
    <w:p w14:paraId="09AC9A6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3.3本次招标</w:t>
      </w:r>
      <w:r>
        <w:rPr>
          <w:rFonts w:hint="eastAsia" w:ascii="仿宋_GB2312" w:hAnsi="仿宋_GB2312" w:eastAsia="仿宋_GB2312" w:cs="仿宋_GB2312"/>
          <w:kern w:val="0"/>
          <w:sz w:val="32"/>
          <w:szCs w:val="32"/>
          <w:u w:val="single"/>
        </w:rPr>
        <w:t>不接受</w:t>
      </w:r>
      <w:r>
        <w:rPr>
          <w:rFonts w:hint="eastAsia" w:ascii="仿宋_GB2312" w:hAnsi="仿宋_GB2312" w:eastAsia="仿宋_GB2312" w:cs="仿宋_GB2312"/>
          <w:kern w:val="0"/>
          <w:sz w:val="32"/>
          <w:szCs w:val="32"/>
        </w:rPr>
        <w:t>（接受/不接受）联合体投标。</w:t>
      </w:r>
    </w:p>
    <w:p w14:paraId="1076D3F7">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四、招标文件的获取</w:t>
      </w:r>
    </w:p>
    <w:p w14:paraId="081967D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4.1招标文件获取时间为：2026年3月23日至2026年3月27日17：00；</w:t>
      </w:r>
    </w:p>
    <w:p w14:paraId="5E59247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4.2招标文件获取方式：</w:t>
      </w:r>
    </w:p>
    <w:p w14:paraId="4622728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（1）投标人首先应注册成为E交易平台网站会员，详见会员操作指南。</w:t>
      </w:r>
    </w:p>
    <w:p w14:paraId="0FB4B39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（2）投标人按系统提示交纳相关费用后在规定的报名时间内下载招标文件。</w:t>
      </w:r>
    </w:p>
    <w:p w14:paraId="27CF83F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4.3相关费用：</w:t>
      </w:r>
    </w:p>
    <w:p w14:paraId="4BBB53C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（1）招标文件资料费：人民币300元整。</w:t>
      </w:r>
    </w:p>
    <w:p w14:paraId="7BAA5FA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招标文件资料费发票由代理机构开具；开票方式：开标后10日内至常州中瑞工程造价咨询有限公司（常州市新北区通江中路229号友邦商务大厦A座13楼）开取发票。开票联系方式0519-85603579。</w:t>
      </w:r>
    </w:p>
    <w:p w14:paraId="502812D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（2）平台服务费：由中标人按E交易系统提示操作。平台服务费收款单位：江苏易交易信息科技有限公司，发票由江苏易交易信息科技有限公司开具。</w:t>
      </w:r>
    </w:p>
    <w:p w14:paraId="3BA32D0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w:t>
      </w:r>
    </w:p>
    <w:p w14:paraId="0DFE5FF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1）下载者首次登录平台前，须前往平台免费注册，注册成功且完善相关信息后，可以及时参与平台上所有发布的项目；</w:t>
      </w:r>
    </w:p>
    <w:p w14:paraId="1B8617D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2）平台网站首页“帮助中心”提供操作手册，下载者可以下载并根据操作手册提示进行注册、登录等操作。平台咨询电话为：400-828-9082。平台会通过短信提醒下载者进行注册、支付、下载等操作；</w:t>
      </w:r>
    </w:p>
    <w:p w14:paraId="4E9CDDB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3）非因代理机构或平台原因，发票一经开具不予退换。</w:t>
      </w:r>
    </w:p>
    <w:p w14:paraId="78DAA842">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五、投标截止时间</w:t>
      </w:r>
    </w:p>
    <w:p w14:paraId="070A7CD1">
      <w:pPr>
        <w:widowControl/>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5.1投标截止时间为：</w:t>
      </w:r>
      <w:r>
        <w:rPr>
          <w:rFonts w:hint="eastAsia" w:ascii="仿宋_GB2312" w:hAnsi="仿宋_GB2312" w:eastAsia="仿宋_GB2312" w:cs="仿宋_GB2312"/>
          <w:bCs/>
          <w:kern w:val="0"/>
          <w:sz w:val="32"/>
          <w:szCs w:val="32"/>
          <w:u w:val="single"/>
        </w:rPr>
        <w:t>2026年4月7日10时00分（北京时间）</w:t>
      </w:r>
      <w:r>
        <w:rPr>
          <w:rFonts w:hint="eastAsia" w:ascii="仿宋_GB2312" w:hAnsi="仿宋_GB2312" w:eastAsia="仿宋_GB2312" w:cs="仿宋_GB2312"/>
          <w:bCs/>
          <w:kern w:val="0"/>
          <w:sz w:val="32"/>
          <w:szCs w:val="32"/>
        </w:rPr>
        <w:t>。</w:t>
      </w:r>
    </w:p>
    <w:p w14:paraId="15D58B6B">
      <w:pPr>
        <w:widowControl/>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5.2地点：常州市新北区通江中路229号友邦商务大厦A座13楼开标室。 </w:t>
      </w:r>
    </w:p>
    <w:p w14:paraId="711F022A">
      <w:pPr>
        <w:spacing w:line="560" w:lineRule="exact"/>
        <w:ind w:firstLine="640" w:firstLineChars="200"/>
        <w:rPr>
          <w:rFonts w:ascii="仿宋_GB2312" w:hAnsi="仿宋_GB2312" w:eastAsia="仿宋_GB2312" w:cs="仿宋_GB2312"/>
          <w:b/>
          <w:bCs/>
          <w:sz w:val="32"/>
          <w:szCs w:val="32"/>
        </w:rPr>
      </w:pPr>
      <w:r>
        <w:rPr>
          <w:rFonts w:hint="eastAsia" w:ascii="黑体" w:hAnsi="宋体" w:eastAsia="黑体" w:cs="黑体"/>
          <w:bCs/>
          <w:sz w:val="32"/>
          <w:szCs w:val="32"/>
        </w:rPr>
        <w:t>六、资格审查</w:t>
      </w:r>
      <w:r>
        <w:rPr>
          <w:rFonts w:hint="eastAsia" w:ascii="仿宋_GB2312" w:hAnsi="仿宋_GB2312" w:eastAsia="仿宋_GB2312" w:cs="仿宋_GB2312"/>
          <w:b/>
          <w:bCs/>
          <w:sz w:val="32"/>
          <w:szCs w:val="32"/>
        </w:rPr>
        <w:t xml:space="preserve"> </w:t>
      </w:r>
    </w:p>
    <w:p w14:paraId="2756C6AF">
      <w:pPr>
        <w:widowControl/>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本次招标采用</w:t>
      </w:r>
      <w:r>
        <w:rPr>
          <w:rFonts w:hint="eastAsia" w:ascii="仿宋_GB2312" w:hAnsi="仿宋_GB2312" w:eastAsia="仿宋_GB2312" w:cs="仿宋_GB2312"/>
          <w:b/>
          <w:kern w:val="0"/>
          <w:sz w:val="32"/>
          <w:szCs w:val="32"/>
          <w:u w:val="single"/>
        </w:rPr>
        <w:t>资格后审（见面开标）</w:t>
      </w:r>
      <w:r>
        <w:rPr>
          <w:rFonts w:hint="eastAsia" w:ascii="仿宋_GB2312" w:hAnsi="仿宋_GB2312" w:eastAsia="仿宋_GB2312" w:cs="仿宋_GB2312"/>
          <w:bCs/>
          <w:kern w:val="0"/>
          <w:sz w:val="32"/>
          <w:szCs w:val="32"/>
        </w:rPr>
        <w:t>方式进行资格审查，资格评审标准详见本招标公告附件一资格审查办法。</w:t>
      </w:r>
    </w:p>
    <w:p w14:paraId="3E5EAA89">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七、评标办法</w:t>
      </w:r>
    </w:p>
    <w:p w14:paraId="0C49377A">
      <w:pPr>
        <w:widowControl/>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本次招标采用</w:t>
      </w:r>
      <w:r>
        <w:rPr>
          <w:rFonts w:hint="eastAsia" w:ascii="仿宋_GB2312" w:hAnsi="仿宋_GB2312" w:eastAsia="仿宋_GB2312" w:cs="仿宋_GB2312"/>
          <w:sz w:val="32"/>
          <w:szCs w:val="32"/>
          <w:u w:val="single"/>
        </w:rPr>
        <w:t xml:space="preserve">  □综合评估法  □合理低价法  ☑经评审的最低投标价法，</w:t>
      </w:r>
      <w:r>
        <w:rPr>
          <w:rFonts w:hint="eastAsia" w:ascii="仿宋_GB2312" w:hAnsi="仿宋_GB2312" w:eastAsia="仿宋_GB2312" w:cs="仿宋_GB2312"/>
          <w:bCs/>
          <w:kern w:val="0"/>
          <w:sz w:val="32"/>
          <w:szCs w:val="32"/>
        </w:rPr>
        <w:t xml:space="preserve">评标标准和方法详见本招标公告附件二。 </w:t>
      </w:r>
    </w:p>
    <w:p w14:paraId="4507ED5A">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八、发布公告的媒介</w:t>
      </w:r>
    </w:p>
    <w:p w14:paraId="02E050D4">
      <w:pPr>
        <w:autoSpaceDE w:val="0"/>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本次招标公告同时在常州国家高新区管委会（新北区人民政府）网站、E交易平台网站、常州中瑞工程造价咨询有限公司网上发布。</w:t>
      </w:r>
    </w:p>
    <w:p w14:paraId="38574677">
      <w:pPr>
        <w:spacing w:line="560" w:lineRule="exact"/>
        <w:ind w:firstLine="640" w:firstLineChars="200"/>
        <w:rPr>
          <w:rFonts w:ascii="宋体" w:hAnsi="宋体" w:cs="宋体"/>
          <w:kern w:val="0"/>
          <w:sz w:val="24"/>
        </w:rPr>
      </w:pPr>
      <w:r>
        <w:rPr>
          <w:rFonts w:hint="eastAsia" w:ascii="黑体" w:hAnsi="宋体" w:eastAsia="黑体" w:cs="黑体"/>
          <w:bCs/>
          <w:sz w:val="32"/>
          <w:szCs w:val="32"/>
        </w:rPr>
        <w:t xml:space="preserve">九、联系方式 </w:t>
      </w:r>
      <w:r>
        <w:rPr>
          <w:rFonts w:hint="eastAsia" w:ascii="宋体" w:hAnsi="宋体" w:cs="宋体"/>
          <w:kern w:val="0"/>
          <w:sz w:val="24"/>
        </w:rPr>
        <w:t xml:space="preserve">                      </w:t>
      </w:r>
    </w:p>
    <w:tbl>
      <w:tblPr>
        <w:tblStyle w:val="10"/>
        <w:tblW w:w="10031" w:type="dxa"/>
        <w:tblInd w:w="0" w:type="dxa"/>
        <w:tblLayout w:type="autofit"/>
        <w:tblCellMar>
          <w:top w:w="0" w:type="dxa"/>
          <w:left w:w="108" w:type="dxa"/>
          <w:bottom w:w="0" w:type="dxa"/>
          <w:right w:w="108" w:type="dxa"/>
        </w:tblCellMar>
      </w:tblPr>
      <w:tblGrid>
        <w:gridCol w:w="4558"/>
        <w:gridCol w:w="5473"/>
      </w:tblGrid>
      <w:tr w14:paraId="7C8A6D8F">
        <w:trPr>
          <w:trHeight w:val="454" w:hRule="atLeast"/>
        </w:trPr>
        <w:tc>
          <w:tcPr>
            <w:tcW w:w="4558" w:type="dxa"/>
          </w:tcPr>
          <w:p w14:paraId="2CE4B20F">
            <w:pPr>
              <w:autoSpaceDE w:val="0"/>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招标人：常州上荣科技服务有限公司</w:t>
            </w:r>
          </w:p>
        </w:tc>
        <w:tc>
          <w:tcPr>
            <w:tcW w:w="5473" w:type="dxa"/>
          </w:tcPr>
          <w:p w14:paraId="058FB299">
            <w:pPr>
              <w:autoSpaceDE w:val="0"/>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招标代理机构：常州中瑞工程造价咨询有限公司</w:t>
            </w:r>
          </w:p>
        </w:tc>
      </w:tr>
      <w:tr w14:paraId="34F16CE8">
        <w:tblPrEx>
          <w:tblCellMar>
            <w:top w:w="0" w:type="dxa"/>
            <w:left w:w="108" w:type="dxa"/>
            <w:bottom w:w="0" w:type="dxa"/>
            <w:right w:w="108" w:type="dxa"/>
          </w:tblCellMar>
        </w:tblPrEx>
        <w:trPr>
          <w:trHeight w:val="454" w:hRule="atLeast"/>
        </w:trPr>
        <w:tc>
          <w:tcPr>
            <w:tcW w:w="4558" w:type="dxa"/>
          </w:tcPr>
          <w:p w14:paraId="5FE66BA2">
            <w:pPr>
              <w:autoSpaceDE w:val="0"/>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地址：常州市新北区东海路202号</w:t>
            </w:r>
          </w:p>
        </w:tc>
        <w:tc>
          <w:tcPr>
            <w:tcW w:w="5473" w:type="dxa"/>
          </w:tcPr>
          <w:p w14:paraId="41150645">
            <w:pPr>
              <w:autoSpaceDE w:val="0"/>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地址：常州市新北区通江中路229号友邦商务大厦A座13楼</w:t>
            </w:r>
          </w:p>
        </w:tc>
      </w:tr>
      <w:tr w14:paraId="21A33178">
        <w:tblPrEx>
          <w:tblCellMar>
            <w:top w:w="0" w:type="dxa"/>
            <w:left w:w="108" w:type="dxa"/>
            <w:bottom w:w="0" w:type="dxa"/>
            <w:right w:w="108" w:type="dxa"/>
          </w:tblCellMar>
        </w:tblPrEx>
        <w:trPr>
          <w:trHeight w:val="467" w:hRule="atLeast"/>
        </w:trPr>
        <w:tc>
          <w:tcPr>
            <w:tcW w:w="4558" w:type="dxa"/>
          </w:tcPr>
          <w:p w14:paraId="14E6D4FE">
            <w:pPr>
              <w:autoSpaceDE w:val="0"/>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联系人：顾女士</w:t>
            </w:r>
          </w:p>
        </w:tc>
        <w:tc>
          <w:tcPr>
            <w:tcW w:w="5473" w:type="dxa"/>
          </w:tcPr>
          <w:p w14:paraId="606BE904">
            <w:pPr>
              <w:autoSpaceDE w:val="0"/>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联系人：王萍</w:t>
            </w:r>
          </w:p>
        </w:tc>
      </w:tr>
      <w:tr w14:paraId="1C7CC295">
        <w:tblPrEx>
          <w:tblCellMar>
            <w:top w:w="0" w:type="dxa"/>
            <w:left w:w="108" w:type="dxa"/>
            <w:bottom w:w="0" w:type="dxa"/>
            <w:right w:w="108" w:type="dxa"/>
          </w:tblCellMar>
        </w:tblPrEx>
        <w:trPr>
          <w:trHeight w:val="454" w:hRule="atLeast"/>
        </w:trPr>
        <w:tc>
          <w:tcPr>
            <w:tcW w:w="4558" w:type="dxa"/>
          </w:tcPr>
          <w:p w14:paraId="4C86161E">
            <w:pPr>
              <w:autoSpaceDE w:val="0"/>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电话：0519-85582503</w:t>
            </w:r>
          </w:p>
        </w:tc>
        <w:tc>
          <w:tcPr>
            <w:tcW w:w="5473" w:type="dxa"/>
          </w:tcPr>
          <w:p w14:paraId="5E0728C4">
            <w:pPr>
              <w:autoSpaceDE w:val="0"/>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电话：0519-85606263</w:t>
            </w:r>
          </w:p>
        </w:tc>
      </w:tr>
    </w:tbl>
    <w:p w14:paraId="3166EA33">
      <w:pPr>
        <w:spacing w:line="560" w:lineRule="exact"/>
        <w:ind w:firstLine="562" w:firstLineChars="200"/>
        <w:rPr>
          <w:rFonts w:ascii="宋体" w:hAnsi="宋体" w:cs="Arial"/>
          <w:b/>
          <w:bCs/>
          <w:kern w:val="0"/>
          <w:sz w:val="28"/>
          <w:szCs w:val="28"/>
        </w:rPr>
      </w:pPr>
    </w:p>
    <w:p w14:paraId="06C8031F">
      <w:pPr>
        <w:autoSpaceDE w:val="0"/>
        <w:spacing w:line="560" w:lineRule="exact"/>
        <w:ind w:firstLine="640" w:firstLineChars="200"/>
        <w:jc w:val="left"/>
        <w:rPr>
          <w:rFonts w:ascii="仿宋_GB2312" w:hAnsi="仿宋_GB2312" w:eastAsia="仿宋_GB2312" w:cs="仿宋_GB2312"/>
          <w:bCs/>
          <w:sz w:val="32"/>
          <w:szCs w:val="32"/>
        </w:rPr>
      </w:pPr>
      <w:bookmarkStart w:id="2" w:name="_Toc32718"/>
      <w:bookmarkStart w:id="3" w:name="_Toc389065130"/>
      <w:bookmarkStart w:id="4" w:name="_Toc522797139"/>
      <w:r>
        <w:rPr>
          <w:rFonts w:hint="eastAsia" w:ascii="仿宋_GB2312" w:hAnsi="仿宋_GB2312" w:eastAsia="仿宋_GB2312" w:cs="仿宋_GB2312"/>
          <w:bCs/>
          <w:sz w:val="32"/>
          <w:szCs w:val="32"/>
        </w:rPr>
        <w:t>友情提醒：</w:t>
      </w:r>
    </w:p>
    <w:bookmarkEnd w:id="2"/>
    <w:bookmarkEnd w:id="3"/>
    <w:bookmarkEnd w:id="4"/>
    <w:p w14:paraId="24FCDC02">
      <w:pPr>
        <w:autoSpaceDE w:val="0"/>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1．信息公布、招投标答疑:常州国家高新区管委会（新北区人民政府）网、常州中瑞工程造价咨询有限公司网、E交易网。</w:t>
      </w:r>
    </w:p>
    <w:p w14:paraId="275BE8AC">
      <w:pPr>
        <w:autoSpaceDE w:val="0"/>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２．投标人可在本公告发布网页的后续公告栏内查阅本次招投标的“公告发布、招标文件答疑澄清”等全部相关消息，因未能及时了解相关最新信息所引起的投标失误责任自负。</w:t>
      </w:r>
    </w:p>
    <w:p w14:paraId="46FBB98B">
      <w:pPr>
        <w:autoSpaceDE w:val="0"/>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３．投标人对招标公告及文件如有异议请联系招标人或招标代理机构。</w:t>
      </w:r>
    </w:p>
    <w:p w14:paraId="4D266884">
      <w:pPr>
        <w:pStyle w:val="2"/>
        <w:spacing w:after="0" w:line="240" w:lineRule="auto"/>
        <w:ind w:right="0" w:rightChars="0" w:firstLine="640" w:firstLineChars="200"/>
      </w:pPr>
      <w:r>
        <w:rPr>
          <w:rFonts w:hint="eastAsia" w:ascii="仿宋_GB2312" w:hAnsi="仿宋_GB2312" w:eastAsia="仿宋_GB2312" w:cs="仿宋_GB2312"/>
          <w:bCs/>
          <w:sz w:val="32"/>
          <w:szCs w:val="32"/>
        </w:rPr>
        <w:t>4．投诉监督部门：合规管理部/纪委办公室，联系方式：0519-81808706</w:t>
      </w:r>
    </w:p>
    <w:p w14:paraId="4D36CCFE">
      <w:pPr>
        <w:rPr>
          <w:rFonts w:ascii="黑体" w:hAnsi="宋体" w:eastAsia="黑体" w:cs="黑体"/>
          <w:bCs/>
          <w:sz w:val="32"/>
          <w:szCs w:val="32"/>
        </w:rPr>
      </w:pPr>
      <w:r>
        <w:rPr>
          <w:rFonts w:hint="eastAsia" w:ascii="黑体" w:hAnsi="宋体" w:eastAsia="黑体" w:cs="黑体"/>
          <w:bCs/>
          <w:sz w:val="32"/>
          <w:szCs w:val="32"/>
        </w:rPr>
        <w:br w:type="page"/>
      </w:r>
      <w:r>
        <w:rPr>
          <w:rFonts w:hint="eastAsia" w:ascii="黑体" w:hAnsi="宋体" w:eastAsia="黑体" w:cs="黑体"/>
          <w:bCs/>
          <w:sz w:val="32"/>
          <w:szCs w:val="32"/>
        </w:rPr>
        <w:t>附件1</w:t>
      </w:r>
    </w:p>
    <w:p w14:paraId="014778E7">
      <w:pPr>
        <w:autoSpaceDE w:val="0"/>
        <w:spacing w:line="560" w:lineRule="exact"/>
        <w:ind w:firstLine="880" w:firstLineChars="200"/>
        <w:jc w:val="center"/>
        <w:outlineLvl w:val="0"/>
        <w:rPr>
          <w:rFonts w:ascii="方正小标宋简体" w:eastAsia="方正小标宋简体" w:cs="方正小标宋简体"/>
          <w:bCs/>
          <w:kern w:val="44"/>
          <w:sz w:val="44"/>
          <w:szCs w:val="44"/>
        </w:rPr>
      </w:pPr>
      <w:r>
        <w:rPr>
          <w:rFonts w:hint="eastAsia" w:ascii="方正小标宋简体" w:eastAsia="方正小标宋简体" w:cs="方正小标宋简体"/>
          <w:bCs/>
          <w:kern w:val="44"/>
          <w:sz w:val="44"/>
          <w:szCs w:val="44"/>
        </w:rPr>
        <w:t>资格审查办法（资格后审）</w:t>
      </w:r>
    </w:p>
    <w:p w14:paraId="66F30BB0">
      <w:pPr>
        <w:spacing w:line="560" w:lineRule="exact"/>
        <w:ind w:firstLine="640" w:firstLineChars="200"/>
        <w:rPr>
          <w:rFonts w:ascii="仿宋_GB2312" w:hAnsi="仿宋_GB2312" w:eastAsia="仿宋_GB2312" w:cs="仿宋_GB2312"/>
          <w:sz w:val="32"/>
          <w:szCs w:val="32"/>
        </w:rPr>
      </w:pPr>
      <w:r>
        <w:rPr>
          <w:rFonts w:hint="eastAsia" w:ascii="黑体" w:hAnsi="宋体" w:eastAsia="黑体" w:cs="黑体"/>
          <w:bCs/>
          <w:sz w:val="32"/>
          <w:szCs w:val="32"/>
        </w:rPr>
        <w:t>一、本工程由招标人委托的评标委员会采用</w:t>
      </w:r>
      <w:r>
        <w:rPr>
          <w:rFonts w:hint="eastAsia" w:ascii="黑体" w:hAnsi="宋体" w:eastAsia="黑体" w:cs="黑体"/>
          <w:bCs/>
          <w:sz w:val="32"/>
          <w:szCs w:val="32"/>
          <w:u w:val="single"/>
        </w:rPr>
        <w:t xml:space="preserve"> 资格后审 </w:t>
      </w:r>
      <w:r>
        <w:rPr>
          <w:rFonts w:hint="eastAsia" w:ascii="黑体" w:hAnsi="宋体" w:eastAsia="黑体" w:cs="黑体"/>
          <w:bCs/>
          <w:sz w:val="32"/>
          <w:szCs w:val="32"/>
        </w:rPr>
        <w:t>对投标人进行资格审查。</w:t>
      </w:r>
    </w:p>
    <w:p w14:paraId="72154DBE">
      <w:pPr>
        <w:spacing w:line="560" w:lineRule="exact"/>
        <w:ind w:firstLine="640" w:firstLineChars="200"/>
        <w:rPr>
          <w:rFonts w:ascii="仿宋_GB2312" w:hAnsi="仿宋_GB2312" w:eastAsia="仿宋_GB2312" w:cs="仿宋_GB2312"/>
          <w:sz w:val="32"/>
          <w:szCs w:val="32"/>
        </w:rPr>
      </w:pPr>
      <w:r>
        <w:rPr>
          <w:rFonts w:hint="eastAsia" w:ascii="黑体" w:hAnsi="宋体" w:eastAsia="黑体" w:cs="黑体"/>
          <w:bCs/>
          <w:sz w:val="32"/>
          <w:szCs w:val="32"/>
        </w:rPr>
        <w:t>二、本工程资审合格条件：</w:t>
      </w:r>
    </w:p>
    <w:p w14:paraId="3AB04E7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1．具有独立签订合同的能力；</w:t>
      </w:r>
    </w:p>
    <w:p w14:paraId="560A1B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2．未处于被责令停业、投标资格被取消状态；</w:t>
      </w:r>
    </w:p>
    <w:p w14:paraId="6A5595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3．企业没有因骗取中标或者严重违约以及发生重大工程质量、安全生产事故等违法违规问题，被有关部门暂停投标资格并在暂停期内的；</w:t>
      </w:r>
    </w:p>
    <w:p w14:paraId="401D5F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4．投标文件中的资格审查资料没有失真或者弄虚作假；</w:t>
      </w:r>
    </w:p>
    <w:p w14:paraId="4D3915E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5．企业的资质类别、等级和项目负责人注册专业、资格等级符合国家有关规定；</w:t>
      </w:r>
    </w:p>
    <w:p w14:paraId="3C8B819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6．企业具备安全生产条件，并取得安全生产许可证（相关规定不作要求的除外）；</w:t>
      </w:r>
    </w:p>
    <w:p w14:paraId="27C0BE8E">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7．投标人在投标文件递交截止时间当日，对于本次招标文件中要求的企业资质，投标人的建筑业企业资质动态监管结果均不得处于不合格状态； </w:t>
      </w:r>
    </w:p>
    <w:p w14:paraId="4135DD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8．项目负责人必须满足下列条件：</w:t>
      </w:r>
    </w:p>
    <w:p w14:paraId="473C7F76">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（1）投标人拟派项目负责人须具备</w:t>
      </w:r>
      <w:r>
        <w:rPr>
          <w:rFonts w:hint="eastAsia" w:ascii="仿宋_GB2312" w:hAnsi="仿宋_GB2312" w:eastAsia="仿宋_GB2312" w:cs="仿宋_GB2312"/>
          <w:b/>
          <w:bCs/>
          <w:kern w:val="0"/>
          <w:sz w:val="32"/>
          <w:szCs w:val="32"/>
          <w:u w:val="single"/>
        </w:rPr>
        <w:t>建筑工程二级及以上注册建造师</w:t>
      </w:r>
      <w:r>
        <w:rPr>
          <w:rFonts w:hint="eastAsia" w:ascii="仿宋_GB2312" w:hAnsi="仿宋_GB2312" w:eastAsia="仿宋_GB2312" w:cs="仿宋_GB2312"/>
          <w:sz w:val="32"/>
          <w:szCs w:val="32"/>
        </w:rPr>
        <w:t>。</w:t>
      </w:r>
    </w:p>
    <w:p w14:paraId="6D1777EF">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（2）项目负责人不得同时在两个或者两个以上单位受聘或者执业,且无在建工程。</w:t>
      </w:r>
    </w:p>
    <w:p w14:paraId="5BBEE3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w:t>
      </w:r>
      <w:r>
        <w:rPr>
          <w:rFonts w:hint="eastAsia" w:ascii="仿宋_GB2312" w:hAnsi="仿宋_GB2312" w:eastAsia="仿宋_GB2312" w:cs="仿宋_GB2312"/>
          <w:kern w:val="0"/>
          <w:sz w:val="32"/>
          <w:szCs w:val="32"/>
        </w:rPr>
        <w:t>工程属于同一工程项目</w:t>
      </w:r>
      <w:r>
        <w:rPr>
          <w:rFonts w:hint="eastAsia" w:ascii="仿宋_GB2312" w:hAnsi="仿宋_GB2312" w:eastAsia="仿宋_GB2312" w:cs="仿宋_GB2312"/>
          <w:sz w:val="32"/>
          <w:szCs w:val="32"/>
        </w:rPr>
        <w:t>、同一项目批文、同一施工地点分段发包或分期施工的情况且总的工程规模在项目负责人执业范围之内。</w:t>
      </w:r>
    </w:p>
    <w:p w14:paraId="13CA759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9．类似工程业绩要求：/；</w:t>
      </w:r>
    </w:p>
    <w:p w14:paraId="5A5391E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10．投标人及项目负责人其他要求：</w:t>
      </w:r>
    </w:p>
    <w:p w14:paraId="6CCD00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（1）企业和拟派项目负责人近三个月（从投标截止时间往前推算）内均没有因串通投标、弄虚作假、以他人名义投标、骗取中标、转包、违法分包等违法行为受到建设等有关部门行政处罚的；</w:t>
      </w:r>
    </w:p>
    <w:p w14:paraId="5568C3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（2）企业近1年内（从投标截止日期往前推算）没有无正当理由放弃中标资格（不含项目负责人多投多中后放弃）、不与招标人订立合同、拒不提供履约担保情形的；</w:t>
      </w:r>
    </w:p>
    <w:p w14:paraId="42C9E17A">
      <w:pPr>
        <w:adjustRightInd w:val="0"/>
        <w:spacing w:line="560" w:lineRule="exact"/>
        <w:ind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（3）企业近3个月（从投标截止时间往前推算）内没有因拖欠工人工资被招标项目所在地省、市、县（市、区）建设行政主管部门行政处罚的。（本条内容与招标文件中所载不一致的，以本招标公告为准）；</w:t>
      </w:r>
    </w:p>
    <w:p w14:paraId="24A69D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11．本次招标</w:t>
      </w:r>
      <w:r>
        <w:rPr>
          <w:rFonts w:hint="eastAsia" w:ascii="仿宋_GB2312" w:hAnsi="仿宋_GB2312" w:eastAsia="仿宋_GB2312" w:cs="仿宋_GB2312"/>
          <w:b/>
          <w:bCs/>
          <w:sz w:val="32"/>
          <w:szCs w:val="32"/>
          <w:u w:val="single"/>
        </w:rPr>
        <w:t>不接受（</w:t>
      </w:r>
      <w:r>
        <w:rPr>
          <w:rFonts w:hint="eastAsia" w:ascii="仿宋_GB2312" w:hAnsi="仿宋_GB2312" w:eastAsia="仿宋_GB2312" w:cs="仿宋_GB2312"/>
          <w:sz w:val="32"/>
          <w:szCs w:val="32"/>
        </w:rPr>
        <w:t>接受/不接受）联合体投标；</w:t>
      </w:r>
    </w:p>
    <w:p w14:paraId="191240FF">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12．投标人不得存在下列情形之一： </w:t>
      </w:r>
    </w:p>
    <w:p w14:paraId="0BB1DA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（1）为招标人不具有独立法人资格的附属机构（单位）； </w:t>
      </w:r>
    </w:p>
    <w:p w14:paraId="3E4577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（2）为本招标项目的监理人、代建人、项目管理人，以及为本招标项目提供招标代理、设计服务的； </w:t>
      </w:r>
    </w:p>
    <w:p w14:paraId="1FD778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（3）与本招标项目的监理人、代建人、招标代理机构同为一个法定代表人的，或者相互控股、参股的； </w:t>
      </w:r>
    </w:p>
    <w:p w14:paraId="79AE3D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（4）与招标人存在利害关系可能影响招标公正性的； </w:t>
      </w:r>
    </w:p>
    <w:p w14:paraId="116944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（5）单位负责人为同一人或者存在控股、管理关系的不同单位； </w:t>
      </w:r>
    </w:p>
    <w:p w14:paraId="3126EF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（6）处于被责令停业、财产被接管、冻结和破产状态，以及投标资格被取消或者被暂停且在暂停期内； </w:t>
      </w:r>
    </w:p>
    <w:p w14:paraId="2B49BA8D">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（7）因拖欠工人工资或者因发生质量安全事故被有关部门限制在招标项目所在地承接工程的； </w:t>
      </w:r>
    </w:p>
    <w:p w14:paraId="680F425E">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（8）投标人近3年（自投标截止日期往前推算）内有行贿犯罪行为且被记录，或者法定代表人、项目负责人有行贿犯罪记录且自记录之日起未超过5年（自投标截止日期往前推算）的。</w:t>
      </w:r>
    </w:p>
    <w:p w14:paraId="319F3488">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13．符合法律、法规规定的其他条件。</w:t>
      </w:r>
    </w:p>
    <w:p w14:paraId="456846FD">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三、由招标人委托的评标委员会实施对投标人的资格审查。</w:t>
      </w:r>
    </w:p>
    <w:p w14:paraId="3496DE86">
      <w:pPr>
        <w:autoSpaceDE w:val="0"/>
        <w:adjustRightInd w:val="0"/>
        <w:snapToGrid w:val="0"/>
        <w:spacing w:line="560" w:lineRule="exact"/>
        <w:ind w:firstLine="640" w:firstLineChars="200"/>
        <w:jc w:val="left"/>
        <w:rPr>
          <w:rFonts w:ascii="黑体" w:hAnsi="宋体" w:eastAsia="黑体" w:cs="黑体"/>
          <w:bCs/>
          <w:sz w:val="32"/>
          <w:szCs w:val="32"/>
        </w:rPr>
      </w:pPr>
      <w:r>
        <w:rPr>
          <w:rFonts w:hint="eastAsia" w:ascii="黑体" w:hAnsi="宋体" w:eastAsia="黑体" w:cs="黑体"/>
          <w:bCs/>
          <w:sz w:val="32"/>
          <w:szCs w:val="32"/>
        </w:rPr>
        <w:t>四、资格审查提交资料：</w:t>
      </w:r>
    </w:p>
    <w:p w14:paraId="673F75F1">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4.1企业营业执照（副本）；企业资质等级证书（副本）；企业安全生产许可证（副本）；</w:t>
      </w:r>
    </w:p>
    <w:p w14:paraId="5AFAB611">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w:t>
      </w:r>
      <w:r>
        <w:rPr>
          <w:rFonts w:hint="eastAsia" w:ascii="仿宋_GB2312" w:hAnsi="仿宋_GB2312" w:eastAsia="仿宋_GB2312" w:cs="仿宋_GB2312"/>
          <w:sz w:val="32"/>
          <w:szCs w:val="32"/>
        </w:rPr>
        <w:t>投标建造师注册证书及安全生产考核证书（B证）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（若投标注册建造师证书为一级建造师电子证书的，建造师证书须符合《住房和城乡建设部办公厅关于全面实行一级建造师电子注册证书的通知》（建办市</w:t>
      </w:r>
      <w:r>
        <w:rPr>
          <w:rFonts w:hint="eastAsia" w:ascii="微软雅黑" w:hAnsi="微软雅黑" w:eastAsia="微软雅黑" w:cs="微软雅黑"/>
          <w:bCs/>
          <w:color w:val="000000"/>
          <w:sz w:val="32"/>
          <w:szCs w:val="32"/>
        </w:rPr>
        <w:t>〔</w:t>
      </w:r>
      <w:r>
        <w:rPr>
          <w:rFonts w:hint="eastAsia" w:ascii="仿宋_GB2312" w:hAnsi="仿宋_GB2312" w:eastAsia="仿宋_GB2312" w:cs="仿宋_GB2312"/>
          <w:bCs/>
          <w:color w:val="000000"/>
          <w:sz w:val="32"/>
          <w:szCs w:val="32"/>
        </w:rPr>
        <w:t>2021</w:t>
      </w:r>
      <w:r>
        <w:rPr>
          <w:rFonts w:hint="eastAsia" w:ascii="微软雅黑" w:hAnsi="微软雅黑" w:eastAsia="微软雅黑" w:cs="微软雅黑"/>
          <w:bCs/>
          <w:color w:val="000000"/>
          <w:sz w:val="32"/>
          <w:szCs w:val="32"/>
        </w:rPr>
        <w:t>〕</w:t>
      </w:r>
      <w:r>
        <w:rPr>
          <w:rFonts w:hint="eastAsia" w:ascii="仿宋_GB2312" w:hAnsi="仿宋_GB2312" w:eastAsia="仿宋_GB2312" w:cs="仿宋_GB2312"/>
          <w:bCs/>
          <w:color w:val="000000"/>
          <w:sz w:val="32"/>
          <w:szCs w:val="32"/>
        </w:rPr>
        <w:t>40号）要求。）</w:t>
      </w:r>
    </w:p>
    <w:p w14:paraId="29AD963C">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提供投标建造师相应社保机构出具的投标单位为其缴纳社会基本养老保险的缴纳凭证（加盖社保中心章或社保中心参保缴费证明电子专用章，非社保手册）,缴纳时间为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rPr>
        <w:t>2025年12月至2026年2月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r>
        <w:rPr>
          <w:rFonts w:hint="eastAsia" w:ascii="仿宋_GB2312" w:hAnsi="仿宋_GB2312" w:eastAsia="仿宋_GB2312" w:cs="仿宋_GB2312"/>
          <w:color w:val="000000"/>
          <w:sz w:val="32"/>
          <w:szCs w:val="32"/>
        </w:rPr>
        <w:t>。</w:t>
      </w:r>
    </w:p>
    <w:p w14:paraId="7E522049">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4.4提供授权委托人相应社保机构出具的投标单位为其缴纳社会基本养老保险的缴纳凭证（加盖社保中心章或社保中心参保缴费证明电子专用章，非社保手册） ,缴纳时间为</w:t>
      </w:r>
      <w:r>
        <w:rPr>
          <w:rFonts w:hint="eastAsia" w:ascii="仿宋_GB2312" w:hAnsi="仿宋_GB2312" w:eastAsia="仿宋_GB2312" w:cs="仿宋_GB2312"/>
          <w:b/>
          <w:bCs/>
          <w:color w:val="000000"/>
          <w:sz w:val="32"/>
          <w:szCs w:val="32"/>
        </w:rPr>
        <w:t>2025年12月至2026年2月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r>
        <w:rPr>
          <w:rFonts w:hint="eastAsia" w:ascii="仿宋_GB2312" w:hAnsi="仿宋_GB2312" w:eastAsia="仿宋_GB2312" w:cs="仿宋_GB2312"/>
          <w:color w:val="000000"/>
          <w:sz w:val="32"/>
          <w:szCs w:val="32"/>
        </w:rPr>
        <w:t>。</w:t>
      </w:r>
    </w:p>
    <w:p w14:paraId="0F433E59">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4.5授权委托人本人第二代居民身份证。</w:t>
      </w:r>
    </w:p>
    <w:p w14:paraId="7FBE4A36">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4.6投标人的法定代表人或被委托人需提供法定代表人资格书（加盖公章、格式详见附件三）、法定代表人授权委托书（加盖公章、法人签章、格式详见附件三）。</w:t>
      </w:r>
    </w:p>
    <w:p w14:paraId="66F9A4F7">
      <w:pPr>
        <w:pStyle w:val="2"/>
        <w:spacing w:after="0" w:line="560" w:lineRule="exact"/>
        <w:ind w:right="0" w:rightChars="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4.7投标保证金缴款回单。</w:t>
      </w:r>
    </w:p>
    <w:p w14:paraId="09A10571">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4.8投标人信用承诺书（详见附件四）。</w:t>
      </w:r>
    </w:p>
    <w:p w14:paraId="7A00C52D">
      <w:pPr>
        <w:widowControl/>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特别提醒：</w:t>
      </w:r>
    </w:p>
    <w:p w14:paraId="58B4CE97">
      <w:pPr>
        <w:pStyle w:val="15"/>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   </w:t>
      </w:r>
    </w:p>
    <w:p w14:paraId="50C114D1">
      <w:pPr>
        <w:widowControl/>
        <w:tabs>
          <w:tab w:val="left" w:pos="8820"/>
        </w:tabs>
        <w:spacing w:line="560" w:lineRule="exact"/>
        <w:ind w:firstLine="643"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551E5371">
      <w:pPr>
        <w:widowControl/>
        <w:tabs>
          <w:tab w:val="left" w:pos="8820"/>
        </w:tabs>
        <w:spacing w:line="560" w:lineRule="exact"/>
        <w:ind w:firstLine="643"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③在规定时间内未能按上述要求提供以上资料的作资审不合格处理。 </w:t>
      </w:r>
    </w:p>
    <w:p w14:paraId="6C1B703F">
      <w:pPr>
        <w:pStyle w:val="15"/>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④投标人在投标文件递交截止时间当日，对于本次招标公告中要求的企业资质，投标单位在江苏省建筑市场监管与诚信信息一体化平台动态监管不合格资质查询中显示不合格的，按资审不合格处理。</w:t>
      </w:r>
    </w:p>
    <w:p w14:paraId="7E806B22">
      <w:pPr>
        <w:adjustRightInd w:val="0"/>
        <w:spacing w:line="560" w:lineRule="exact"/>
        <w:ind w:firstLine="640" w:firstLineChars="200"/>
        <w:jc w:val="left"/>
        <w:textAlignment w:val="baseline"/>
        <w:rPr>
          <w:rFonts w:ascii="仿宋_GB2312" w:hAnsi="仿宋_GB2312" w:eastAsia="仿宋_GB2312" w:cs="仿宋_GB2312"/>
          <w:sz w:val="32"/>
          <w:szCs w:val="32"/>
        </w:rPr>
      </w:pPr>
      <w:r>
        <w:rPr>
          <w:rFonts w:hint="eastAsia" w:ascii="黑体" w:hAnsi="宋体" w:eastAsia="黑体" w:cs="黑体"/>
          <w:bCs/>
          <w:sz w:val="32"/>
          <w:szCs w:val="32"/>
        </w:rPr>
        <w:t>五、开标（包括资格后审）时间、地点：</w:t>
      </w:r>
      <w:r>
        <w:rPr>
          <w:rFonts w:hint="eastAsia" w:ascii="仿宋_GB2312" w:hAnsi="仿宋_GB2312" w:eastAsia="仿宋_GB2312" w:cs="仿宋_GB2312"/>
          <w:sz w:val="32"/>
          <w:szCs w:val="32"/>
        </w:rPr>
        <w:t>详见招标文件投标人须知。</w:t>
      </w:r>
    </w:p>
    <w:p w14:paraId="66977D43">
      <w:pPr>
        <w:pStyle w:val="2"/>
        <w:spacing w:line="360" w:lineRule="auto"/>
        <w:ind w:firstLine="640" w:firstLineChars="200"/>
        <w:rPr>
          <w:rFonts w:ascii="黑体" w:eastAsia="黑体" w:cs="黑体"/>
          <w:bCs/>
          <w:sz w:val="32"/>
          <w:szCs w:val="32"/>
        </w:rPr>
      </w:pPr>
      <w:r>
        <w:rPr>
          <w:rFonts w:hint="eastAsia" w:ascii="黑体" w:eastAsia="黑体" w:cs="黑体"/>
          <w:bCs/>
          <w:sz w:val="32"/>
          <w:szCs w:val="32"/>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58082F8">
      <w:pPr>
        <w:pStyle w:val="2"/>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p w14:paraId="787CDFB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1．信息公布、招标文件（工程量清单、图纸）的下载、招标控制价的下载、招投标答疑：“E交易平台”。</w:t>
      </w:r>
    </w:p>
    <w:p w14:paraId="2B6ABF0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2．本工程所有的资审资料，都必须在有效期内。 </w:t>
      </w:r>
    </w:p>
    <w:p w14:paraId="61EDD63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3．本工程不满3家投标将重新组织招标。</w:t>
      </w:r>
    </w:p>
    <w:p w14:paraId="3884C4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4．本工程的图纸设计单位不得参与投标。</w:t>
      </w:r>
    </w:p>
    <w:p w14:paraId="0B00AC9F">
      <w:pPr>
        <w:rPr>
          <w:rFonts w:ascii="仿宋_GB2312" w:hAnsi="仿宋_GB2312" w:eastAsia="仿宋_GB2312" w:cs="仿宋_GB2312"/>
          <w:sz w:val="32"/>
          <w:szCs w:val="32"/>
        </w:rPr>
      </w:pPr>
    </w:p>
    <w:p w14:paraId="41A1F98E">
      <w:pPr>
        <w:jc w:val="left"/>
        <w:rPr>
          <w:rFonts w:ascii="仿宋_GB2312" w:hAnsi="仿宋_GB2312" w:eastAsia="黑体" w:cs="仿宋_GB2312"/>
          <w:sz w:val="32"/>
          <w:szCs w:val="32"/>
        </w:rPr>
      </w:pPr>
      <w:r>
        <w:rPr>
          <w:rFonts w:hint="eastAsia" w:ascii="仿宋_GB2312" w:hAnsi="仿宋_GB2312" w:eastAsia="仿宋_GB2312" w:cs="仿宋_GB2312"/>
          <w:sz w:val="32"/>
          <w:szCs w:val="32"/>
        </w:rPr>
        <w:br w:type="page"/>
      </w:r>
      <w:r>
        <w:rPr>
          <w:rFonts w:hint="eastAsia" w:ascii="黑体" w:hAnsi="宋体" w:eastAsia="黑体" w:cs="黑体"/>
          <w:bCs/>
          <w:sz w:val="32"/>
          <w:szCs w:val="32"/>
        </w:rPr>
        <w:t>附件2</w:t>
      </w:r>
    </w:p>
    <w:p w14:paraId="0764C1C6">
      <w:pPr>
        <w:autoSpaceDE w:val="0"/>
        <w:spacing w:line="560" w:lineRule="exact"/>
        <w:ind w:firstLine="880" w:firstLineChars="200"/>
        <w:jc w:val="center"/>
        <w:outlineLvl w:val="0"/>
        <w:rPr>
          <w:rFonts w:ascii="方正小标宋简体" w:eastAsia="方正小标宋简体" w:cs="方正小标宋简体"/>
          <w:bCs/>
          <w:kern w:val="44"/>
          <w:sz w:val="44"/>
          <w:szCs w:val="44"/>
        </w:rPr>
      </w:pPr>
      <w:r>
        <w:rPr>
          <w:rFonts w:hint="eastAsia" w:ascii="方正小标宋简体" w:eastAsia="方正小标宋简体" w:cs="方正小标宋简体"/>
          <w:bCs/>
          <w:kern w:val="44"/>
          <w:sz w:val="44"/>
          <w:szCs w:val="44"/>
        </w:rPr>
        <w:t>评 标 细 则</w:t>
      </w:r>
    </w:p>
    <w:p w14:paraId="54F25D4C">
      <w:pPr>
        <w:pStyle w:val="9"/>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本着公平、公正、公开的原则对各投标单位投标文件中的商务标等方面进行评分。具体办法如下：（共计100分） </w:t>
      </w:r>
    </w:p>
    <w:p w14:paraId="19863CEE">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第一步：投标文件能够满足招标文件的实质性要求； </w:t>
      </w:r>
    </w:p>
    <w:p w14:paraId="4684727C">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第二步：符合性清标，商务标符合招标文件的实质性要求； </w:t>
      </w:r>
    </w:p>
    <w:p w14:paraId="200B9FB8">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第三步：投标报价得分。</w:t>
      </w:r>
    </w:p>
    <w:p w14:paraId="701923B7">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一、投标报价（100 分） </w:t>
      </w:r>
    </w:p>
    <w:p w14:paraId="749F812D">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1、确定有效投标报价。 </w:t>
      </w:r>
    </w:p>
    <w:p w14:paraId="5BEAEDE3">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凡符合招标文件、招标答疑纪要等有关招标实质性要求，且在招标控制价（总价和综合单价）及以下的投标文件均为有效投标文件，未能实质性响应上述有关招标要求的投标文件为无效投标文件。 </w:t>
      </w:r>
    </w:p>
    <w:p w14:paraId="548F1D3F">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2、打分 </w:t>
      </w:r>
    </w:p>
    <w:p w14:paraId="056B0D7F">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以有效投标文件的</w:t>
      </w:r>
      <w:r>
        <w:rPr>
          <w:rFonts w:hint="eastAsia" w:ascii="仿宋_GB2312" w:hAnsi="仿宋_GB2312" w:eastAsia="仿宋_GB2312" w:cs="仿宋_GB2312"/>
          <w:color w:val="0000FF"/>
          <w:sz w:val="32"/>
          <w:szCs w:val="32"/>
        </w:rPr>
        <w:t>最低评标价</w:t>
      </w:r>
      <w:r>
        <w:rPr>
          <w:rFonts w:hint="eastAsia" w:ascii="仿宋_GB2312" w:hAnsi="仿宋_GB2312" w:eastAsia="仿宋_GB2312" w:cs="仿宋_GB2312"/>
          <w:sz w:val="32"/>
          <w:szCs w:val="32"/>
        </w:rPr>
        <w:t>为评标基准价，评标价等于评标基准价的得满分；偏离评标基准价的，评标价相对评标基准价每高1%，扣0.3分，偏离不足1%的，按照插入法计算得分，得分保留二位小数。</w:t>
      </w:r>
    </w:p>
    <w:p w14:paraId="23E62125">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二、定标办法</w:t>
      </w:r>
    </w:p>
    <w:p w14:paraId="245C987C">
      <w:pPr>
        <w:pStyle w:val="9"/>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（1）以上得分最高者为第一中标候选人；若得分相同，则选择其中投标报价低者为中标候选人；若得分相同，投标报价也相同，当场按签到顺序抽签确定中标候选人。</w:t>
      </w:r>
    </w:p>
    <w:p w14:paraId="60A052A2">
      <w:pPr>
        <w:autoSpaceDE w:val="0"/>
        <w:autoSpaceDN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20B2E5B8">
      <w:pPr>
        <w:autoSpaceDE w:val="0"/>
        <w:autoSpaceDN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p>
    <w:p w14:paraId="1C332A9E">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１．一旦发现中标候选单位的投标建造师已有在建或已另有工程中标的，则取消其中标候选人资格，同时按相关法律法规处罚。</w:t>
      </w:r>
    </w:p>
    <w:p w14:paraId="7A18FA38">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２．一旦发现中标单位存在非法转包、转让、挂靠等行为的， 将依法进行处理，给招标人造成损失的，依法承担赔偿责任。</w:t>
      </w:r>
    </w:p>
    <w:p w14:paraId="331B0F55">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３．本工程招标公告中的评标细则与招标文件中的评标细则不一致时，以招标公告中的评标细则为准。</w:t>
      </w:r>
    </w:p>
    <w:p w14:paraId="71CE7D52">
      <w:pPr>
        <w:tabs>
          <w:tab w:val="left" w:pos="540"/>
          <w:tab w:val="left" w:pos="720"/>
          <w:tab w:val="left" w:pos="900"/>
          <w:tab w:val="left" w:pos="1080"/>
        </w:tabs>
        <w:spacing w:line="560" w:lineRule="exact"/>
        <w:ind w:firstLine="643" w:firstLineChars="200"/>
        <w:rPr>
          <w:rFonts w:ascii="仿宋_GB2312" w:hAnsi="仿宋_GB2312" w:eastAsia="仿宋_GB2312" w:cs="仿宋_GB2312"/>
          <w:b/>
          <w:sz w:val="32"/>
          <w:szCs w:val="32"/>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0012B242">
      <w:pPr>
        <w:autoSpaceDE w:val="0"/>
        <w:adjustRightInd w:val="0"/>
        <w:snapToGrid w:val="0"/>
        <w:spacing w:line="560" w:lineRule="exact"/>
        <w:jc w:val="left"/>
        <w:rPr>
          <w:rFonts w:ascii="黑体" w:hAnsi="宋体" w:eastAsia="黑体" w:cs="黑体"/>
          <w:bCs/>
          <w:sz w:val="32"/>
          <w:szCs w:val="32"/>
        </w:rPr>
      </w:pPr>
      <w:r>
        <w:rPr>
          <w:rFonts w:hint="eastAsia" w:ascii="黑体" w:hAnsi="宋体" w:eastAsia="黑体" w:cs="黑体"/>
          <w:bCs/>
          <w:sz w:val="32"/>
          <w:szCs w:val="32"/>
        </w:rPr>
        <w:t>附件3</w:t>
      </w:r>
    </w:p>
    <w:p w14:paraId="0ED55992">
      <w:pPr>
        <w:tabs>
          <w:tab w:val="left" w:pos="0"/>
        </w:tabs>
        <w:spacing w:line="560" w:lineRule="exact"/>
        <w:ind w:firstLine="643" w:firstLineChars="200"/>
        <w:jc w:val="center"/>
        <w:rPr>
          <w:rFonts w:ascii="仿宋_GB2312" w:hAnsi="仿宋_GB2312" w:eastAsia="仿宋_GB2312" w:cs="仿宋_GB2312"/>
          <w:b/>
          <w:sz w:val="32"/>
          <w:szCs w:val="32"/>
        </w:rPr>
      </w:pPr>
    </w:p>
    <w:p w14:paraId="7845E725">
      <w:pPr>
        <w:autoSpaceDE w:val="0"/>
        <w:spacing w:line="560" w:lineRule="exact"/>
        <w:ind w:firstLine="880" w:firstLineChars="200"/>
        <w:jc w:val="center"/>
        <w:outlineLvl w:val="0"/>
        <w:rPr>
          <w:rFonts w:ascii="方正小标宋简体" w:eastAsia="方正小标宋简体" w:cs="方正小标宋简体"/>
          <w:bCs/>
          <w:kern w:val="44"/>
          <w:sz w:val="44"/>
          <w:szCs w:val="44"/>
        </w:rPr>
      </w:pPr>
      <w:r>
        <w:rPr>
          <w:rFonts w:hint="eastAsia" w:ascii="方正小标宋简体" w:eastAsia="方正小标宋简体" w:cs="方正小标宋简体"/>
          <w:bCs/>
          <w:kern w:val="44"/>
          <w:sz w:val="44"/>
          <w:szCs w:val="44"/>
        </w:rPr>
        <w:t>法定代表人资格书</w:t>
      </w:r>
    </w:p>
    <w:p w14:paraId="7EBBF0DE">
      <w:pPr>
        <w:pStyle w:val="6"/>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4FB2FD74">
      <w:pPr>
        <w:pStyle w:val="6"/>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2BE6287B">
      <w:pPr>
        <w:pStyle w:val="6"/>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         性别：       年龄：       职务：</w:t>
      </w:r>
    </w:p>
    <w:p w14:paraId="6D5AD3D1">
      <w:pPr>
        <w:pStyle w:val="6"/>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的法定代表人。为施工、竣工和保修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的工程，签署上述工程的报名材料、资审材料、投标文件、进行合同谈判、签署合同和处理与之有关的一切事务。</w:t>
      </w:r>
    </w:p>
    <w:p w14:paraId="4403D83A">
      <w:pPr>
        <w:pStyle w:val="6"/>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C1F5E6B">
      <w:pPr>
        <w:pStyle w:val="6"/>
        <w:adjustRightInd w:val="0"/>
        <w:snapToGrid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3B791F49">
      <w:pPr>
        <w:pStyle w:val="6"/>
        <w:adjustRightInd w:val="0"/>
        <w:snapToGrid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04D7134">
      <w:pPr>
        <w:spacing w:line="560" w:lineRule="exact"/>
        <w:ind w:firstLine="640" w:firstLineChars="200"/>
        <w:rPr>
          <w:rFonts w:ascii="仿宋_GB2312" w:hAnsi="仿宋_GB2312" w:eastAsia="仿宋_GB2312" w:cs="仿宋_GB2312"/>
          <w:sz w:val="32"/>
          <w:szCs w:val="32"/>
        </w:rPr>
      </w:pPr>
    </w:p>
    <w:p w14:paraId="1F569B4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5201920" cy="2806065"/>
                <wp:effectExtent l="4445" t="4445" r="5715" b="8890"/>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5BDC69C4">
                            <w:pPr>
                              <w:rPr>
                                <w:b/>
                              </w:rPr>
                            </w:pPr>
                            <w:r>
                              <w:rPr>
                                <w:rFonts w:hint="eastAsia"/>
                                <w:b/>
                              </w:rPr>
                              <w:t>（此处为法定代表人身份证复印件粘贴处，未提供复印件的视为无效身份证明）</w:t>
                            </w:r>
                          </w:p>
                          <w:p w14:paraId="732C29E7"/>
                        </w:txbxContent>
                      </wps:txbx>
                      <wps:bodyPr upright="1"/>
                    </wps:wsp>
                  </a:graphicData>
                </a:graphic>
              </wp:anchor>
            </w:drawing>
          </mc:Choice>
          <mc:Fallback>
            <w:pict>
              <v:shape id="_x0000_s1026" o:spid="_x0000_s1026" o:spt="202" type="#_x0000_t202" style="position:absolute;left:0pt;margin-left:18.2pt;margin-top:20.35pt;height:220.95pt;width:409.6pt;z-index:251659264;mso-width-relative:page;mso-height-relative:page;" filled="f" stroked="t" coordsize="21600,21600" o:gfxdata="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qAMWNcAAAAJAQAADwAAAAAAAAABACAA&#10;AAAiAAAAZHJzL2Rvd25yZXYueG1sUEsBAhQAFAAAAAgAh07iQBlM+dgOAgAAHAQAAA4AAAAAAAAA&#10;AQAgAAAAJgEAAGRycy9lMm9Eb2MueG1sUEsFBgAAAAAGAAYAWQEAAKYFAAAAAA==&#10;">
                <v:fill on="f" focussize="0,0"/>
                <v:stroke color="#000000" joinstyle="miter"/>
                <v:imagedata o:title=""/>
                <o:lock v:ext="edit" aspectratio="f"/>
                <v:textbox>
                  <w:txbxContent>
                    <w:p w14:paraId="5BDC69C4">
                      <w:pPr>
                        <w:rPr>
                          <w:b/>
                        </w:rPr>
                      </w:pPr>
                      <w:r>
                        <w:rPr>
                          <w:rFonts w:hint="eastAsia"/>
                          <w:b/>
                        </w:rPr>
                        <w:t>（此处为法定代表人身份证复印件粘贴处，未提供复印件的视为无效身份证明）</w:t>
                      </w:r>
                    </w:p>
                    <w:p w14:paraId="732C29E7"/>
                  </w:txbxContent>
                </v:textbox>
              </v:shape>
            </w:pict>
          </mc:Fallback>
        </mc:AlternateContent>
      </w:r>
    </w:p>
    <w:p w14:paraId="49B34CBD">
      <w:pPr>
        <w:spacing w:line="560" w:lineRule="exact"/>
        <w:ind w:firstLine="640" w:firstLineChars="200"/>
        <w:rPr>
          <w:rFonts w:ascii="仿宋_GB2312" w:hAnsi="仿宋_GB2312" w:eastAsia="仿宋_GB2312" w:cs="仿宋_GB2312"/>
          <w:sz w:val="32"/>
          <w:szCs w:val="32"/>
        </w:rPr>
      </w:pPr>
    </w:p>
    <w:p w14:paraId="7C834685">
      <w:pPr>
        <w:spacing w:line="560" w:lineRule="exact"/>
        <w:ind w:firstLine="640" w:firstLineChars="200"/>
        <w:rPr>
          <w:rFonts w:ascii="仿宋_GB2312" w:hAnsi="仿宋_GB2312" w:eastAsia="仿宋_GB2312" w:cs="仿宋_GB2312"/>
          <w:sz w:val="32"/>
          <w:szCs w:val="32"/>
        </w:rPr>
      </w:pPr>
    </w:p>
    <w:p w14:paraId="110ADC94">
      <w:pPr>
        <w:spacing w:line="560" w:lineRule="exact"/>
        <w:ind w:firstLine="640" w:firstLineChars="200"/>
        <w:rPr>
          <w:rFonts w:ascii="仿宋_GB2312" w:hAnsi="仿宋_GB2312" w:eastAsia="仿宋_GB2312" w:cs="仿宋_GB2312"/>
          <w:sz w:val="32"/>
          <w:szCs w:val="32"/>
        </w:rPr>
      </w:pPr>
    </w:p>
    <w:p w14:paraId="31ADE411">
      <w:pPr>
        <w:spacing w:line="560" w:lineRule="exact"/>
        <w:ind w:firstLine="640" w:firstLineChars="200"/>
        <w:rPr>
          <w:rFonts w:ascii="仿宋_GB2312" w:hAnsi="仿宋_GB2312" w:eastAsia="仿宋_GB2312" w:cs="仿宋_GB2312"/>
          <w:sz w:val="32"/>
          <w:szCs w:val="32"/>
        </w:rPr>
      </w:pPr>
    </w:p>
    <w:p w14:paraId="4F39BD9A">
      <w:pPr>
        <w:spacing w:line="560" w:lineRule="exact"/>
        <w:ind w:firstLine="640" w:firstLineChars="200"/>
        <w:rPr>
          <w:rFonts w:ascii="仿宋_GB2312" w:hAnsi="仿宋_GB2312" w:eastAsia="仿宋_GB2312" w:cs="仿宋_GB2312"/>
          <w:sz w:val="32"/>
          <w:szCs w:val="32"/>
        </w:rPr>
      </w:pPr>
    </w:p>
    <w:p w14:paraId="44DC9FE8">
      <w:pPr>
        <w:tabs>
          <w:tab w:val="left" w:pos="0"/>
        </w:tabs>
        <w:spacing w:line="560" w:lineRule="exact"/>
        <w:ind w:firstLine="643"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方正小标宋简体" w:eastAsia="方正小标宋简体" w:cs="方正小标宋简体"/>
          <w:bCs/>
          <w:kern w:val="44"/>
          <w:sz w:val="44"/>
          <w:szCs w:val="44"/>
        </w:rPr>
        <w:t>授权委托书</w:t>
      </w:r>
    </w:p>
    <w:p w14:paraId="7EAF45E8">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（投标人名称）的法定代表人，现授权委托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（单位名称）的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（姓名）为我公司代理人，参加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（招标人）的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工程的投标活动。代理人在报名、资审、开标、评标、合同谈判过程中所签署的一切文件和处理与之有关的一切事务，我均予以承认。</w:t>
      </w:r>
    </w:p>
    <w:p w14:paraId="5C97A392">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代理人无转委权。特此委托。</w:t>
      </w:r>
    </w:p>
    <w:p w14:paraId="1DEE4908">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代理人：     性别：    出生日期：</w:t>
      </w:r>
    </w:p>
    <w:p w14:paraId="28C08B29">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       部门：    职务：</w:t>
      </w:r>
    </w:p>
    <w:p w14:paraId="1B0F20DB">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230DD9EB">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1359CD60">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7F15B486">
      <w:pPr>
        <w:spacing w:line="560" w:lineRule="exact"/>
        <w:ind w:firstLine="640" w:firstLineChars="200"/>
        <w:jc w:val="cente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09D60E04">
                            <w:pPr>
                              <w:rPr>
                                <w:b/>
                              </w:rPr>
                            </w:pPr>
                            <w:r>
                              <w:rPr>
                                <w:rFonts w:hint="eastAsia"/>
                                <w:b/>
                              </w:rPr>
                              <w:t>（此处为被委托人身份证复印件粘贴处，未提供复印件的视为无效身份证明）</w:t>
                            </w:r>
                          </w:p>
                          <w:p w14:paraId="563CD45C"/>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09D60E04">
                      <w:pPr>
                        <w:rPr>
                          <w:b/>
                        </w:rPr>
                      </w:pPr>
                      <w:r>
                        <w:rPr>
                          <w:rFonts w:hint="eastAsia"/>
                          <w:b/>
                        </w:rPr>
                        <w:t>（此处为被委托人身份证复印件粘贴处，未提供复印件的视为无效身份证明）</w:t>
                      </w:r>
                    </w:p>
                    <w:p w14:paraId="563CD45C"/>
                  </w:txbxContent>
                </v:textbox>
              </v:shape>
            </w:pict>
          </mc:Fallback>
        </mc:AlternateContent>
      </w:r>
    </w:p>
    <w:p w14:paraId="6E967C4F">
      <w:pPr>
        <w:spacing w:line="560" w:lineRule="exact"/>
        <w:ind w:firstLine="640" w:firstLineChars="200"/>
        <w:jc w:val="center"/>
        <w:rPr>
          <w:rFonts w:ascii="仿宋_GB2312" w:hAnsi="仿宋_GB2312" w:eastAsia="仿宋_GB2312" w:cs="仿宋_GB2312"/>
          <w:sz w:val="32"/>
          <w:szCs w:val="32"/>
        </w:rPr>
      </w:pPr>
    </w:p>
    <w:p w14:paraId="64C221BD">
      <w:pPr>
        <w:spacing w:line="560" w:lineRule="exact"/>
        <w:ind w:firstLine="640" w:firstLineChars="200"/>
        <w:jc w:val="center"/>
        <w:rPr>
          <w:rFonts w:ascii="仿宋_GB2312" w:hAnsi="仿宋_GB2312" w:eastAsia="仿宋_GB2312" w:cs="仿宋_GB2312"/>
          <w:sz w:val="32"/>
          <w:szCs w:val="32"/>
        </w:rPr>
      </w:pPr>
    </w:p>
    <w:p w14:paraId="149FFC57">
      <w:pPr>
        <w:spacing w:line="560" w:lineRule="exact"/>
        <w:ind w:firstLine="640" w:firstLineChars="200"/>
        <w:jc w:val="center"/>
        <w:rPr>
          <w:rFonts w:ascii="仿宋_GB2312" w:hAnsi="仿宋_GB2312" w:eastAsia="仿宋_GB2312" w:cs="仿宋_GB2312"/>
          <w:sz w:val="32"/>
          <w:szCs w:val="32"/>
        </w:rPr>
      </w:pPr>
    </w:p>
    <w:p w14:paraId="5A191DDB">
      <w:pPr>
        <w:spacing w:line="560" w:lineRule="exact"/>
        <w:ind w:firstLine="640" w:firstLineChars="200"/>
        <w:jc w:val="center"/>
        <w:rPr>
          <w:rFonts w:ascii="仿宋_GB2312" w:hAnsi="仿宋_GB2312" w:eastAsia="仿宋_GB2312" w:cs="仿宋_GB2312"/>
          <w:sz w:val="32"/>
          <w:szCs w:val="32"/>
        </w:rPr>
      </w:pPr>
    </w:p>
    <w:p w14:paraId="7502FBF5">
      <w:pPr>
        <w:spacing w:line="560" w:lineRule="exact"/>
        <w:ind w:firstLine="640" w:firstLineChars="200"/>
        <w:jc w:val="center"/>
        <w:rPr>
          <w:rFonts w:ascii="仿宋_GB2312" w:hAnsi="仿宋_GB2312" w:eastAsia="仿宋_GB2312" w:cs="仿宋_GB2312"/>
          <w:sz w:val="32"/>
          <w:szCs w:val="32"/>
        </w:rPr>
      </w:pPr>
    </w:p>
    <w:p w14:paraId="4E343828">
      <w:pPr>
        <w:tabs>
          <w:tab w:val="left" w:pos="0"/>
          <w:tab w:val="left" w:pos="993"/>
          <w:tab w:val="left" w:pos="1134"/>
        </w:tabs>
        <w:adjustRightInd w:val="0"/>
        <w:snapToGrid w:val="0"/>
        <w:spacing w:line="560" w:lineRule="exact"/>
        <w:ind w:firstLine="643" w:firstLineChars="200"/>
        <w:rPr>
          <w:rFonts w:ascii="仿宋_GB2312" w:hAnsi="仿宋_GB2312" w:eastAsia="仿宋_GB2312" w:cs="仿宋_GB2312"/>
          <w:b/>
          <w:sz w:val="32"/>
          <w:szCs w:val="32"/>
        </w:rPr>
      </w:pPr>
    </w:p>
    <w:p w14:paraId="5D449463">
      <w:pPr>
        <w:rPr>
          <w:rFonts w:ascii="黑体" w:hAnsi="宋体" w:eastAsia="黑体" w:cs="黑体"/>
          <w:bCs/>
          <w:sz w:val="32"/>
          <w:szCs w:val="32"/>
        </w:rPr>
      </w:pPr>
      <w:r>
        <w:rPr>
          <w:rFonts w:hint="eastAsia" w:ascii="黑体" w:hAnsi="宋体" w:eastAsia="黑体" w:cs="黑体"/>
          <w:bCs/>
          <w:sz w:val="32"/>
          <w:szCs w:val="32"/>
        </w:rPr>
        <w:br w:type="page"/>
      </w:r>
    </w:p>
    <w:p w14:paraId="3ECCB502">
      <w:pPr>
        <w:autoSpaceDE w:val="0"/>
        <w:adjustRightInd w:val="0"/>
        <w:snapToGrid w:val="0"/>
        <w:spacing w:line="560" w:lineRule="exact"/>
        <w:jc w:val="left"/>
        <w:rPr>
          <w:rFonts w:ascii="黑体" w:hAnsi="宋体" w:eastAsia="黑体" w:cs="黑体"/>
          <w:bCs/>
          <w:sz w:val="32"/>
          <w:szCs w:val="32"/>
        </w:rPr>
      </w:pPr>
      <w:r>
        <w:rPr>
          <w:rFonts w:hint="eastAsia" w:ascii="黑体" w:hAnsi="宋体" w:eastAsia="黑体" w:cs="黑体"/>
          <w:bCs/>
          <w:sz w:val="32"/>
          <w:szCs w:val="32"/>
        </w:rPr>
        <w:t>附件4</w:t>
      </w:r>
    </w:p>
    <w:p w14:paraId="22BD77BF">
      <w:pPr>
        <w:autoSpaceDE w:val="0"/>
        <w:spacing w:line="560" w:lineRule="exact"/>
        <w:ind w:firstLine="880" w:firstLineChars="200"/>
        <w:jc w:val="center"/>
        <w:outlineLvl w:val="0"/>
        <w:rPr>
          <w:rFonts w:ascii="方正小标宋简体" w:eastAsia="方正小标宋简体" w:cs="方正小标宋简体"/>
          <w:bCs/>
          <w:kern w:val="44"/>
          <w:sz w:val="44"/>
          <w:szCs w:val="44"/>
        </w:rPr>
      </w:pPr>
      <w:r>
        <w:rPr>
          <w:rFonts w:hint="eastAsia" w:ascii="方正小标宋简体" w:eastAsia="方正小标宋简体" w:cs="方正小标宋简体"/>
          <w:bCs/>
          <w:kern w:val="44"/>
          <w:sz w:val="44"/>
          <w:szCs w:val="44"/>
        </w:rPr>
        <w:t>投标人信用承诺书</w:t>
      </w:r>
    </w:p>
    <w:p w14:paraId="0E406B66">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本单位及法定代表人，清楚知晓并参与本项目的招投标活动，并作出承诺如下：</w:t>
      </w:r>
    </w:p>
    <w:p w14:paraId="32D5201D">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一、遵循公开、公平、公正和诚实信用的原则，依法依规参与本项目招投标活动。</w:t>
      </w:r>
    </w:p>
    <w:p w14:paraId="17BCAFC7">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二、严格按照本次招标文件中的投标人资格要求提供相应投标资料，并在E交易平台 中录入的所有企业信息和上传的企业资料都是真实、有效、准确且合法的，没有弄虚作假的情形。</w:t>
      </w:r>
    </w:p>
    <w:p w14:paraId="7C4DD5C4">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三、在参与本项目招标投标活动中，不存在任何围标串标活动，也不存在以他人名义投标的行为。</w:t>
      </w:r>
    </w:p>
    <w:p w14:paraId="0CFB746E">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四、在参与本项目招投标活动中，投标项目负责人无在建工程。</w:t>
      </w:r>
    </w:p>
    <w:p w14:paraId="19E9EBC2">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五、在参与本项目招投标活动中，若投标人或项目负责人为失信被执行人的，自愿放弃本次投标资格。</w:t>
      </w:r>
    </w:p>
    <w:p w14:paraId="6F4B31A1">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六、正确履行法律法规规定的投标人权利和义务，遵纪守法，清正廉洁，不徇私枉法，服从建设等行政主管部门监管，接受社会监督。</w:t>
      </w:r>
    </w:p>
    <w:p w14:paraId="056EDB30">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0B60C63B">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本承诺书一经签订即作为中标合同的组成部分，对本单位参与本项目招投标活动的行为具有法律约束力。 </w:t>
      </w:r>
    </w:p>
    <w:p w14:paraId="08331B16">
      <w:pPr>
        <w:snapToGrid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投标人（盖章）：</w:t>
      </w:r>
    </w:p>
    <w:p w14:paraId="62C8B6AC">
      <w:pPr>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法定代表人（签字或盖章）：    </w:t>
      </w:r>
    </w:p>
    <w:p w14:paraId="6F51CE12">
      <w:pPr>
        <w:spacing w:line="560" w:lineRule="exact"/>
        <w:ind w:firstLine="640" w:firstLineChars="200"/>
        <w:rPr>
          <w:rFonts w:ascii="仿宋_GB2312" w:hAnsi="仿宋_GB2312" w:eastAsia="仿宋_GB2312" w:cs="仿宋_GB2312"/>
          <w:sz w:val="32"/>
          <w:szCs w:val="32"/>
        </w:rPr>
      </w:pPr>
    </w:p>
    <w:p w14:paraId="04829BE0">
      <w:pPr>
        <w:spacing w:line="560" w:lineRule="exact"/>
        <w:ind w:firstLine="640" w:firstLineChars="200"/>
        <w:rPr>
          <w:rFonts w:ascii="仿宋_GB2312" w:hAnsi="仿宋_GB2312" w:eastAsia="仿宋_GB2312" w:cs="仿宋_GB2312"/>
          <w:sz w:val="32"/>
          <w:szCs w:val="32"/>
        </w:rPr>
      </w:pPr>
    </w:p>
    <w:p w14:paraId="0335BC25">
      <w:pPr>
        <w:spacing w:line="560" w:lineRule="exact"/>
        <w:ind w:firstLine="640" w:firstLineChars="200"/>
        <w:rPr>
          <w:rFonts w:ascii="仿宋_GB2312" w:hAnsi="仿宋_GB2312" w:eastAsia="仿宋_GB2312" w:cs="仿宋_GB2312"/>
          <w:sz w:val="32"/>
          <w:szCs w:val="32"/>
        </w:rPr>
      </w:pPr>
    </w:p>
    <w:p w14:paraId="1A0F7DFC">
      <w:pPr>
        <w:spacing w:line="560" w:lineRule="exact"/>
        <w:ind w:firstLine="640" w:firstLineChars="200"/>
        <w:rPr>
          <w:rFonts w:ascii="仿宋_GB2312" w:hAnsi="仿宋_GB2312" w:eastAsia="仿宋_GB2312" w:cs="仿宋_GB2312"/>
          <w:sz w:val="32"/>
          <w:szCs w:val="32"/>
        </w:rPr>
      </w:pPr>
    </w:p>
    <w:p w14:paraId="588E2E68">
      <w:pPr>
        <w:spacing w:line="560" w:lineRule="exact"/>
        <w:ind w:firstLine="640" w:firstLineChars="200"/>
        <w:rPr>
          <w:rFonts w:ascii="仿宋_GB2312" w:hAnsi="仿宋_GB2312" w:eastAsia="仿宋_GB2312" w:cs="仿宋_GB2312"/>
          <w:sz w:val="32"/>
          <w:szCs w:val="32"/>
        </w:rPr>
      </w:pPr>
    </w:p>
    <w:p w14:paraId="6D00654B">
      <w:pPr>
        <w:spacing w:line="560" w:lineRule="exact"/>
        <w:ind w:firstLine="640" w:firstLineChars="200"/>
        <w:rPr>
          <w:rFonts w:ascii="仿宋_GB2312" w:hAnsi="仿宋_GB2312" w:eastAsia="仿宋_GB2312" w:cs="仿宋_GB2312"/>
          <w:sz w:val="32"/>
          <w:szCs w:val="32"/>
        </w:rPr>
      </w:pPr>
    </w:p>
    <w:p w14:paraId="18067277">
      <w:pPr>
        <w:spacing w:line="560" w:lineRule="exact"/>
        <w:ind w:firstLine="640" w:firstLineChars="200"/>
        <w:rPr>
          <w:rFonts w:ascii="仿宋_GB2312" w:hAnsi="仿宋_GB2312" w:eastAsia="仿宋_GB2312" w:cs="仿宋_GB2312"/>
          <w:sz w:val="32"/>
          <w:szCs w:val="32"/>
        </w:rPr>
      </w:pPr>
    </w:p>
    <w:p w14:paraId="09C36D57">
      <w:pPr>
        <w:autoSpaceDE w:val="0"/>
        <w:autoSpaceDN w:val="0"/>
        <w:spacing w:line="560" w:lineRule="exact"/>
        <w:ind w:firstLine="624" w:firstLineChars="200"/>
        <w:rPr>
          <w:rFonts w:ascii="仿宋_GB2312" w:hAnsi="仿宋_GB2312" w:eastAsia="仿宋_GB2312" w:cs="仿宋_GB2312"/>
          <w:spacing w:val="-4"/>
          <w:sz w:val="32"/>
          <w:szCs w:val="32"/>
        </w:rPr>
      </w:pPr>
    </w:p>
    <w:p w14:paraId="0FD9E664">
      <w:pPr>
        <w:autoSpaceDE w:val="0"/>
        <w:spacing w:line="560" w:lineRule="exact"/>
        <w:ind w:firstLine="640" w:firstLineChars="200"/>
        <w:jc w:val="left"/>
        <w:rPr>
          <w:rFonts w:ascii="仿宋_GB2312" w:hAnsi="仿宋_GB2312" w:eastAsia="仿宋_GB2312" w:cs="仿宋_GB2312"/>
          <w:bCs/>
          <w:sz w:val="32"/>
          <w:szCs w:val="32"/>
        </w:rPr>
      </w:pPr>
    </w:p>
    <w:p w14:paraId="7A39A1A7">
      <w:pPr>
        <w:autoSpaceDE w:val="0"/>
        <w:spacing w:line="560" w:lineRule="exact"/>
        <w:ind w:firstLine="640" w:firstLineChars="200"/>
        <w:jc w:val="left"/>
        <w:rPr>
          <w:rFonts w:ascii="仿宋_GB2312" w:hAnsi="仿宋_GB2312" w:eastAsia="仿宋_GB2312" w:cs="仿宋_GB2312"/>
          <w:bCs/>
          <w:sz w:val="32"/>
          <w:szCs w:val="32"/>
        </w:rPr>
      </w:pPr>
    </w:p>
    <w:p w14:paraId="68F9540B">
      <w:pPr>
        <w:autoSpaceDE w:val="0"/>
        <w:autoSpaceDN w:val="0"/>
        <w:spacing w:line="560" w:lineRule="exact"/>
        <w:ind w:firstLine="624" w:firstLineChars="200"/>
        <w:rPr>
          <w:rFonts w:ascii="仿宋_GB2312" w:hAnsi="仿宋_GB2312" w:eastAsia="仿宋_GB2312" w:cs="仿宋_GB2312"/>
          <w:spacing w:val="-4"/>
          <w:sz w:val="32"/>
          <w:szCs w:val="32"/>
        </w:rPr>
      </w:pPr>
    </w:p>
    <w:sectPr>
      <w:footerReference r:id="rId6"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26959D-FE6C-4B5A-BE4F-A2E82682C5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2" w:fontKey="{8DFE4827-F679-4D6A-A166-22162806E236}"/>
  </w:font>
  <w:font w:name="仿宋_GB2312">
    <w:panose1 w:val="02010609030101010101"/>
    <w:charset w:val="86"/>
    <w:family w:val="modern"/>
    <w:pitch w:val="default"/>
    <w:sig w:usb0="00000001" w:usb1="080E0000" w:usb2="00000000" w:usb3="00000000" w:csb0="00040000" w:csb1="00000000"/>
    <w:embedRegular r:id="rId3" w:fontKey="{E9F281C3-97AF-4B68-9E35-89B541538D1F}"/>
  </w:font>
  <w:font w:name="Arial">
    <w:panose1 w:val="020B0604020202020204"/>
    <w:charset w:val="00"/>
    <w:family w:val="swiss"/>
    <w:pitch w:val="default"/>
    <w:sig w:usb0="E0002EFF" w:usb1="C000785B" w:usb2="00000009" w:usb3="00000000" w:csb0="400001FF" w:csb1="FFFF0000"/>
    <w:embedRegular r:id="rId4" w:fontKey="{78955CD0-B8CD-4B2C-A735-BE0491664264}"/>
  </w:font>
  <w:font w:name="微软雅黑">
    <w:panose1 w:val="020B0503020204020204"/>
    <w:charset w:val="86"/>
    <w:family w:val="swiss"/>
    <w:pitch w:val="default"/>
    <w:sig w:usb0="80000287" w:usb1="2ACF3C50" w:usb2="00000016" w:usb3="00000000" w:csb0="0004001F" w:csb1="00000000"/>
    <w:embedRegular r:id="rId5" w:fontKey="{444B9EAA-2191-4315-8FC9-5DFEF80F8A7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767C">
    <w:pPr>
      <w:pStyle w:val="7"/>
      <w:framePr w:wrap="around" w:vAnchor="text" w:hAnchor="margin" w:xAlign="center" w:y="2"/>
      <w:rPr>
        <w:rStyle w:val="13"/>
      </w:rPr>
    </w:pPr>
    <w:r>
      <w:fldChar w:fldCharType="begin"/>
    </w:r>
    <w:r>
      <w:rPr>
        <w:rStyle w:val="13"/>
      </w:rPr>
      <w:instrText xml:space="preserve">PAGE  </w:instrText>
    </w:r>
    <w:r>
      <w:fldChar w:fldCharType="separate"/>
    </w:r>
    <w:r>
      <w:rPr>
        <w:rStyle w:val="13"/>
      </w:rPr>
      <w:t>2</w:t>
    </w:r>
    <w:r>
      <w:fldChar w:fldCharType="end"/>
    </w:r>
  </w:p>
  <w:p w14:paraId="6D8CCEB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0C2C">
    <w:pPr>
      <w:pStyle w:val="7"/>
      <w:framePr w:wrap="around" w:vAnchor="text" w:hAnchor="margin" w:xAlign="center" w:y="2"/>
      <w:rPr>
        <w:rStyle w:val="13"/>
      </w:rPr>
    </w:pPr>
    <w:r>
      <w:fldChar w:fldCharType="begin"/>
    </w:r>
    <w:r>
      <w:rPr>
        <w:rStyle w:val="13"/>
      </w:rPr>
      <w:instrText xml:space="preserve">PAGE  </w:instrText>
    </w:r>
    <w:r>
      <w:fldChar w:fldCharType="end"/>
    </w:r>
  </w:p>
  <w:p w14:paraId="436810B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287F">
    <w:pPr>
      <w:pStyle w:val="7"/>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a:effectLst/>
                    </wps:spPr>
                    <wps:txbx>
                      <w:txbxContent>
                        <w:p w14:paraId="5EFCB1E7">
                          <w:pPr>
                            <w:pStyle w:val="7"/>
                            <w:jc w:val="center"/>
                            <w:rPr>
                              <w:sz w:val="28"/>
                            </w:rPr>
                          </w:pPr>
                          <w:r>
                            <w:rPr>
                              <w:sz w:val="28"/>
                            </w:rPr>
                            <w:fldChar w:fldCharType="begin"/>
                          </w:r>
                          <w:r>
                            <w:rPr>
                              <w:sz w:val="28"/>
                            </w:rPr>
                            <w:instrText xml:space="preserve"> PAGE  \* MERGEFORMAT </w:instrText>
                          </w:r>
                          <w:r>
                            <w:rPr>
                              <w:sz w:val="28"/>
                            </w:rPr>
                            <w:fldChar w:fldCharType="separate"/>
                          </w:r>
                          <w:r>
                            <w:rPr>
                              <w:sz w:val="28"/>
                            </w:rPr>
                            <w:t>- 12 -</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JHc2dkAAAAKAQAADwAAAAAAAAABACAAAAAiAAAAZHJzL2Rvd25y&#10;ZXYueG1sUEsBAhQAFAAAAAgAh07iQMkH8rY2AgAAYwQAAA4AAAAAAAAAAQAgAAAAKAEAAGRycy9l&#10;Mm9Eb2MueG1sUEsFBgAAAAAGAAYAWQEAANAFAAAAAA==&#10;">
              <v:fill on="f" focussize="0,0"/>
              <v:stroke on="f" weight="0.5pt"/>
              <v:imagedata o:title=""/>
              <o:lock v:ext="edit" aspectratio="f"/>
              <v:textbox inset="0mm,0mm,0mm,0mm">
                <w:txbxContent>
                  <w:p w14:paraId="5EFCB1E7">
                    <w:pPr>
                      <w:pStyle w:val="7"/>
                      <w:jc w:val="center"/>
                      <w:rPr>
                        <w:sz w:val="28"/>
                      </w:rPr>
                    </w:pPr>
                    <w:r>
                      <w:rPr>
                        <w:sz w:val="28"/>
                      </w:rPr>
                      <w:fldChar w:fldCharType="begin"/>
                    </w:r>
                    <w:r>
                      <w:rPr>
                        <w:sz w:val="28"/>
                      </w:rPr>
                      <w:instrText xml:space="preserve"> PAGE  \* MERGEFORMAT </w:instrText>
                    </w:r>
                    <w:r>
                      <w:rPr>
                        <w:sz w:val="28"/>
                      </w:rPr>
                      <w:fldChar w:fldCharType="separate"/>
                    </w:r>
                    <w:r>
                      <w:rPr>
                        <w:sz w:val="28"/>
                      </w:rPr>
                      <w:t>- 12 -</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A09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HorizontalSpacing w:val="21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011A7C"/>
    <w:rsid w:val="0007418A"/>
    <w:rsid w:val="000E2A93"/>
    <w:rsid w:val="000F0223"/>
    <w:rsid w:val="000F0F72"/>
    <w:rsid w:val="001433F7"/>
    <w:rsid w:val="00152004"/>
    <w:rsid w:val="00172861"/>
    <w:rsid w:val="00180806"/>
    <w:rsid w:val="001A0515"/>
    <w:rsid w:val="001A5BA1"/>
    <w:rsid w:val="001C0143"/>
    <w:rsid w:val="001D4751"/>
    <w:rsid w:val="001F3B78"/>
    <w:rsid w:val="001F5C3D"/>
    <w:rsid w:val="002003B6"/>
    <w:rsid w:val="00205C42"/>
    <w:rsid w:val="00216A80"/>
    <w:rsid w:val="0022287E"/>
    <w:rsid w:val="00231AF1"/>
    <w:rsid w:val="00236C4C"/>
    <w:rsid w:val="00253857"/>
    <w:rsid w:val="002550B9"/>
    <w:rsid w:val="0026073A"/>
    <w:rsid w:val="00271DFA"/>
    <w:rsid w:val="00282D6A"/>
    <w:rsid w:val="00283C52"/>
    <w:rsid w:val="0028667E"/>
    <w:rsid w:val="0029239F"/>
    <w:rsid w:val="002A214D"/>
    <w:rsid w:val="002A76AC"/>
    <w:rsid w:val="002B39F6"/>
    <w:rsid w:val="002B6F6C"/>
    <w:rsid w:val="002C7025"/>
    <w:rsid w:val="002D1425"/>
    <w:rsid w:val="002E6202"/>
    <w:rsid w:val="003403F0"/>
    <w:rsid w:val="0036513C"/>
    <w:rsid w:val="0036714E"/>
    <w:rsid w:val="00377E81"/>
    <w:rsid w:val="00377F35"/>
    <w:rsid w:val="00394581"/>
    <w:rsid w:val="003D7E03"/>
    <w:rsid w:val="003F213E"/>
    <w:rsid w:val="003F49F7"/>
    <w:rsid w:val="003F63C6"/>
    <w:rsid w:val="00400BCE"/>
    <w:rsid w:val="00427A09"/>
    <w:rsid w:val="004303C4"/>
    <w:rsid w:val="00430E40"/>
    <w:rsid w:val="00432B96"/>
    <w:rsid w:val="00433B4D"/>
    <w:rsid w:val="00482E2B"/>
    <w:rsid w:val="004938D3"/>
    <w:rsid w:val="004E2F0C"/>
    <w:rsid w:val="004E301C"/>
    <w:rsid w:val="004E4F8E"/>
    <w:rsid w:val="005156EA"/>
    <w:rsid w:val="005261D0"/>
    <w:rsid w:val="00560542"/>
    <w:rsid w:val="0056794D"/>
    <w:rsid w:val="00573CFF"/>
    <w:rsid w:val="005810E7"/>
    <w:rsid w:val="005919CD"/>
    <w:rsid w:val="005C42DD"/>
    <w:rsid w:val="005D7FF7"/>
    <w:rsid w:val="005F322D"/>
    <w:rsid w:val="00680C67"/>
    <w:rsid w:val="006D5DA3"/>
    <w:rsid w:val="006F6F65"/>
    <w:rsid w:val="0071520F"/>
    <w:rsid w:val="00722299"/>
    <w:rsid w:val="00724462"/>
    <w:rsid w:val="0074021F"/>
    <w:rsid w:val="00751571"/>
    <w:rsid w:val="00764F95"/>
    <w:rsid w:val="007B7FA8"/>
    <w:rsid w:val="007C673C"/>
    <w:rsid w:val="007E5E7D"/>
    <w:rsid w:val="008159A0"/>
    <w:rsid w:val="0082520F"/>
    <w:rsid w:val="00855DA5"/>
    <w:rsid w:val="00856C91"/>
    <w:rsid w:val="00873FFC"/>
    <w:rsid w:val="00886D10"/>
    <w:rsid w:val="00893E4D"/>
    <w:rsid w:val="00894202"/>
    <w:rsid w:val="008A1A94"/>
    <w:rsid w:val="008A606E"/>
    <w:rsid w:val="008C396C"/>
    <w:rsid w:val="008F3A10"/>
    <w:rsid w:val="00954021"/>
    <w:rsid w:val="009635FD"/>
    <w:rsid w:val="00970C71"/>
    <w:rsid w:val="00980A86"/>
    <w:rsid w:val="00983407"/>
    <w:rsid w:val="009A27F7"/>
    <w:rsid w:val="009D0467"/>
    <w:rsid w:val="009E2844"/>
    <w:rsid w:val="00A01A0A"/>
    <w:rsid w:val="00A93128"/>
    <w:rsid w:val="00AA587A"/>
    <w:rsid w:val="00AD426F"/>
    <w:rsid w:val="00AE366C"/>
    <w:rsid w:val="00AF5EEC"/>
    <w:rsid w:val="00B51D2B"/>
    <w:rsid w:val="00B51FAF"/>
    <w:rsid w:val="00B67F77"/>
    <w:rsid w:val="00BA406E"/>
    <w:rsid w:val="00BC28B4"/>
    <w:rsid w:val="00BD1620"/>
    <w:rsid w:val="00BF504D"/>
    <w:rsid w:val="00C132E8"/>
    <w:rsid w:val="00C220B7"/>
    <w:rsid w:val="00C34E9E"/>
    <w:rsid w:val="00C6277B"/>
    <w:rsid w:val="00C809C6"/>
    <w:rsid w:val="00CB063F"/>
    <w:rsid w:val="00CC37A6"/>
    <w:rsid w:val="00D12FCD"/>
    <w:rsid w:val="00D20F52"/>
    <w:rsid w:val="00D235AC"/>
    <w:rsid w:val="00D46F03"/>
    <w:rsid w:val="00D504AC"/>
    <w:rsid w:val="00D52CD3"/>
    <w:rsid w:val="00D7082F"/>
    <w:rsid w:val="00D73646"/>
    <w:rsid w:val="00D82BF4"/>
    <w:rsid w:val="00D86A43"/>
    <w:rsid w:val="00D90D6C"/>
    <w:rsid w:val="00DB2817"/>
    <w:rsid w:val="00DD585F"/>
    <w:rsid w:val="00DD5EFC"/>
    <w:rsid w:val="00DE10D9"/>
    <w:rsid w:val="00DE4AC2"/>
    <w:rsid w:val="00DE4BAB"/>
    <w:rsid w:val="00DE73EE"/>
    <w:rsid w:val="00DF3793"/>
    <w:rsid w:val="00DF6202"/>
    <w:rsid w:val="00DF659C"/>
    <w:rsid w:val="00E13FB7"/>
    <w:rsid w:val="00E2791B"/>
    <w:rsid w:val="00E35051"/>
    <w:rsid w:val="00E46807"/>
    <w:rsid w:val="00E52BB0"/>
    <w:rsid w:val="00E7146D"/>
    <w:rsid w:val="00E77752"/>
    <w:rsid w:val="00E77E4E"/>
    <w:rsid w:val="00E97B0B"/>
    <w:rsid w:val="00EA39E6"/>
    <w:rsid w:val="00EA5547"/>
    <w:rsid w:val="00EA7E8D"/>
    <w:rsid w:val="00EB64C1"/>
    <w:rsid w:val="00EC66A3"/>
    <w:rsid w:val="00ED476A"/>
    <w:rsid w:val="00ED4EFE"/>
    <w:rsid w:val="00ED786D"/>
    <w:rsid w:val="00EF0EFC"/>
    <w:rsid w:val="00F0589F"/>
    <w:rsid w:val="00F06A49"/>
    <w:rsid w:val="00F07836"/>
    <w:rsid w:val="00F37F87"/>
    <w:rsid w:val="00F548DB"/>
    <w:rsid w:val="00F606E7"/>
    <w:rsid w:val="00F62AF4"/>
    <w:rsid w:val="00F808EC"/>
    <w:rsid w:val="00FA1301"/>
    <w:rsid w:val="00FC2C3A"/>
    <w:rsid w:val="00FD3577"/>
    <w:rsid w:val="013851DA"/>
    <w:rsid w:val="01722330"/>
    <w:rsid w:val="018E14F6"/>
    <w:rsid w:val="01BE1198"/>
    <w:rsid w:val="029137FA"/>
    <w:rsid w:val="03647853"/>
    <w:rsid w:val="04400583"/>
    <w:rsid w:val="054144F3"/>
    <w:rsid w:val="05CB4E38"/>
    <w:rsid w:val="05CF7D50"/>
    <w:rsid w:val="06033F82"/>
    <w:rsid w:val="06236B88"/>
    <w:rsid w:val="06690735"/>
    <w:rsid w:val="068E3768"/>
    <w:rsid w:val="06940536"/>
    <w:rsid w:val="073C3880"/>
    <w:rsid w:val="080B36D5"/>
    <w:rsid w:val="081E0C99"/>
    <w:rsid w:val="08AD2EF4"/>
    <w:rsid w:val="08CC4A1B"/>
    <w:rsid w:val="090048DC"/>
    <w:rsid w:val="0A305844"/>
    <w:rsid w:val="0AC63F81"/>
    <w:rsid w:val="0BBE4019"/>
    <w:rsid w:val="0C10591B"/>
    <w:rsid w:val="0C7B72F6"/>
    <w:rsid w:val="0D725B91"/>
    <w:rsid w:val="0E96630C"/>
    <w:rsid w:val="0F362BEE"/>
    <w:rsid w:val="10495085"/>
    <w:rsid w:val="105E7254"/>
    <w:rsid w:val="10623011"/>
    <w:rsid w:val="113B44EC"/>
    <w:rsid w:val="11B81FE1"/>
    <w:rsid w:val="12396644"/>
    <w:rsid w:val="13B33406"/>
    <w:rsid w:val="1407618A"/>
    <w:rsid w:val="140A17A1"/>
    <w:rsid w:val="141E6E98"/>
    <w:rsid w:val="150C0679"/>
    <w:rsid w:val="157C2289"/>
    <w:rsid w:val="1586742B"/>
    <w:rsid w:val="161964C6"/>
    <w:rsid w:val="168D7598"/>
    <w:rsid w:val="17251F02"/>
    <w:rsid w:val="191507FE"/>
    <w:rsid w:val="19694374"/>
    <w:rsid w:val="1B213295"/>
    <w:rsid w:val="1B4A3ACE"/>
    <w:rsid w:val="1B4C2CD0"/>
    <w:rsid w:val="1B565763"/>
    <w:rsid w:val="1C391C39"/>
    <w:rsid w:val="1C3D736A"/>
    <w:rsid w:val="1CB117C2"/>
    <w:rsid w:val="1D777799"/>
    <w:rsid w:val="1DD65CC8"/>
    <w:rsid w:val="1E54175F"/>
    <w:rsid w:val="1E56319D"/>
    <w:rsid w:val="1F163E84"/>
    <w:rsid w:val="1F325180"/>
    <w:rsid w:val="1F8343DB"/>
    <w:rsid w:val="20396400"/>
    <w:rsid w:val="20480747"/>
    <w:rsid w:val="2164555B"/>
    <w:rsid w:val="218B0B78"/>
    <w:rsid w:val="219C367C"/>
    <w:rsid w:val="21DD7533"/>
    <w:rsid w:val="21FD729B"/>
    <w:rsid w:val="220B1557"/>
    <w:rsid w:val="22993263"/>
    <w:rsid w:val="231F2372"/>
    <w:rsid w:val="24A7216D"/>
    <w:rsid w:val="24AA7A3F"/>
    <w:rsid w:val="24BB4C9A"/>
    <w:rsid w:val="25CA2B30"/>
    <w:rsid w:val="26596289"/>
    <w:rsid w:val="269F1681"/>
    <w:rsid w:val="26B618CC"/>
    <w:rsid w:val="27A433A2"/>
    <w:rsid w:val="27DE2FC0"/>
    <w:rsid w:val="28CA01D8"/>
    <w:rsid w:val="2A614A98"/>
    <w:rsid w:val="2C244FA1"/>
    <w:rsid w:val="2C6142AE"/>
    <w:rsid w:val="2CCF4C96"/>
    <w:rsid w:val="2E417D09"/>
    <w:rsid w:val="2EA3406A"/>
    <w:rsid w:val="2F124E51"/>
    <w:rsid w:val="2F4733FE"/>
    <w:rsid w:val="2F913390"/>
    <w:rsid w:val="2FBD0A5E"/>
    <w:rsid w:val="2FE619F1"/>
    <w:rsid w:val="30731155"/>
    <w:rsid w:val="33081F33"/>
    <w:rsid w:val="33D32CCC"/>
    <w:rsid w:val="34453406"/>
    <w:rsid w:val="34FD1935"/>
    <w:rsid w:val="384977AD"/>
    <w:rsid w:val="3CFD4441"/>
    <w:rsid w:val="3D6F7BC4"/>
    <w:rsid w:val="3DDE0DD4"/>
    <w:rsid w:val="3DF8713D"/>
    <w:rsid w:val="3E0A4B97"/>
    <w:rsid w:val="3EA9688B"/>
    <w:rsid w:val="3EBA0082"/>
    <w:rsid w:val="3EFD02AE"/>
    <w:rsid w:val="3F6F2FB1"/>
    <w:rsid w:val="3FE24949"/>
    <w:rsid w:val="40774C14"/>
    <w:rsid w:val="410200B3"/>
    <w:rsid w:val="425158A3"/>
    <w:rsid w:val="42AC759A"/>
    <w:rsid w:val="42C002CF"/>
    <w:rsid w:val="44FA347A"/>
    <w:rsid w:val="45290F50"/>
    <w:rsid w:val="452B1BAF"/>
    <w:rsid w:val="45812155"/>
    <w:rsid w:val="484D176C"/>
    <w:rsid w:val="48F32012"/>
    <w:rsid w:val="4A7B65EB"/>
    <w:rsid w:val="4B751DCD"/>
    <w:rsid w:val="4D1865A3"/>
    <w:rsid w:val="4E3E6DEE"/>
    <w:rsid w:val="4E7A625A"/>
    <w:rsid w:val="4EDD74E8"/>
    <w:rsid w:val="4F020368"/>
    <w:rsid w:val="4F80608F"/>
    <w:rsid w:val="4FC43323"/>
    <w:rsid w:val="503572C0"/>
    <w:rsid w:val="511757F2"/>
    <w:rsid w:val="511D4F82"/>
    <w:rsid w:val="51B3364F"/>
    <w:rsid w:val="53700D5C"/>
    <w:rsid w:val="53E95F5E"/>
    <w:rsid w:val="55850EFA"/>
    <w:rsid w:val="55AD03B6"/>
    <w:rsid w:val="566B3D9C"/>
    <w:rsid w:val="57DA1D5C"/>
    <w:rsid w:val="57DD440B"/>
    <w:rsid w:val="57F24E68"/>
    <w:rsid w:val="58BB30A2"/>
    <w:rsid w:val="58EF4377"/>
    <w:rsid w:val="58F447C2"/>
    <w:rsid w:val="594E12AA"/>
    <w:rsid w:val="59537B91"/>
    <w:rsid w:val="5966217F"/>
    <w:rsid w:val="59C15A6E"/>
    <w:rsid w:val="59F2097D"/>
    <w:rsid w:val="5A186745"/>
    <w:rsid w:val="5AB3021C"/>
    <w:rsid w:val="5B432946"/>
    <w:rsid w:val="5BD73D3B"/>
    <w:rsid w:val="5C1473E0"/>
    <w:rsid w:val="5E137A36"/>
    <w:rsid w:val="5E5553C7"/>
    <w:rsid w:val="5EA56DA0"/>
    <w:rsid w:val="607C3927"/>
    <w:rsid w:val="612B684E"/>
    <w:rsid w:val="61527712"/>
    <w:rsid w:val="63176E75"/>
    <w:rsid w:val="637A5646"/>
    <w:rsid w:val="639A01CB"/>
    <w:rsid w:val="63F4603A"/>
    <w:rsid w:val="63FA4B54"/>
    <w:rsid w:val="64093F70"/>
    <w:rsid w:val="651346D9"/>
    <w:rsid w:val="65923B91"/>
    <w:rsid w:val="66017F6E"/>
    <w:rsid w:val="66B94E0C"/>
    <w:rsid w:val="66D90E30"/>
    <w:rsid w:val="68110444"/>
    <w:rsid w:val="68352BB8"/>
    <w:rsid w:val="68AB6990"/>
    <w:rsid w:val="69173724"/>
    <w:rsid w:val="6A9C4046"/>
    <w:rsid w:val="6AA40BD1"/>
    <w:rsid w:val="6BEB5FCA"/>
    <w:rsid w:val="6BFA3EFD"/>
    <w:rsid w:val="6E2C2368"/>
    <w:rsid w:val="6E904AFE"/>
    <w:rsid w:val="6F257305"/>
    <w:rsid w:val="70162D6E"/>
    <w:rsid w:val="704045D3"/>
    <w:rsid w:val="70B22A76"/>
    <w:rsid w:val="70E76A1A"/>
    <w:rsid w:val="71726A12"/>
    <w:rsid w:val="72223297"/>
    <w:rsid w:val="73680A5B"/>
    <w:rsid w:val="739015EB"/>
    <w:rsid w:val="73B75D5F"/>
    <w:rsid w:val="73E0463F"/>
    <w:rsid w:val="74231ACE"/>
    <w:rsid w:val="748553D3"/>
    <w:rsid w:val="76527987"/>
    <w:rsid w:val="773E295A"/>
    <w:rsid w:val="77653C5C"/>
    <w:rsid w:val="77B57F4F"/>
    <w:rsid w:val="77D15D7E"/>
    <w:rsid w:val="78091B5E"/>
    <w:rsid w:val="783B658D"/>
    <w:rsid w:val="786C52AB"/>
    <w:rsid w:val="78AD248D"/>
    <w:rsid w:val="7A4C17D5"/>
    <w:rsid w:val="7C865339"/>
    <w:rsid w:val="7C907F65"/>
    <w:rsid w:val="7C98391B"/>
    <w:rsid w:val="7D2642E3"/>
    <w:rsid w:val="7D64046A"/>
    <w:rsid w:val="7D8A04D8"/>
    <w:rsid w:val="7DC26768"/>
    <w:rsid w:val="7E5D61B0"/>
    <w:rsid w:val="7EB70070"/>
    <w:rsid w:val="7F4549B0"/>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1"/>
    <w:autoRedefine/>
    <w:qFormat/>
    <w:uiPriority w:val="0"/>
    <w:pPr>
      <w:spacing w:after="100" w:line="440" w:lineRule="exact"/>
      <w:ind w:right="-2" w:rightChars="-1"/>
    </w:pPr>
    <w:rPr>
      <w:rFonts w:ascii="宋体" w:hAnsi="宋体"/>
      <w:sz w:val="28"/>
    </w:rPr>
  </w:style>
  <w:style w:type="paragraph" w:styleId="4">
    <w:name w:val="Body Text Indent"/>
    <w:basedOn w:val="1"/>
    <w:next w:val="5"/>
    <w:autoRedefine/>
    <w:qFormat/>
    <w:uiPriority w:val="0"/>
    <w:pPr>
      <w:spacing w:line="360" w:lineRule="auto"/>
      <w:ind w:firstLine="570"/>
    </w:pPr>
    <w:rPr>
      <w:sz w:val="24"/>
    </w:rPr>
  </w:style>
  <w:style w:type="paragraph" w:styleId="5">
    <w:name w:val="Body Text First Indent 2"/>
    <w:basedOn w:val="1"/>
    <w:next w:val="1"/>
    <w:autoRedefine/>
    <w:qFormat/>
    <w:uiPriority w:val="99"/>
    <w:pPr>
      <w:spacing w:after="120"/>
      <w:ind w:left="420" w:leftChars="200" w:firstLine="420"/>
    </w:pPr>
    <w:rPr>
      <w:color w:val="000000"/>
      <w:sz w:val="20"/>
    </w:rPr>
  </w:style>
  <w:style w:type="paragraph" w:styleId="6">
    <w:name w:val="Plain Text"/>
    <w:basedOn w:val="1"/>
    <w:qFormat/>
    <w:uiPriority w:val="0"/>
    <w:rPr>
      <w:rFonts w:ascii="宋体" w:hAnsi="Courier New"/>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autoRedefine/>
    <w:qFormat/>
    <w:uiPriority w:val="22"/>
    <w:rPr>
      <w:b/>
      <w:bCs/>
    </w:rPr>
  </w:style>
  <w:style w:type="character" w:styleId="13">
    <w:name w:val="page number"/>
    <w:qFormat/>
    <w:uiPriority w:val="0"/>
  </w:style>
  <w:style w:type="character" w:styleId="14">
    <w:name w:val="Hyperlink"/>
    <w:basedOn w:val="11"/>
    <w:autoRedefine/>
    <w:qFormat/>
    <w:uiPriority w:val="0"/>
    <w:rPr>
      <w:color w:val="0000FF"/>
      <w:u w:val="single"/>
    </w:rPr>
  </w:style>
  <w:style w:type="paragraph" w:customStyle="1" w:styleId="1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5389</Words>
  <Characters>5592</Characters>
  <Lines>42</Lines>
  <Paragraphs>12</Paragraphs>
  <TotalTime>117</TotalTime>
  <ScaleCrop>false</ScaleCrop>
  <LinksUpToDate>false</LinksUpToDate>
  <CharactersWithSpaces>5837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2024-01-31T19:09:00Z</dcterms:created>
  <dc:creator>糖果</dc:creator>
  <cp:lastModifiedBy>刘潍</cp:lastModifiedBy>
  <dcterms:modified xsi:type="dcterms:W3CDTF">2026-03-23T08:29:11Z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64596E1B5D1A4E81979F9AC7643F8DDD_13</vt:lpwstr>
  </property>
  <property fmtid="{D5CDD505-2E9C-101B-9397-08002B2CF9AE}" pid="4" name="KSOTemplateDocerSaveRecord">
    <vt:lpwstr>eyJoZGlkIjoiMDc3OTNlYWQ1N2NiMGU1ODNiOTdkNWRiYjRlY2Q5ZTciLCJ1c2VySWQiOiI2MDg1NjgyMTAifQ==</vt:lpwstr>
  </property>
</Properties>
</file>