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5A2D">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通航广场二期7-122号商铺</w:t>
      </w:r>
    </w:p>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CZZR-20260411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常州新航智造园建设管理有限公司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通航广场二期7-122号商铺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21"/>
        <w:gridCol w:w="1275"/>
        <w:gridCol w:w="1276"/>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通航广场二期7-122号商铺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61.92</w:t>
            </w:r>
          </w:p>
        </w:tc>
        <w:tc>
          <w:tcPr>
            <w:tcW w:w="621"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58762.08</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1486.08</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第一年</w:t>
            </w:r>
          </w:p>
        </w:tc>
      </w:tr>
    </w:tbl>
    <w:p w14:paraId="5E866B4B">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eastAsia="zh-CN"/>
        </w:rPr>
        <w:t>伍</w:t>
      </w:r>
      <w:r>
        <w:rPr>
          <w:rFonts w:hint="eastAsia" w:ascii="仿宋" w:hAnsi="仿宋" w:eastAsia="仿宋" w:cs="仿宋"/>
          <w:b/>
          <w:sz w:val="24"/>
          <w:szCs w:val="24"/>
        </w:rPr>
        <w:t>年。</w:t>
      </w:r>
    </w:p>
    <w:p w14:paraId="5A710F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1、租期</w:t>
      </w:r>
      <w:r>
        <w:rPr>
          <w:rFonts w:hint="eastAsia" w:ascii="仿宋" w:hAnsi="仿宋" w:eastAsia="仿宋" w:cs="仿宋"/>
          <w:sz w:val="24"/>
          <w:szCs w:val="24"/>
          <w:lang w:eastAsia="zh-CN"/>
        </w:rPr>
        <w:t>伍</w:t>
      </w:r>
      <w:r>
        <w:rPr>
          <w:rFonts w:hint="eastAsia" w:ascii="仿宋" w:hAnsi="仿宋" w:eastAsia="仿宋" w:cs="仿宋"/>
          <w:sz w:val="24"/>
          <w:szCs w:val="24"/>
        </w:rPr>
        <w:t>年,租金壹年壹付，</w:t>
      </w:r>
      <w:r>
        <w:rPr>
          <w:rFonts w:hint="eastAsia" w:ascii="仿宋" w:hAnsi="仿宋" w:eastAsia="仿宋" w:cs="仿宋"/>
          <w:sz w:val="24"/>
          <w:szCs w:val="24"/>
          <w:lang w:eastAsia="zh-CN"/>
        </w:rPr>
        <w:t>前三年</w:t>
      </w:r>
      <w:r>
        <w:rPr>
          <w:rFonts w:hint="eastAsia" w:ascii="仿宋" w:hAnsi="仿宋" w:eastAsia="仿宋" w:cs="仿宋"/>
          <w:sz w:val="24"/>
          <w:szCs w:val="24"/>
        </w:rPr>
        <w:t>租金单价</w:t>
      </w:r>
      <w:r>
        <w:rPr>
          <w:rFonts w:hint="eastAsia" w:ascii="仿宋" w:hAnsi="仿宋" w:eastAsia="仿宋" w:cs="仿宋"/>
          <w:sz w:val="24"/>
          <w:szCs w:val="24"/>
          <w:lang w:val="en-US" w:eastAsia="zh-CN"/>
        </w:rPr>
        <w:t>2.6</w:t>
      </w:r>
      <w:r>
        <w:rPr>
          <w:rFonts w:hint="eastAsia" w:ascii="仿宋" w:hAnsi="仿宋" w:eastAsia="仿宋" w:cs="仿宋"/>
          <w:sz w:val="24"/>
          <w:szCs w:val="24"/>
        </w:rPr>
        <w:t>元/平方米/天。</w:t>
      </w:r>
      <w:r>
        <w:rPr>
          <w:rFonts w:hint="eastAsia" w:ascii="仿宋" w:hAnsi="仿宋" w:eastAsia="仿宋" w:cs="仿宋"/>
          <w:sz w:val="24"/>
          <w:szCs w:val="24"/>
          <w:lang w:eastAsia="zh-CN"/>
        </w:rPr>
        <w:t>第四年、第五年</w:t>
      </w:r>
      <w:r>
        <w:rPr>
          <w:rFonts w:hint="eastAsia" w:ascii="仿宋" w:hAnsi="仿宋" w:eastAsia="仿宋" w:cs="仿宋"/>
          <w:sz w:val="24"/>
          <w:szCs w:val="24"/>
        </w:rPr>
        <w:t>租金单价</w:t>
      </w:r>
      <w:r>
        <w:rPr>
          <w:rFonts w:hint="eastAsia" w:ascii="仿宋" w:hAnsi="仿宋" w:eastAsia="仿宋" w:cs="仿宋"/>
          <w:sz w:val="24"/>
          <w:szCs w:val="24"/>
          <w:lang w:val="en-US" w:eastAsia="zh-CN"/>
        </w:rPr>
        <w:t>2.75</w:t>
      </w:r>
      <w:r>
        <w:rPr>
          <w:rFonts w:hint="eastAsia" w:ascii="仿宋" w:hAnsi="仿宋" w:eastAsia="仿宋" w:cs="仿宋"/>
          <w:sz w:val="24"/>
          <w:szCs w:val="24"/>
        </w:rPr>
        <w:t>元/平方米/天</w:t>
      </w:r>
      <w:r>
        <w:rPr>
          <w:rFonts w:hint="eastAsia" w:ascii="仿宋" w:hAnsi="仿宋" w:eastAsia="仿宋" w:cs="仿宋"/>
          <w:sz w:val="24"/>
          <w:szCs w:val="24"/>
          <w:lang w:eastAsia="zh-CN"/>
        </w:rPr>
        <w:t>。</w:t>
      </w:r>
      <w:r>
        <w:rPr>
          <w:rFonts w:hint="eastAsia" w:ascii="仿宋" w:hAnsi="仿宋" w:eastAsia="仿宋" w:cs="仿宋"/>
          <w:sz w:val="24"/>
          <w:szCs w:val="24"/>
        </w:rPr>
        <w:t>房屋租赁保证金标准为房屋中标价年租金的三个月租金，保证金租赁期满后根据租赁合同约定无息退还。</w:t>
      </w:r>
    </w:p>
    <w:p w14:paraId="3EC1C3C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2、本次招租新租户享受一个月的装修期，续租租户不享受。</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物业费、水电费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5月12</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r>
        <w:rPr>
          <w:rFonts w:hint="eastAsia" w:ascii="仿宋" w:hAnsi="仿宋" w:eastAsia="仿宋" w:cs="仿宋"/>
          <w:sz w:val="24"/>
          <w:szCs w:val="24"/>
          <w:lang w:val="en-US" w:eastAsia="zh-CN"/>
        </w:rPr>
        <w:t>下</w:t>
      </w:r>
      <w:r>
        <w:rPr>
          <w:rFonts w:hint="eastAsia" w:ascii="仿宋" w:hAnsi="仿宋" w:eastAsia="仿宋" w:cs="仿宋"/>
          <w:sz w:val="24"/>
          <w:szCs w:val="24"/>
          <w:lang w:eastAsia="zh-CN"/>
        </w:rPr>
        <w:t>午</w:t>
      </w:r>
      <w:r>
        <w:rPr>
          <w:rFonts w:hint="eastAsia" w:ascii="仿宋" w:hAnsi="仿宋" w:eastAsia="仿宋" w:cs="仿宋"/>
          <w:sz w:val="24"/>
          <w:szCs w:val="24"/>
          <w:lang w:val="en-US" w:eastAsia="zh-CN"/>
        </w:rPr>
        <w:t>4:00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通航广场二期7-122号商铺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2026</w:t>
      </w:r>
      <w:r>
        <w:rPr>
          <w:rFonts w:hint="eastAsia" w:ascii="仿宋" w:hAnsi="仿宋" w:eastAsia="仿宋" w:cs="仿宋"/>
          <w:b/>
          <w:sz w:val="24"/>
          <w:szCs w:val="24"/>
        </w:rPr>
        <w:t>年</w:t>
      </w:r>
      <w:r>
        <w:rPr>
          <w:rFonts w:hint="eastAsia" w:ascii="仿宋" w:hAnsi="仿宋" w:eastAsia="仿宋" w:cs="仿宋"/>
          <w:b/>
          <w:sz w:val="24"/>
          <w:szCs w:val="24"/>
          <w:lang w:val="en-US" w:eastAsia="zh-CN"/>
        </w:rPr>
        <w:t>5</w:t>
      </w:r>
      <w:r>
        <w:rPr>
          <w:rFonts w:hint="eastAsia" w:ascii="仿宋" w:hAnsi="仿宋" w:eastAsia="仿宋" w:cs="仿宋"/>
          <w:b/>
          <w:sz w:val="24"/>
          <w:szCs w:val="24"/>
        </w:rPr>
        <w:t>月</w:t>
      </w:r>
      <w:r>
        <w:rPr>
          <w:rFonts w:hint="eastAsia" w:ascii="仿宋" w:hAnsi="仿宋" w:eastAsia="仿宋" w:cs="仿宋"/>
          <w:b/>
          <w:sz w:val="24"/>
          <w:szCs w:val="24"/>
          <w:lang w:val="en-US" w:eastAsia="zh-CN"/>
        </w:rPr>
        <w:t>13</w:t>
      </w:r>
      <w:r>
        <w:rPr>
          <w:rFonts w:hint="eastAsia" w:ascii="仿宋" w:hAnsi="仿宋" w:eastAsia="仿宋" w:cs="仿宋"/>
          <w:b/>
          <w:sz w:val="24"/>
          <w:szCs w:val="24"/>
        </w:rPr>
        <w:t>日</w:t>
      </w:r>
      <w:r>
        <w:rPr>
          <w:rFonts w:hint="eastAsia" w:ascii="仿宋" w:hAnsi="仿宋" w:eastAsia="仿宋" w:cs="仿宋"/>
          <w:b/>
          <w:sz w:val="24"/>
          <w:szCs w:val="24"/>
          <w:lang w:val="en-US" w:eastAsia="zh-CN"/>
        </w:rPr>
        <w:t>下</w:t>
      </w:r>
      <w:r>
        <w:rPr>
          <w:rFonts w:hint="eastAsia" w:ascii="仿宋" w:hAnsi="仿宋" w:eastAsia="仿宋" w:cs="仿宋"/>
          <w:b/>
          <w:sz w:val="24"/>
          <w:szCs w:val="24"/>
        </w:rPr>
        <w:t>午</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常州新航智造园建设管理有限公司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常州新航智造园建设管理有限公司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通航广场二期二期7-122号商铺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致常州新航智造园建设管理有限公司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常州新航智造园建设管理有限公司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意向承租人姓名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（5）采用作弊、欺诈、强迫等有违公平的手段参与本次竞租的</w:t>
      </w:r>
      <w:r>
        <w:rPr>
          <w:rFonts w:hint="eastAsia" w:ascii="仿宋" w:hAnsi="仿宋" w:eastAsia="仿宋" w:cs="仿宋"/>
          <w:sz w:val="24"/>
          <w:szCs w:val="24"/>
          <w:lang w:eastAsia="zh-CN"/>
        </w:rPr>
        <w:t>；</w:t>
      </w:r>
    </w:p>
    <w:p w14:paraId="187E63D1">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在调查处理期间</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保证金暂不退还</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待调查处理结果明确后按规定处理</w:t>
      </w:r>
      <w:r>
        <w:rPr>
          <w:rFonts w:hint="eastAsia" w:ascii="仿宋" w:hAnsi="仿宋" w:eastAsia="仿宋" w:cs="仿宋"/>
          <w:kern w:val="0"/>
          <w:sz w:val="24"/>
          <w:szCs w:val="24"/>
          <w:lang w:eastAsia="zh-CN"/>
        </w:rPr>
        <w:t>；</w:t>
      </w:r>
      <w:bookmarkStart w:id="0" w:name="_GoBack"/>
      <w:bookmarkEnd w:id="0"/>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53C002F"/>
    <w:rsid w:val="27F30D52"/>
    <w:rsid w:val="28D74770"/>
    <w:rsid w:val="28EF7C3E"/>
    <w:rsid w:val="29893D92"/>
    <w:rsid w:val="29F766E0"/>
    <w:rsid w:val="2A183A4E"/>
    <w:rsid w:val="2A275097"/>
    <w:rsid w:val="2AC37984"/>
    <w:rsid w:val="2B2A4B4F"/>
    <w:rsid w:val="2B7FA76B"/>
    <w:rsid w:val="2BF04F43"/>
    <w:rsid w:val="2C65696D"/>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A73B9E"/>
    <w:rsid w:val="546C76AF"/>
    <w:rsid w:val="550F5041"/>
    <w:rsid w:val="55490EE6"/>
    <w:rsid w:val="556C2BAB"/>
    <w:rsid w:val="55A01294"/>
    <w:rsid w:val="55F852E7"/>
    <w:rsid w:val="56311045"/>
    <w:rsid w:val="5695733F"/>
    <w:rsid w:val="56E149AB"/>
    <w:rsid w:val="57162858"/>
    <w:rsid w:val="58BE1405"/>
    <w:rsid w:val="5914152F"/>
    <w:rsid w:val="591E4E4A"/>
    <w:rsid w:val="5A2E57DF"/>
    <w:rsid w:val="5AB67D6E"/>
    <w:rsid w:val="5B2F24FD"/>
    <w:rsid w:val="5B7F2670"/>
    <w:rsid w:val="5BF06969"/>
    <w:rsid w:val="5C236BF9"/>
    <w:rsid w:val="5C360358"/>
    <w:rsid w:val="5DA46A9C"/>
    <w:rsid w:val="5F497AD8"/>
    <w:rsid w:val="5F4E6132"/>
    <w:rsid w:val="5F7B2438"/>
    <w:rsid w:val="5FB7255D"/>
    <w:rsid w:val="609C1D34"/>
    <w:rsid w:val="62161995"/>
    <w:rsid w:val="62C123EB"/>
    <w:rsid w:val="62E52A53"/>
    <w:rsid w:val="64407384"/>
    <w:rsid w:val="64CD7BF9"/>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6728E6"/>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10</Pages>
  <Words>3846</Words>
  <Characters>3994</Characters>
  <Lines>35</Lines>
  <Paragraphs>9</Paragraphs>
  <TotalTime>11</TotalTime>
  <ScaleCrop>false</ScaleCrop>
  <LinksUpToDate>false</LinksUpToDate>
  <CharactersWithSpaces>4348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2021-06-22T13:56:00Z</dcterms:created>
  <dc:creator>admin</dc:creator>
  <cp:lastModifiedBy>user</cp:lastModifiedBy>
  <cp:lastPrinted>2022-11-04T09:36:00Z</cp:lastPrinted>
  <dcterms:modified xsi:type="dcterms:W3CDTF">2026-04-27T08:54:18Z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C6A1FC9801F34E959EB8FFEC01F3CBC0_13</vt:lpwstr>
  </property>
  <property fmtid="{D5CDD505-2E9C-101B-9397-08002B2CF9AE}" pid="4" name="KSOTemplateDocerSaveRecord">
    <vt:lpwstr>eyJoZGlkIjoiYzFjYWRlMGVjMDI1ZjJmMGJjN2Q0MjNkZTdlZDQwN2MiLCJ1c2VySWQiOiI4MDE0OTU1OTUifQ==</vt:lpwstr>
  </property>
</Properties>
</file>