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C1D63">
      <w:pPr>
        <w:spacing w:line="360" w:lineRule="auto"/>
        <w:ind w:firstLine="160"/>
        <w:outlineLvl w:val="9"/>
        <w:rPr>
          <w:rFonts w:hint="eastAsia" w:ascii="CESI黑体-GB2312" w:hAnsi="CESI黑体-GB2312" w:eastAsia="CESI黑体-GB2312" w:cs="CESI黑体-GB2312"/>
          <w:color w:val="auto"/>
          <w:sz w:val="32"/>
          <w:szCs w:val="32"/>
          <w:highlight w:val="none"/>
        </w:rPr>
      </w:pPr>
      <w:r>
        <w:rPr>
          <w:rFonts w:hint="eastAsia" w:ascii="CESI黑体-GB2312" w:hAnsi="CESI黑体-GB2312" w:eastAsia="CESI黑体-GB2312" w:cs="CESI黑体-GB2312"/>
          <w:color w:val="auto"/>
          <w:sz w:val="32"/>
          <w:szCs w:val="32"/>
          <w:highlight w:val="none"/>
        </w:rPr>
        <w:t xml:space="preserve"> </w:t>
      </w:r>
    </w:p>
    <w:p w14:paraId="2F140A7B">
      <w:pPr>
        <w:spacing w:line="360" w:lineRule="auto"/>
        <w:ind w:firstLine="300"/>
        <w:outlineLvl w:val="9"/>
        <w:rPr>
          <w:color w:val="auto"/>
          <w:sz w:val="60"/>
          <w:szCs w:val="60"/>
          <w:highlight w:val="none"/>
        </w:rPr>
      </w:pPr>
    </w:p>
    <w:p w14:paraId="573F193B">
      <w:pPr>
        <w:jc w:val="center"/>
        <w:outlineLvl w:val="9"/>
        <w:rPr>
          <w:rFonts w:hint="eastAsia" w:eastAsia="宋体"/>
          <w:b/>
          <w:bCs/>
          <w:color w:val="auto"/>
          <w:sz w:val="60"/>
          <w:szCs w:val="60"/>
          <w:highlight w:val="none"/>
          <w:lang w:eastAsia="zh-CN"/>
        </w:rPr>
      </w:pPr>
      <w:r>
        <w:rPr>
          <w:rFonts w:hint="eastAsia"/>
          <w:b/>
          <w:bCs/>
          <w:color w:val="auto"/>
          <w:sz w:val="60"/>
          <w:szCs w:val="60"/>
          <w:highlight w:val="none"/>
          <w:lang w:eastAsia="zh-CN"/>
        </w:rPr>
        <w:t>新北区联防联控指挥部保障项目</w:t>
      </w:r>
    </w:p>
    <w:p w14:paraId="0C62ABD3">
      <w:pPr>
        <w:jc w:val="center"/>
        <w:outlineLvl w:val="9"/>
        <w:rPr>
          <w:b/>
          <w:bCs/>
          <w:color w:val="auto"/>
          <w:sz w:val="60"/>
          <w:szCs w:val="60"/>
          <w:highlight w:val="none"/>
        </w:rPr>
      </w:pPr>
      <w:r>
        <w:rPr>
          <w:b/>
          <w:bCs/>
          <w:color w:val="auto"/>
          <w:sz w:val="60"/>
          <w:szCs w:val="60"/>
          <w:highlight w:val="none"/>
        </w:rPr>
        <w:t>竞争性磋商文件</w:t>
      </w:r>
    </w:p>
    <w:p w14:paraId="32261ECC">
      <w:pPr>
        <w:spacing w:line="360" w:lineRule="auto"/>
        <w:jc w:val="center"/>
        <w:outlineLvl w:val="9"/>
        <w:rPr>
          <w:rFonts w:ascii="宋体" w:hAnsi="宋体"/>
          <w:b/>
          <w:bCs/>
          <w:color w:val="auto"/>
          <w:sz w:val="60"/>
          <w:szCs w:val="60"/>
          <w:highlight w:val="none"/>
        </w:rPr>
      </w:pPr>
    </w:p>
    <w:p w14:paraId="23775D78">
      <w:pPr>
        <w:spacing w:line="360" w:lineRule="auto"/>
        <w:jc w:val="center"/>
        <w:outlineLvl w:val="9"/>
        <w:rPr>
          <w:rFonts w:ascii="宋体" w:hAnsi="宋体"/>
          <w:b/>
          <w:bCs/>
          <w:color w:val="auto"/>
          <w:sz w:val="60"/>
          <w:szCs w:val="60"/>
          <w:highlight w:val="none"/>
        </w:rPr>
      </w:pPr>
    </w:p>
    <w:p w14:paraId="1107121B">
      <w:pPr>
        <w:tabs>
          <w:tab w:val="left" w:pos="5609"/>
        </w:tabs>
        <w:spacing w:line="360" w:lineRule="auto"/>
        <w:ind w:left="2832" w:hanging="1900"/>
        <w:jc w:val="left"/>
        <w:outlineLvl w:val="9"/>
        <w:rPr>
          <w:rFonts w:hint="eastAsia" w:eastAsia="宋体"/>
          <w:bCs/>
          <w:color w:val="auto"/>
          <w:sz w:val="36"/>
          <w:szCs w:val="36"/>
          <w:highlight w:val="none"/>
          <w:lang w:eastAsia="zh-CN"/>
        </w:rPr>
      </w:pPr>
      <w:r>
        <w:rPr>
          <w:bCs/>
          <w:color w:val="auto"/>
          <w:sz w:val="36"/>
          <w:szCs w:val="36"/>
          <w:highlight w:val="none"/>
        </w:rPr>
        <w:t>项目名称：</w:t>
      </w:r>
      <w:r>
        <w:rPr>
          <w:rFonts w:hint="eastAsia"/>
          <w:bCs/>
          <w:color w:val="auto"/>
          <w:sz w:val="36"/>
          <w:szCs w:val="36"/>
          <w:highlight w:val="none"/>
          <w:lang w:eastAsia="zh-CN"/>
        </w:rPr>
        <w:t>新北区微环境管理技术支撑项目</w:t>
      </w:r>
    </w:p>
    <w:p w14:paraId="6738C79F">
      <w:pPr>
        <w:tabs>
          <w:tab w:val="left" w:pos="3240"/>
          <w:tab w:val="left" w:pos="3420"/>
        </w:tabs>
        <w:spacing w:line="360" w:lineRule="auto"/>
        <w:ind w:left="2832" w:hanging="1900"/>
        <w:jc w:val="left"/>
        <w:outlineLvl w:val="9"/>
        <w:rPr>
          <w:rFonts w:hint="eastAsia"/>
          <w:bCs/>
          <w:color w:val="0000FF"/>
          <w:sz w:val="36"/>
          <w:szCs w:val="36"/>
          <w:highlight w:val="none"/>
          <w:lang w:val="en-US" w:eastAsia="zh-CN"/>
        </w:rPr>
      </w:pPr>
      <w:r>
        <w:rPr>
          <w:bCs/>
          <w:color w:val="auto"/>
          <w:sz w:val="36"/>
          <w:szCs w:val="36"/>
          <w:highlight w:val="none"/>
        </w:rPr>
        <w:t>项目编号：</w:t>
      </w:r>
      <w:r>
        <w:rPr>
          <w:rFonts w:hint="eastAsia"/>
          <w:bCs/>
          <w:color w:val="0000FF"/>
          <w:sz w:val="36"/>
          <w:szCs w:val="36"/>
          <w:highlight w:val="none"/>
          <w:lang w:val="en-US" w:eastAsia="zh-CN"/>
        </w:rPr>
        <w:t>***</w:t>
      </w:r>
    </w:p>
    <w:p w14:paraId="20EE9DA4">
      <w:pPr>
        <w:tabs>
          <w:tab w:val="left" w:pos="3240"/>
          <w:tab w:val="left" w:pos="3420"/>
        </w:tabs>
        <w:spacing w:line="360" w:lineRule="auto"/>
        <w:ind w:left="2832" w:hanging="1900"/>
        <w:jc w:val="left"/>
        <w:outlineLvl w:val="9"/>
        <w:rPr>
          <w:rFonts w:hint="eastAsia" w:eastAsia="宋体"/>
          <w:bCs/>
          <w:color w:val="auto"/>
          <w:sz w:val="36"/>
          <w:szCs w:val="36"/>
          <w:highlight w:val="none"/>
          <w:lang w:val="en-US" w:eastAsia="zh-CN"/>
        </w:rPr>
      </w:pPr>
      <w:r>
        <w:rPr>
          <w:bCs/>
          <w:color w:val="auto"/>
          <w:sz w:val="36"/>
          <w:szCs w:val="36"/>
          <w:highlight w:val="none"/>
        </w:rPr>
        <w:t>采 购 人：</w:t>
      </w:r>
      <w:r>
        <w:rPr>
          <w:rFonts w:hint="eastAsia"/>
          <w:bCs/>
          <w:color w:val="auto"/>
          <w:sz w:val="36"/>
          <w:szCs w:val="36"/>
          <w:highlight w:val="none"/>
          <w:lang w:val="en-US" w:eastAsia="zh-CN"/>
        </w:rPr>
        <w:t>常州高新技术产业开发区（新北）生态环境局</w:t>
      </w:r>
    </w:p>
    <w:p w14:paraId="74EC6F22">
      <w:pPr>
        <w:tabs>
          <w:tab w:val="left" w:pos="3240"/>
          <w:tab w:val="left" w:pos="3420"/>
        </w:tabs>
        <w:spacing w:line="360" w:lineRule="auto"/>
        <w:ind w:left="2832" w:hanging="1900"/>
        <w:jc w:val="left"/>
        <w:outlineLvl w:val="9"/>
        <w:rPr>
          <w:rFonts w:hint="default" w:eastAsia="宋体"/>
          <w:bCs/>
          <w:color w:val="auto"/>
          <w:sz w:val="36"/>
          <w:szCs w:val="36"/>
          <w:highlight w:val="none"/>
          <w:lang w:val="en-US" w:eastAsia="zh-CN"/>
        </w:rPr>
      </w:pPr>
      <w:r>
        <w:rPr>
          <w:rFonts w:hint="eastAsia"/>
          <w:bCs/>
          <w:color w:val="auto"/>
          <w:sz w:val="36"/>
          <w:szCs w:val="36"/>
          <w:highlight w:val="none"/>
        </w:rPr>
        <w:t>采购</w:t>
      </w:r>
      <w:r>
        <w:rPr>
          <w:bCs/>
          <w:color w:val="auto"/>
          <w:sz w:val="36"/>
          <w:szCs w:val="36"/>
          <w:highlight w:val="none"/>
        </w:rPr>
        <w:t>代理机构：</w:t>
      </w:r>
      <w:r>
        <w:rPr>
          <w:rFonts w:hint="eastAsia"/>
          <w:bCs/>
          <w:color w:val="auto"/>
          <w:sz w:val="36"/>
          <w:szCs w:val="36"/>
          <w:highlight w:val="none"/>
          <w:lang w:val="en-US" w:eastAsia="zh-CN"/>
        </w:rPr>
        <w:t>***</w:t>
      </w:r>
    </w:p>
    <w:p w14:paraId="249501B2">
      <w:pPr>
        <w:spacing w:before="100" w:after="240" w:line="500" w:lineRule="exact"/>
        <w:jc w:val="center"/>
        <w:outlineLvl w:val="9"/>
        <w:rPr>
          <w:b/>
          <w:bCs/>
          <w:color w:val="auto"/>
          <w:sz w:val="44"/>
          <w:highlight w:val="none"/>
        </w:rPr>
      </w:pPr>
      <w:r>
        <w:rPr>
          <w:b/>
          <w:bCs/>
          <w:color w:val="auto"/>
          <w:sz w:val="44"/>
          <w:highlight w:val="none"/>
        </w:rPr>
        <w:br w:type="page" w:clear="all"/>
      </w:r>
      <w:bookmarkStart w:id="0" w:name="_Toc104818924"/>
    </w:p>
    <w:p w14:paraId="27EB9DD5">
      <w:pPr>
        <w:spacing w:before="100" w:after="240" w:line="500" w:lineRule="exact"/>
        <w:jc w:val="center"/>
        <w:outlineLvl w:val="9"/>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bookmarkEnd w:id="0"/>
    </w:p>
    <w:p w14:paraId="3E70C9F3">
      <w:pPr>
        <w:keepNext w:val="0"/>
        <w:keepLines w:val="0"/>
        <w:pageBreakBefore w:val="0"/>
        <w:widowControl w:val="0"/>
        <w:spacing w:line="360" w:lineRule="auto"/>
        <w:outlineLvl w:val="9"/>
        <w:rPr>
          <w:rStyle w:val="268"/>
          <w:rFonts w:hint="eastAsia" w:ascii="宋体" w:hAnsi="宋体" w:eastAsia="宋体" w:cs="宋体"/>
          <w:b/>
          <w:color w:val="auto"/>
          <w:sz w:val="32"/>
          <w:szCs w:val="32"/>
          <w:highlight w:val="none"/>
          <w:u w:val="none"/>
          <w:lang w:val="en-US" w:eastAsia="zh-CN" w:bidi="ar-SA"/>
        </w:rPr>
      </w:pPr>
    </w:p>
    <w:p w14:paraId="7C410A95">
      <w:pPr>
        <w:pStyle w:val="25"/>
        <w:tabs>
          <w:tab w:val="right" w:leader="dot" w:pos="9072"/>
        </w:tabs>
        <w:rPr>
          <w:rStyle w:val="268"/>
          <w:rFonts w:hint="eastAsia" w:ascii="宋体" w:hAnsi="宋体" w:eastAsia="宋体" w:cs="宋体"/>
          <w:b/>
          <w:color w:val="auto"/>
          <w:sz w:val="32"/>
          <w:szCs w:val="32"/>
          <w:highlight w:val="none"/>
          <w:u w:val="none"/>
          <w:lang w:val="en-US" w:eastAsia="zh-CN" w:bidi="ar-SA"/>
        </w:rPr>
      </w:pPr>
      <w:r>
        <w:rPr>
          <w:rStyle w:val="268"/>
          <w:rFonts w:hint="eastAsia" w:ascii="宋体" w:hAnsi="宋体" w:eastAsia="宋体" w:cs="宋体"/>
          <w:b/>
          <w:color w:val="auto"/>
          <w:sz w:val="32"/>
          <w:szCs w:val="32"/>
          <w:highlight w:val="none"/>
          <w:u w:val="none"/>
          <w:lang w:val="en-US" w:eastAsia="zh-CN" w:bidi="ar-SA"/>
        </w:rPr>
        <w:fldChar w:fldCharType="begin"/>
      </w:r>
      <w:r>
        <w:rPr>
          <w:rStyle w:val="268"/>
          <w:rFonts w:hint="eastAsia" w:ascii="宋体" w:hAnsi="宋体" w:eastAsia="宋体" w:cs="宋体"/>
          <w:b/>
          <w:color w:val="auto"/>
          <w:sz w:val="32"/>
          <w:szCs w:val="32"/>
          <w:highlight w:val="none"/>
          <w:u w:val="none"/>
          <w:lang w:val="en-US" w:eastAsia="zh-CN" w:bidi="ar-SA"/>
        </w:rPr>
        <w:instrText xml:space="preserve">TOC \o "1-1" \h \u </w:instrText>
      </w:r>
      <w:r>
        <w:rPr>
          <w:rStyle w:val="268"/>
          <w:rFonts w:hint="eastAsia" w:ascii="宋体" w:hAnsi="宋体" w:eastAsia="宋体" w:cs="宋体"/>
          <w:b/>
          <w:color w:val="auto"/>
          <w:sz w:val="32"/>
          <w:szCs w:val="32"/>
          <w:highlight w:val="none"/>
          <w:u w:val="none"/>
          <w:lang w:val="en-US" w:eastAsia="zh-CN" w:bidi="ar-SA"/>
        </w:rPr>
        <w:fldChar w:fldCharType="separate"/>
      </w:r>
      <w:r>
        <w:rPr>
          <w:rStyle w:val="268"/>
          <w:rFonts w:hint="eastAsia" w:ascii="宋体" w:hAnsi="宋体" w:eastAsia="宋体" w:cs="宋体"/>
          <w:b/>
          <w:color w:val="auto"/>
          <w:sz w:val="32"/>
          <w:szCs w:val="32"/>
          <w:highlight w:val="none"/>
          <w:u w:val="none"/>
          <w:lang w:val="en-US" w:eastAsia="zh-CN" w:bidi="ar-SA"/>
        </w:rPr>
        <w:fldChar w:fldCharType="begin"/>
      </w:r>
      <w:r>
        <w:rPr>
          <w:rStyle w:val="268"/>
          <w:rFonts w:hint="eastAsia" w:ascii="宋体" w:hAnsi="宋体" w:eastAsia="宋体" w:cs="宋体"/>
          <w:b/>
          <w:color w:val="auto"/>
          <w:sz w:val="32"/>
          <w:szCs w:val="32"/>
          <w:highlight w:val="none"/>
          <w:u w:val="none"/>
          <w:lang w:val="en-US" w:eastAsia="zh-CN" w:bidi="ar-SA"/>
        </w:rPr>
        <w:instrText xml:space="preserve"> HYPERLINK \l _Toc13300 </w:instrText>
      </w:r>
      <w:r>
        <w:rPr>
          <w:rStyle w:val="268"/>
          <w:rFonts w:hint="eastAsia" w:ascii="宋体" w:hAnsi="宋体" w:eastAsia="宋体" w:cs="宋体"/>
          <w:b/>
          <w:color w:val="auto"/>
          <w:sz w:val="32"/>
          <w:szCs w:val="32"/>
          <w:highlight w:val="none"/>
          <w:u w:val="none"/>
          <w:lang w:val="en-US" w:eastAsia="zh-CN" w:bidi="ar-SA"/>
        </w:rPr>
        <w:fldChar w:fldCharType="separate"/>
      </w:r>
      <w:r>
        <w:rPr>
          <w:rStyle w:val="268"/>
          <w:rFonts w:hint="eastAsia" w:ascii="宋体" w:hAnsi="宋体" w:eastAsia="宋体" w:cs="宋体"/>
          <w:b/>
          <w:color w:val="auto"/>
          <w:sz w:val="32"/>
          <w:szCs w:val="32"/>
          <w:highlight w:val="none"/>
          <w:u w:val="none"/>
          <w:lang w:val="en-US" w:eastAsia="zh-CN" w:bidi="ar-SA"/>
        </w:rPr>
        <w:t>第一章   采购邀请</w:t>
      </w:r>
      <w:r>
        <w:rPr>
          <w:rStyle w:val="268"/>
          <w:rFonts w:hint="eastAsia" w:ascii="宋体" w:hAnsi="宋体" w:eastAsia="宋体" w:cs="宋体"/>
          <w:b/>
          <w:color w:val="auto"/>
          <w:sz w:val="32"/>
          <w:szCs w:val="32"/>
          <w:highlight w:val="none"/>
          <w:u w:val="none"/>
          <w:lang w:val="en-US" w:eastAsia="zh-CN" w:bidi="ar-SA"/>
        </w:rPr>
        <w:tab/>
      </w:r>
      <w:r>
        <w:rPr>
          <w:rStyle w:val="268"/>
          <w:rFonts w:hint="eastAsia" w:ascii="宋体" w:hAnsi="宋体" w:eastAsia="宋体" w:cs="宋体"/>
          <w:b/>
          <w:color w:val="auto"/>
          <w:sz w:val="32"/>
          <w:szCs w:val="32"/>
          <w:highlight w:val="none"/>
          <w:u w:val="none"/>
          <w:lang w:val="en-US" w:eastAsia="zh-CN" w:bidi="ar-SA"/>
        </w:rPr>
        <w:fldChar w:fldCharType="begin"/>
      </w:r>
      <w:r>
        <w:rPr>
          <w:rStyle w:val="268"/>
          <w:rFonts w:hint="eastAsia" w:ascii="宋体" w:hAnsi="宋体" w:eastAsia="宋体" w:cs="宋体"/>
          <w:b/>
          <w:color w:val="auto"/>
          <w:sz w:val="32"/>
          <w:szCs w:val="32"/>
          <w:highlight w:val="none"/>
          <w:u w:val="none"/>
          <w:lang w:val="en-US" w:eastAsia="zh-CN" w:bidi="ar-SA"/>
        </w:rPr>
        <w:instrText xml:space="preserve"> PAGEREF _Toc13300 \h </w:instrText>
      </w:r>
      <w:r>
        <w:rPr>
          <w:rStyle w:val="268"/>
          <w:rFonts w:hint="eastAsia" w:ascii="宋体" w:hAnsi="宋体" w:eastAsia="宋体" w:cs="宋体"/>
          <w:b/>
          <w:color w:val="auto"/>
          <w:sz w:val="32"/>
          <w:szCs w:val="32"/>
          <w:highlight w:val="none"/>
          <w:u w:val="none"/>
          <w:lang w:val="en-US" w:eastAsia="zh-CN" w:bidi="ar-SA"/>
        </w:rPr>
        <w:fldChar w:fldCharType="separate"/>
      </w:r>
      <w:r>
        <w:rPr>
          <w:rStyle w:val="268"/>
          <w:rFonts w:hint="eastAsia" w:ascii="宋体" w:hAnsi="宋体" w:eastAsia="宋体" w:cs="宋体"/>
          <w:b/>
          <w:color w:val="auto"/>
          <w:sz w:val="32"/>
          <w:szCs w:val="32"/>
          <w:highlight w:val="none"/>
          <w:u w:val="none"/>
          <w:lang w:val="en-US" w:eastAsia="zh-CN" w:bidi="ar-SA"/>
        </w:rPr>
        <w:t>1</w:t>
      </w:r>
      <w:r>
        <w:rPr>
          <w:rStyle w:val="268"/>
          <w:rFonts w:hint="eastAsia" w:ascii="宋体" w:hAnsi="宋体" w:eastAsia="宋体" w:cs="宋体"/>
          <w:b/>
          <w:color w:val="auto"/>
          <w:sz w:val="32"/>
          <w:szCs w:val="32"/>
          <w:highlight w:val="none"/>
          <w:u w:val="none"/>
          <w:lang w:val="en-US" w:eastAsia="zh-CN" w:bidi="ar-SA"/>
        </w:rPr>
        <w:fldChar w:fldCharType="end"/>
      </w:r>
      <w:r>
        <w:rPr>
          <w:rStyle w:val="268"/>
          <w:rFonts w:hint="eastAsia" w:ascii="宋体" w:hAnsi="宋体" w:eastAsia="宋体" w:cs="宋体"/>
          <w:b/>
          <w:color w:val="auto"/>
          <w:sz w:val="32"/>
          <w:szCs w:val="32"/>
          <w:highlight w:val="none"/>
          <w:u w:val="none"/>
          <w:lang w:val="en-US" w:eastAsia="zh-CN" w:bidi="ar-SA"/>
        </w:rPr>
        <w:fldChar w:fldCharType="end"/>
      </w:r>
    </w:p>
    <w:p w14:paraId="0831170C">
      <w:pPr>
        <w:pStyle w:val="25"/>
        <w:tabs>
          <w:tab w:val="right" w:leader="dot" w:pos="9072"/>
        </w:tabs>
        <w:rPr>
          <w:rStyle w:val="268"/>
          <w:rFonts w:hint="eastAsia" w:ascii="宋体" w:hAnsi="宋体" w:eastAsia="宋体" w:cs="宋体"/>
          <w:b/>
          <w:color w:val="auto"/>
          <w:sz w:val="32"/>
          <w:szCs w:val="32"/>
          <w:highlight w:val="none"/>
          <w:u w:val="none"/>
          <w:lang w:val="en-US" w:eastAsia="zh-CN" w:bidi="ar-SA"/>
        </w:rPr>
      </w:pPr>
      <w:r>
        <w:rPr>
          <w:rStyle w:val="268"/>
          <w:rFonts w:hint="eastAsia" w:ascii="宋体" w:hAnsi="宋体" w:eastAsia="宋体" w:cs="宋体"/>
          <w:b/>
          <w:color w:val="auto"/>
          <w:sz w:val="32"/>
          <w:szCs w:val="32"/>
          <w:highlight w:val="none"/>
          <w:u w:val="none"/>
          <w:lang w:val="en-US" w:eastAsia="zh-CN" w:bidi="ar-SA"/>
        </w:rPr>
        <w:fldChar w:fldCharType="begin"/>
      </w:r>
      <w:r>
        <w:rPr>
          <w:rStyle w:val="268"/>
          <w:rFonts w:hint="eastAsia" w:ascii="宋体" w:hAnsi="宋体" w:eastAsia="宋体" w:cs="宋体"/>
          <w:b/>
          <w:color w:val="auto"/>
          <w:sz w:val="32"/>
          <w:szCs w:val="32"/>
          <w:highlight w:val="none"/>
          <w:u w:val="none"/>
          <w:lang w:val="en-US" w:eastAsia="zh-CN" w:bidi="ar-SA"/>
        </w:rPr>
        <w:instrText xml:space="preserve"> HYPERLINK \l _Toc2237 </w:instrText>
      </w:r>
      <w:r>
        <w:rPr>
          <w:rStyle w:val="268"/>
          <w:rFonts w:hint="eastAsia" w:ascii="宋体" w:hAnsi="宋体" w:eastAsia="宋体" w:cs="宋体"/>
          <w:b/>
          <w:color w:val="auto"/>
          <w:sz w:val="32"/>
          <w:szCs w:val="32"/>
          <w:highlight w:val="none"/>
          <w:u w:val="none"/>
          <w:lang w:val="en-US" w:eastAsia="zh-CN" w:bidi="ar-SA"/>
        </w:rPr>
        <w:fldChar w:fldCharType="separate"/>
      </w:r>
      <w:r>
        <w:rPr>
          <w:rStyle w:val="268"/>
          <w:rFonts w:hint="eastAsia" w:ascii="宋体" w:hAnsi="宋体" w:eastAsia="宋体" w:cs="宋体"/>
          <w:b/>
          <w:color w:val="auto"/>
          <w:sz w:val="32"/>
          <w:szCs w:val="32"/>
          <w:highlight w:val="none"/>
          <w:u w:val="none"/>
          <w:lang w:val="en-US" w:eastAsia="zh-CN" w:bidi="ar-SA"/>
        </w:rPr>
        <w:t>第二章   供应商须知</w:t>
      </w:r>
      <w:r>
        <w:rPr>
          <w:rStyle w:val="268"/>
          <w:rFonts w:hint="eastAsia" w:ascii="宋体" w:hAnsi="宋体" w:eastAsia="宋体" w:cs="宋体"/>
          <w:b/>
          <w:color w:val="auto"/>
          <w:sz w:val="32"/>
          <w:szCs w:val="32"/>
          <w:highlight w:val="none"/>
          <w:u w:val="none"/>
          <w:lang w:val="en-US" w:eastAsia="zh-CN" w:bidi="ar-SA"/>
        </w:rPr>
        <w:tab/>
      </w:r>
      <w:r>
        <w:rPr>
          <w:rStyle w:val="268"/>
          <w:rFonts w:hint="eastAsia" w:ascii="宋体" w:hAnsi="宋体" w:eastAsia="宋体" w:cs="宋体"/>
          <w:b/>
          <w:color w:val="auto"/>
          <w:sz w:val="32"/>
          <w:szCs w:val="32"/>
          <w:highlight w:val="none"/>
          <w:u w:val="none"/>
          <w:lang w:val="en-US" w:eastAsia="zh-CN" w:bidi="ar-SA"/>
        </w:rPr>
        <w:fldChar w:fldCharType="begin"/>
      </w:r>
      <w:r>
        <w:rPr>
          <w:rStyle w:val="268"/>
          <w:rFonts w:hint="eastAsia" w:ascii="宋体" w:hAnsi="宋体" w:eastAsia="宋体" w:cs="宋体"/>
          <w:b/>
          <w:color w:val="auto"/>
          <w:sz w:val="32"/>
          <w:szCs w:val="32"/>
          <w:highlight w:val="none"/>
          <w:u w:val="none"/>
          <w:lang w:val="en-US" w:eastAsia="zh-CN" w:bidi="ar-SA"/>
        </w:rPr>
        <w:instrText xml:space="preserve"> PAGEREF _Toc2237 \h </w:instrText>
      </w:r>
      <w:r>
        <w:rPr>
          <w:rStyle w:val="268"/>
          <w:rFonts w:hint="eastAsia" w:ascii="宋体" w:hAnsi="宋体" w:eastAsia="宋体" w:cs="宋体"/>
          <w:b/>
          <w:color w:val="auto"/>
          <w:sz w:val="32"/>
          <w:szCs w:val="32"/>
          <w:highlight w:val="none"/>
          <w:u w:val="none"/>
          <w:lang w:val="en-US" w:eastAsia="zh-CN" w:bidi="ar-SA"/>
        </w:rPr>
        <w:fldChar w:fldCharType="separate"/>
      </w:r>
      <w:r>
        <w:rPr>
          <w:rStyle w:val="268"/>
          <w:rFonts w:hint="eastAsia" w:ascii="宋体" w:hAnsi="宋体" w:eastAsia="宋体" w:cs="宋体"/>
          <w:b/>
          <w:color w:val="auto"/>
          <w:sz w:val="32"/>
          <w:szCs w:val="32"/>
          <w:highlight w:val="none"/>
          <w:u w:val="none"/>
          <w:lang w:val="en-US" w:eastAsia="zh-CN" w:bidi="ar-SA"/>
        </w:rPr>
        <w:t>5</w:t>
      </w:r>
      <w:r>
        <w:rPr>
          <w:rStyle w:val="268"/>
          <w:rFonts w:hint="eastAsia" w:ascii="宋体" w:hAnsi="宋体" w:eastAsia="宋体" w:cs="宋体"/>
          <w:b/>
          <w:color w:val="auto"/>
          <w:sz w:val="32"/>
          <w:szCs w:val="32"/>
          <w:highlight w:val="none"/>
          <w:u w:val="none"/>
          <w:lang w:val="en-US" w:eastAsia="zh-CN" w:bidi="ar-SA"/>
        </w:rPr>
        <w:fldChar w:fldCharType="end"/>
      </w:r>
      <w:r>
        <w:rPr>
          <w:rStyle w:val="268"/>
          <w:rFonts w:hint="eastAsia" w:ascii="宋体" w:hAnsi="宋体" w:eastAsia="宋体" w:cs="宋体"/>
          <w:b/>
          <w:color w:val="auto"/>
          <w:sz w:val="32"/>
          <w:szCs w:val="32"/>
          <w:highlight w:val="none"/>
          <w:u w:val="none"/>
          <w:lang w:val="en-US" w:eastAsia="zh-CN" w:bidi="ar-SA"/>
        </w:rPr>
        <w:fldChar w:fldCharType="end"/>
      </w:r>
    </w:p>
    <w:p w14:paraId="709366CF">
      <w:pPr>
        <w:pStyle w:val="25"/>
        <w:tabs>
          <w:tab w:val="right" w:leader="dot" w:pos="9072"/>
        </w:tabs>
        <w:rPr>
          <w:rStyle w:val="268"/>
          <w:rFonts w:hint="eastAsia" w:ascii="宋体" w:hAnsi="宋体" w:eastAsia="宋体" w:cs="宋体"/>
          <w:b/>
          <w:color w:val="auto"/>
          <w:sz w:val="32"/>
          <w:szCs w:val="32"/>
          <w:highlight w:val="none"/>
          <w:u w:val="none"/>
          <w:lang w:val="en-US" w:eastAsia="zh-CN" w:bidi="ar-SA"/>
        </w:rPr>
      </w:pPr>
      <w:r>
        <w:rPr>
          <w:rStyle w:val="268"/>
          <w:rFonts w:hint="eastAsia" w:ascii="宋体" w:hAnsi="宋体" w:eastAsia="宋体" w:cs="宋体"/>
          <w:b/>
          <w:color w:val="auto"/>
          <w:sz w:val="32"/>
          <w:szCs w:val="32"/>
          <w:highlight w:val="none"/>
          <w:u w:val="none"/>
          <w:lang w:val="en-US" w:eastAsia="zh-CN" w:bidi="ar-SA"/>
        </w:rPr>
        <w:fldChar w:fldCharType="begin"/>
      </w:r>
      <w:r>
        <w:rPr>
          <w:rStyle w:val="268"/>
          <w:rFonts w:hint="eastAsia" w:ascii="宋体" w:hAnsi="宋体" w:eastAsia="宋体" w:cs="宋体"/>
          <w:b/>
          <w:color w:val="auto"/>
          <w:sz w:val="32"/>
          <w:szCs w:val="32"/>
          <w:highlight w:val="none"/>
          <w:u w:val="none"/>
          <w:lang w:val="en-US" w:eastAsia="zh-CN" w:bidi="ar-SA"/>
        </w:rPr>
        <w:instrText xml:space="preserve"> HYPERLINK \l _Toc17685 </w:instrText>
      </w:r>
      <w:r>
        <w:rPr>
          <w:rStyle w:val="268"/>
          <w:rFonts w:hint="eastAsia" w:ascii="宋体" w:hAnsi="宋体" w:eastAsia="宋体" w:cs="宋体"/>
          <w:b/>
          <w:color w:val="auto"/>
          <w:sz w:val="32"/>
          <w:szCs w:val="32"/>
          <w:highlight w:val="none"/>
          <w:u w:val="none"/>
          <w:lang w:val="en-US" w:eastAsia="zh-CN" w:bidi="ar-SA"/>
        </w:rPr>
        <w:fldChar w:fldCharType="separate"/>
      </w:r>
      <w:r>
        <w:rPr>
          <w:rStyle w:val="268"/>
          <w:rFonts w:hint="eastAsia" w:ascii="宋体" w:hAnsi="宋体" w:eastAsia="宋体" w:cs="宋体"/>
          <w:b/>
          <w:color w:val="auto"/>
          <w:sz w:val="32"/>
          <w:szCs w:val="32"/>
          <w:highlight w:val="none"/>
          <w:u w:val="none"/>
          <w:lang w:val="en-US" w:eastAsia="zh-CN" w:bidi="ar-SA"/>
        </w:rPr>
        <w:t>第三章   评审程序、评审方法和评审标准</w:t>
      </w:r>
      <w:r>
        <w:rPr>
          <w:rStyle w:val="268"/>
          <w:rFonts w:hint="eastAsia" w:ascii="宋体" w:hAnsi="宋体" w:eastAsia="宋体" w:cs="宋体"/>
          <w:b/>
          <w:color w:val="auto"/>
          <w:sz w:val="32"/>
          <w:szCs w:val="32"/>
          <w:highlight w:val="none"/>
          <w:u w:val="none"/>
          <w:lang w:val="en-US" w:eastAsia="zh-CN" w:bidi="ar-SA"/>
        </w:rPr>
        <w:tab/>
      </w:r>
      <w:r>
        <w:rPr>
          <w:rStyle w:val="268"/>
          <w:rFonts w:hint="eastAsia" w:ascii="宋体" w:hAnsi="宋体" w:eastAsia="宋体" w:cs="宋体"/>
          <w:b/>
          <w:color w:val="auto"/>
          <w:sz w:val="32"/>
          <w:szCs w:val="32"/>
          <w:highlight w:val="none"/>
          <w:u w:val="none"/>
          <w:lang w:val="en-US" w:eastAsia="zh-CN" w:bidi="ar-SA"/>
        </w:rPr>
        <w:fldChar w:fldCharType="begin"/>
      </w:r>
      <w:r>
        <w:rPr>
          <w:rStyle w:val="268"/>
          <w:rFonts w:hint="eastAsia" w:ascii="宋体" w:hAnsi="宋体" w:eastAsia="宋体" w:cs="宋体"/>
          <w:b/>
          <w:color w:val="auto"/>
          <w:sz w:val="32"/>
          <w:szCs w:val="32"/>
          <w:highlight w:val="none"/>
          <w:u w:val="none"/>
          <w:lang w:val="en-US" w:eastAsia="zh-CN" w:bidi="ar-SA"/>
        </w:rPr>
        <w:instrText xml:space="preserve"> PAGEREF _Toc17685 \h </w:instrText>
      </w:r>
      <w:r>
        <w:rPr>
          <w:rStyle w:val="268"/>
          <w:rFonts w:hint="eastAsia" w:ascii="宋体" w:hAnsi="宋体" w:eastAsia="宋体" w:cs="宋体"/>
          <w:b/>
          <w:color w:val="auto"/>
          <w:sz w:val="32"/>
          <w:szCs w:val="32"/>
          <w:highlight w:val="none"/>
          <w:u w:val="none"/>
          <w:lang w:val="en-US" w:eastAsia="zh-CN" w:bidi="ar-SA"/>
        </w:rPr>
        <w:fldChar w:fldCharType="separate"/>
      </w:r>
      <w:r>
        <w:rPr>
          <w:rStyle w:val="268"/>
          <w:rFonts w:hint="eastAsia" w:ascii="宋体" w:hAnsi="宋体" w:eastAsia="宋体" w:cs="宋体"/>
          <w:b/>
          <w:color w:val="auto"/>
          <w:sz w:val="32"/>
          <w:szCs w:val="32"/>
          <w:highlight w:val="none"/>
          <w:u w:val="none"/>
          <w:lang w:val="en-US" w:eastAsia="zh-CN" w:bidi="ar-SA"/>
        </w:rPr>
        <w:t>21</w:t>
      </w:r>
      <w:r>
        <w:rPr>
          <w:rStyle w:val="268"/>
          <w:rFonts w:hint="eastAsia" w:ascii="宋体" w:hAnsi="宋体" w:eastAsia="宋体" w:cs="宋体"/>
          <w:b/>
          <w:color w:val="auto"/>
          <w:sz w:val="32"/>
          <w:szCs w:val="32"/>
          <w:highlight w:val="none"/>
          <w:u w:val="none"/>
          <w:lang w:val="en-US" w:eastAsia="zh-CN" w:bidi="ar-SA"/>
        </w:rPr>
        <w:fldChar w:fldCharType="end"/>
      </w:r>
      <w:r>
        <w:rPr>
          <w:rStyle w:val="268"/>
          <w:rFonts w:hint="eastAsia" w:ascii="宋体" w:hAnsi="宋体" w:eastAsia="宋体" w:cs="宋体"/>
          <w:b/>
          <w:color w:val="auto"/>
          <w:sz w:val="32"/>
          <w:szCs w:val="32"/>
          <w:highlight w:val="none"/>
          <w:u w:val="none"/>
          <w:lang w:val="en-US" w:eastAsia="zh-CN" w:bidi="ar-SA"/>
        </w:rPr>
        <w:fldChar w:fldCharType="end"/>
      </w:r>
    </w:p>
    <w:p w14:paraId="0EB03D6A">
      <w:pPr>
        <w:pStyle w:val="25"/>
        <w:tabs>
          <w:tab w:val="right" w:leader="dot" w:pos="9072"/>
        </w:tabs>
        <w:rPr>
          <w:rStyle w:val="268"/>
          <w:rFonts w:hint="eastAsia" w:ascii="宋体" w:hAnsi="宋体" w:eastAsia="宋体" w:cs="宋体"/>
          <w:b/>
          <w:color w:val="auto"/>
          <w:sz w:val="32"/>
          <w:szCs w:val="32"/>
          <w:highlight w:val="none"/>
          <w:u w:val="none"/>
          <w:lang w:val="en-US" w:eastAsia="zh-CN" w:bidi="ar-SA"/>
        </w:rPr>
      </w:pPr>
      <w:r>
        <w:rPr>
          <w:rStyle w:val="268"/>
          <w:rFonts w:hint="eastAsia" w:ascii="宋体" w:hAnsi="宋体" w:eastAsia="宋体" w:cs="宋体"/>
          <w:b/>
          <w:color w:val="auto"/>
          <w:sz w:val="32"/>
          <w:szCs w:val="32"/>
          <w:highlight w:val="none"/>
          <w:u w:val="none"/>
          <w:lang w:val="en-US" w:eastAsia="zh-CN" w:bidi="ar-SA"/>
        </w:rPr>
        <w:fldChar w:fldCharType="begin"/>
      </w:r>
      <w:r>
        <w:rPr>
          <w:rStyle w:val="268"/>
          <w:rFonts w:hint="eastAsia" w:ascii="宋体" w:hAnsi="宋体" w:eastAsia="宋体" w:cs="宋体"/>
          <w:b/>
          <w:color w:val="auto"/>
          <w:sz w:val="32"/>
          <w:szCs w:val="32"/>
          <w:highlight w:val="none"/>
          <w:u w:val="none"/>
          <w:lang w:val="en-US" w:eastAsia="zh-CN" w:bidi="ar-SA"/>
        </w:rPr>
        <w:instrText xml:space="preserve"> HYPERLINK \l _Toc20962 </w:instrText>
      </w:r>
      <w:r>
        <w:rPr>
          <w:rStyle w:val="268"/>
          <w:rFonts w:hint="eastAsia" w:ascii="宋体" w:hAnsi="宋体" w:eastAsia="宋体" w:cs="宋体"/>
          <w:b/>
          <w:color w:val="auto"/>
          <w:sz w:val="32"/>
          <w:szCs w:val="32"/>
          <w:highlight w:val="none"/>
          <w:u w:val="none"/>
          <w:lang w:val="en-US" w:eastAsia="zh-CN" w:bidi="ar-SA"/>
        </w:rPr>
        <w:fldChar w:fldCharType="separate"/>
      </w:r>
      <w:r>
        <w:rPr>
          <w:rStyle w:val="268"/>
          <w:rFonts w:hint="eastAsia" w:ascii="宋体" w:hAnsi="宋体" w:eastAsia="宋体" w:cs="宋体"/>
          <w:b/>
          <w:color w:val="auto"/>
          <w:sz w:val="32"/>
          <w:szCs w:val="32"/>
          <w:highlight w:val="none"/>
          <w:u w:val="none"/>
          <w:lang w:val="en-US" w:eastAsia="zh-CN" w:bidi="ar-SA"/>
        </w:rPr>
        <w:t>第四章   采购需求</w:t>
      </w:r>
      <w:r>
        <w:rPr>
          <w:rStyle w:val="268"/>
          <w:rFonts w:hint="eastAsia" w:ascii="宋体" w:hAnsi="宋体" w:eastAsia="宋体" w:cs="宋体"/>
          <w:b/>
          <w:color w:val="auto"/>
          <w:sz w:val="32"/>
          <w:szCs w:val="32"/>
          <w:highlight w:val="none"/>
          <w:u w:val="none"/>
          <w:lang w:val="en-US" w:eastAsia="zh-CN" w:bidi="ar-SA"/>
        </w:rPr>
        <w:tab/>
      </w:r>
      <w:r>
        <w:rPr>
          <w:rStyle w:val="268"/>
          <w:rFonts w:hint="eastAsia" w:ascii="宋体" w:hAnsi="宋体" w:eastAsia="宋体" w:cs="宋体"/>
          <w:b/>
          <w:color w:val="auto"/>
          <w:sz w:val="32"/>
          <w:szCs w:val="32"/>
          <w:highlight w:val="none"/>
          <w:u w:val="none"/>
          <w:lang w:val="en-US" w:eastAsia="zh-CN" w:bidi="ar-SA"/>
        </w:rPr>
        <w:fldChar w:fldCharType="begin"/>
      </w:r>
      <w:r>
        <w:rPr>
          <w:rStyle w:val="268"/>
          <w:rFonts w:hint="eastAsia" w:ascii="宋体" w:hAnsi="宋体" w:eastAsia="宋体" w:cs="宋体"/>
          <w:b/>
          <w:color w:val="auto"/>
          <w:sz w:val="32"/>
          <w:szCs w:val="32"/>
          <w:highlight w:val="none"/>
          <w:u w:val="none"/>
          <w:lang w:val="en-US" w:eastAsia="zh-CN" w:bidi="ar-SA"/>
        </w:rPr>
        <w:instrText xml:space="preserve"> PAGEREF _Toc20962 \h </w:instrText>
      </w:r>
      <w:r>
        <w:rPr>
          <w:rStyle w:val="268"/>
          <w:rFonts w:hint="eastAsia" w:ascii="宋体" w:hAnsi="宋体" w:eastAsia="宋体" w:cs="宋体"/>
          <w:b/>
          <w:color w:val="auto"/>
          <w:sz w:val="32"/>
          <w:szCs w:val="32"/>
          <w:highlight w:val="none"/>
          <w:u w:val="none"/>
          <w:lang w:val="en-US" w:eastAsia="zh-CN" w:bidi="ar-SA"/>
        </w:rPr>
        <w:fldChar w:fldCharType="separate"/>
      </w:r>
      <w:r>
        <w:rPr>
          <w:rStyle w:val="268"/>
          <w:rFonts w:hint="eastAsia" w:ascii="宋体" w:hAnsi="宋体" w:eastAsia="宋体" w:cs="宋体"/>
          <w:b/>
          <w:color w:val="auto"/>
          <w:sz w:val="32"/>
          <w:szCs w:val="32"/>
          <w:highlight w:val="none"/>
          <w:u w:val="none"/>
          <w:lang w:val="en-US" w:eastAsia="zh-CN" w:bidi="ar-SA"/>
        </w:rPr>
        <w:t>31</w:t>
      </w:r>
      <w:r>
        <w:rPr>
          <w:rStyle w:val="268"/>
          <w:rFonts w:hint="eastAsia" w:ascii="宋体" w:hAnsi="宋体" w:eastAsia="宋体" w:cs="宋体"/>
          <w:b/>
          <w:color w:val="auto"/>
          <w:sz w:val="32"/>
          <w:szCs w:val="32"/>
          <w:highlight w:val="none"/>
          <w:u w:val="none"/>
          <w:lang w:val="en-US" w:eastAsia="zh-CN" w:bidi="ar-SA"/>
        </w:rPr>
        <w:fldChar w:fldCharType="end"/>
      </w:r>
      <w:r>
        <w:rPr>
          <w:rStyle w:val="268"/>
          <w:rFonts w:hint="eastAsia" w:ascii="宋体" w:hAnsi="宋体" w:eastAsia="宋体" w:cs="宋体"/>
          <w:b/>
          <w:color w:val="auto"/>
          <w:sz w:val="32"/>
          <w:szCs w:val="32"/>
          <w:highlight w:val="none"/>
          <w:u w:val="none"/>
          <w:lang w:val="en-US" w:eastAsia="zh-CN" w:bidi="ar-SA"/>
        </w:rPr>
        <w:fldChar w:fldCharType="end"/>
      </w:r>
    </w:p>
    <w:p w14:paraId="3948FBA2">
      <w:pPr>
        <w:pStyle w:val="25"/>
        <w:tabs>
          <w:tab w:val="right" w:leader="dot" w:pos="9072"/>
        </w:tabs>
        <w:rPr>
          <w:rStyle w:val="268"/>
          <w:rFonts w:hint="eastAsia" w:ascii="宋体" w:hAnsi="宋体" w:eastAsia="宋体" w:cs="宋体"/>
          <w:b/>
          <w:color w:val="auto"/>
          <w:sz w:val="32"/>
          <w:szCs w:val="32"/>
          <w:highlight w:val="none"/>
          <w:u w:val="none"/>
          <w:lang w:val="en-US" w:eastAsia="zh-CN" w:bidi="ar-SA"/>
        </w:rPr>
      </w:pPr>
      <w:r>
        <w:rPr>
          <w:rStyle w:val="268"/>
          <w:rFonts w:hint="eastAsia" w:ascii="宋体" w:hAnsi="宋体" w:eastAsia="宋体" w:cs="宋体"/>
          <w:b/>
          <w:color w:val="auto"/>
          <w:sz w:val="32"/>
          <w:szCs w:val="32"/>
          <w:highlight w:val="none"/>
          <w:u w:val="none"/>
          <w:lang w:val="en-US" w:eastAsia="zh-CN" w:bidi="ar-SA"/>
        </w:rPr>
        <w:fldChar w:fldCharType="begin"/>
      </w:r>
      <w:r>
        <w:rPr>
          <w:rStyle w:val="268"/>
          <w:rFonts w:hint="eastAsia" w:ascii="宋体" w:hAnsi="宋体" w:eastAsia="宋体" w:cs="宋体"/>
          <w:b/>
          <w:color w:val="auto"/>
          <w:sz w:val="32"/>
          <w:szCs w:val="32"/>
          <w:highlight w:val="none"/>
          <w:u w:val="none"/>
          <w:lang w:val="en-US" w:eastAsia="zh-CN" w:bidi="ar-SA"/>
        </w:rPr>
        <w:instrText xml:space="preserve"> HYPERLINK \l _Toc20525 </w:instrText>
      </w:r>
      <w:r>
        <w:rPr>
          <w:rStyle w:val="268"/>
          <w:rFonts w:hint="eastAsia" w:ascii="宋体" w:hAnsi="宋体" w:eastAsia="宋体" w:cs="宋体"/>
          <w:b/>
          <w:color w:val="auto"/>
          <w:sz w:val="32"/>
          <w:szCs w:val="32"/>
          <w:highlight w:val="none"/>
          <w:u w:val="none"/>
          <w:lang w:val="en-US" w:eastAsia="zh-CN" w:bidi="ar-SA"/>
        </w:rPr>
        <w:fldChar w:fldCharType="separate"/>
      </w:r>
      <w:r>
        <w:rPr>
          <w:rStyle w:val="268"/>
          <w:rFonts w:hint="eastAsia" w:ascii="宋体" w:hAnsi="宋体" w:eastAsia="宋体" w:cs="宋体"/>
          <w:b/>
          <w:color w:val="auto"/>
          <w:sz w:val="32"/>
          <w:szCs w:val="32"/>
          <w:highlight w:val="none"/>
          <w:u w:val="none"/>
          <w:lang w:val="en-US" w:eastAsia="zh-CN" w:bidi="ar-SA"/>
        </w:rPr>
        <w:t>第五章   合同草案条款</w:t>
      </w:r>
      <w:r>
        <w:rPr>
          <w:rStyle w:val="268"/>
          <w:rFonts w:hint="eastAsia" w:ascii="宋体" w:hAnsi="宋体" w:eastAsia="宋体" w:cs="宋体"/>
          <w:b/>
          <w:color w:val="auto"/>
          <w:sz w:val="32"/>
          <w:szCs w:val="32"/>
          <w:highlight w:val="none"/>
          <w:u w:val="none"/>
          <w:lang w:val="en-US" w:eastAsia="zh-CN" w:bidi="ar-SA"/>
        </w:rPr>
        <w:tab/>
      </w:r>
      <w:r>
        <w:rPr>
          <w:rStyle w:val="268"/>
          <w:rFonts w:hint="eastAsia" w:ascii="宋体" w:hAnsi="宋体" w:eastAsia="宋体" w:cs="宋体"/>
          <w:b/>
          <w:color w:val="auto"/>
          <w:sz w:val="32"/>
          <w:szCs w:val="32"/>
          <w:highlight w:val="none"/>
          <w:u w:val="none"/>
          <w:lang w:val="en-US" w:eastAsia="zh-CN" w:bidi="ar-SA"/>
        </w:rPr>
        <w:fldChar w:fldCharType="begin"/>
      </w:r>
      <w:r>
        <w:rPr>
          <w:rStyle w:val="268"/>
          <w:rFonts w:hint="eastAsia" w:ascii="宋体" w:hAnsi="宋体" w:eastAsia="宋体" w:cs="宋体"/>
          <w:b/>
          <w:color w:val="auto"/>
          <w:sz w:val="32"/>
          <w:szCs w:val="32"/>
          <w:highlight w:val="none"/>
          <w:u w:val="none"/>
          <w:lang w:val="en-US" w:eastAsia="zh-CN" w:bidi="ar-SA"/>
        </w:rPr>
        <w:instrText xml:space="preserve"> PAGEREF _Toc20525 \h </w:instrText>
      </w:r>
      <w:r>
        <w:rPr>
          <w:rStyle w:val="268"/>
          <w:rFonts w:hint="eastAsia" w:ascii="宋体" w:hAnsi="宋体" w:eastAsia="宋体" w:cs="宋体"/>
          <w:b/>
          <w:color w:val="auto"/>
          <w:sz w:val="32"/>
          <w:szCs w:val="32"/>
          <w:highlight w:val="none"/>
          <w:u w:val="none"/>
          <w:lang w:val="en-US" w:eastAsia="zh-CN" w:bidi="ar-SA"/>
        </w:rPr>
        <w:fldChar w:fldCharType="separate"/>
      </w:r>
      <w:r>
        <w:rPr>
          <w:rStyle w:val="268"/>
          <w:rFonts w:hint="eastAsia" w:ascii="宋体" w:hAnsi="宋体" w:eastAsia="宋体" w:cs="宋体"/>
          <w:b/>
          <w:color w:val="auto"/>
          <w:sz w:val="32"/>
          <w:szCs w:val="32"/>
          <w:highlight w:val="none"/>
          <w:u w:val="none"/>
          <w:lang w:val="en-US" w:eastAsia="zh-CN" w:bidi="ar-SA"/>
        </w:rPr>
        <w:t>34</w:t>
      </w:r>
      <w:r>
        <w:rPr>
          <w:rStyle w:val="268"/>
          <w:rFonts w:hint="eastAsia" w:ascii="宋体" w:hAnsi="宋体" w:eastAsia="宋体" w:cs="宋体"/>
          <w:b/>
          <w:color w:val="auto"/>
          <w:sz w:val="32"/>
          <w:szCs w:val="32"/>
          <w:highlight w:val="none"/>
          <w:u w:val="none"/>
          <w:lang w:val="en-US" w:eastAsia="zh-CN" w:bidi="ar-SA"/>
        </w:rPr>
        <w:fldChar w:fldCharType="end"/>
      </w:r>
      <w:r>
        <w:rPr>
          <w:rStyle w:val="268"/>
          <w:rFonts w:hint="eastAsia" w:ascii="宋体" w:hAnsi="宋体" w:eastAsia="宋体" w:cs="宋体"/>
          <w:b/>
          <w:color w:val="auto"/>
          <w:sz w:val="32"/>
          <w:szCs w:val="32"/>
          <w:highlight w:val="none"/>
          <w:u w:val="none"/>
          <w:lang w:val="en-US" w:eastAsia="zh-CN" w:bidi="ar-SA"/>
        </w:rPr>
        <w:fldChar w:fldCharType="end"/>
      </w:r>
    </w:p>
    <w:p w14:paraId="3033824E">
      <w:pPr>
        <w:pStyle w:val="25"/>
        <w:tabs>
          <w:tab w:val="right" w:leader="dot" w:pos="9072"/>
        </w:tabs>
        <w:rPr>
          <w:rStyle w:val="268"/>
          <w:rFonts w:hint="eastAsia" w:ascii="宋体" w:hAnsi="宋体" w:eastAsia="宋体" w:cs="宋体"/>
          <w:b/>
          <w:color w:val="auto"/>
          <w:sz w:val="32"/>
          <w:szCs w:val="32"/>
          <w:highlight w:val="none"/>
          <w:u w:val="none"/>
          <w:lang w:val="en-US" w:eastAsia="zh-CN" w:bidi="ar-SA"/>
        </w:rPr>
      </w:pPr>
      <w:r>
        <w:rPr>
          <w:rStyle w:val="268"/>
          <w:rFonts w:hint="eastAsia" w:ascii="宋体" w:hAnsi="宋体" w:eastAsia="宋体" w:cs="宋体"/>
          <w:b/>
          <w:color w:val="auto"/>
          <w:sz w:val="32"/>
          <w:szCs w:val="32"/>
          <w:highlight w:val="none"/>
          <w:u w:val="none"/>
          <w:lang w:val="en-US" w:eastAsia="zh-CN" w:bidi="ar-SA"/>
        </w:rPr>
        <w:fldChar w:fldCharType="begin"/>
      </w:r>
      <w:r>
        <w:rPr>
          <w:rStyle w:val="268"/>
          <w:rFonts w:hint="eastAsia" w:ascii="宋体" w:hAnsi="宋体" w:eastAsia="宋体" w:cs="宋体"/>
          <w:b/>
          <w:color w:val="auto"/>
          <w:sz w:val="32"/>
          <w:szCs w:val="32"/>
          <w:highlight w:val="none"/>
          <w:u w:val="none"/>
          <w:lang w:val="en-US" w:eastAsia="zh-CN" w:bidi="ar-SA"/>
        </w:rPr>
        <w:instrText xml:space="preserve"> HYPERLINK \l _Toc26791 </w:instrText>
      </w:r>
      <w:r>
        <w:rPr>
          <w:rStyle w:val="268"/>
          <w:rFonts w:hint="eastAsia" w:ascii="宋体" w:hAnsi="宋体" w:eastAsia="宋体" w:cs="宋体"/>
          <w:b/>
          <w:color w:val="auto"/>
          <w:sz w:val="32"/>
          <w:szCs w:val="32"/>
          <w:highlight w:val="none"/>
          <w:u w:val="none"/>
          <w:lang w:val="en-US" w:eastAsia="zh-CN" w:bidi="ar-SA"/>
        </w:rPr>
        <w:fldChar w:fldCharType="separate"/>
      </w:r>
      <w:r>
        <w:rPr>
          <w:rStyle w:val="268"/>
          <w:rFonts w:hint="eastAsia" w:ascii="宋体" w:hAnsi="宋体" w:eastAsia="宋体" w:cs="宋体"/>
          <w:b/>
          <w:color w:val="auto"/>
          <w:sz w:val="32"/>
          <w:szCs w:val="32"/>
          <w:highlight w:val="none"/>
          <w:u w:val="none"/>
          <w:lang w:val="en-US" w:eastAsia="zh-CN" w:bidi="ar-SA"/>
        </w:rPr>
        <w:t>第六章   响应文件格式</w:t>
      </w:r>
      <w:r>
        <w:rPr>
          <w:rStyle w:val="268"/>
          <w:rFonts w:hint="eastAsia" w:ascii="宋体" w:hAnsi="宋体" w:eastAsia="宋体" w:cs="宋体"/>
          <w:b/>
          <w:color w:val="auto"/>
          <w:sz w:val="32"/>
          <w:szCs w:val="32"/>
          <w:highlight w:val="none"/>
          <w:u w:val="none"/>
          <w:lang w:val="en-US" w:eastAsia="zh-CN" w:bidi="ar-SA"/>
        </w:rPr>
        <w:tab/>
      </w:r>
      <w:r>
        <w:rPr>
          <w:rStyle w:val="268"/>
          <w:rFonts w:hint="eastAsia" w:ascii="宋体" w:hAnsi="宋体" w:eastAsia="宋体" w:cs="宋体"/>
          <w:b/>
          <w:color w:val="auto"/>
          <w:sz w:val="32"/>
          <w:szCs w:val="32"/>
          <w:highlight w:val="none"/>
          <w:u w:val="none"/>
          <w:lang w:val="en-US" w:eastAsia="zh-CN" w:bidi="ar-SA"/>
        </w:rPr>
        <w:fldChar w:fldCharType="begin"/>
      </w:r>
      <w:r>
        <w:rPr>
          <w:rStyle w:val="268"/>
          <w:rFonts w:hint="eastAsia" w:ascii="宋体" w:hAnsi="宋体" w:eastAsia="宋体" w:cs="宋体"/>
          <w:b/>
          <w:color w:val="auto"/>
          <w:sz w:val="32"/>
          <w:szCs w:val="32"/>
          <w:highlight w:val="none"/>
          <w:u w:val="none"/>
          <w:lang w:val="en-US" w:eastAsia="zh-CN" w:bidi="ar-SA"/>
        </w:rPr>
        <w:instrText xml:space="preserve"> PAGEREF _Toc26791 \h </w:instrText>
      </w:r>
      <w:r>
        <w:rPr>
          <w:rStyle w:val="268"/>
          <w:rFonts w:hint="eastAsia" w:ascii="宋体" w:hAnsi="宋体" w:eastAsia="宋体" w:cs="宋体"/>
          <w:b/>
          <w:color w:val="auto"/>
          <w:sz w:val="32"/>
          <w:szCs w:val="32"/>
          <w:highlight w:val="none"/>
          <w:u w:val="none"/>
          <w:lang w:val="en-US" w:eastAsia="zh-CN" w:bidi="ar-SA"/>
        </w:rPr>
        <w:fldChar w:fldCharType="separate"/>
      </w:r>
      <w:r>
        <w:rPr>
          <w:rStyle w:val="268"/>
          <w:rFonts w:hint="eastAsia" w:ascii="宋体" w:hAnsi="宋体" w:eastAsia="宋体" w:cs="宋体"/>
          <w:b/>
          <w:color w:val="auto"/>
          <w:sz w:val="32"/>
          <w:szCs w:val="32"/>
          <w:highlight w:val="none"/>
          <w:u w:val="none"/>
          <w:lang w:val="en-US" w:eastAsia="zh-CN" w:bidi="ar-SA"/>
        </w:rPr>
        <w:t>40</w:t>
      </w:r>
      <w:r>
        <w:rPr>
          <w:rStyle w:val="268"/>
          <w:rFonts w:hint="eastAsia" w:ascii="宋体" w:hAnsi="宋体" w:eastAsia="宋体" w:cs="宋体"/>
          <w:b/>
          <w:color w:val="auto"/>
          <w:sz w:val="32"/>
          <w:szCs w:val="32"/>
          <w:highlight w:val="none"/>
          <w:u w:val="none"/>
          <w:lang w:val="en-US" w:eastAsia="zh-CN" w:bidi="ar-SA"/>
        </w:rPr>
        <w:fldChar w:fldCharType="end"/>
      </w:r>
      <w:r>
        <w:rPr>
          <w:rStyle w:val="268"/>
          <w:rFonts w:hint="eastAsia" w:ascii="宋体" w:hAnsi="宋体" w:eastAsia="宋体" w:cs="宋体"/>
          <w:b/>
          <w:color w:val="auto"/>
          <w:sz w:val="32"/>
          <w:szCs w:val="32"/>
          <w:highlight w:val="none"/>
          <w:u w:val="none"/>
          <w:lang w:val="en-US" w:eastAsia="zh-CN" w:bidi="ar-SA"/>
        </w:rPr>
        <w:fldChar w:fldCharType="end"/>
      </w:r>
    </w:p>
    <w:p w14:paraId="3FEB8B88">
      <w:pPr>
        <w:pStyle w:val="243"/>
        <w:keepNext w:val="0"/>
        <w:keepLines w:val="0"/>
        <w:pageBreakBefore w:val="0"/>
        <w:widowControl w:val="0"/>
        <w:spacing w:line="360" w:lineRule="auto"/>
        <w:outlineLvl w:val="9"/>
        <w:rPr>
          <w:rFonts w:hint="eastAsia" w:ascii="宋体" w:hAnsi="宋体" w:eastAsia="宋体" w:cs="宋体"/>
          <w:b w:val="0"/>
          <w:color w:val="auto"/>
          <w:sz w:val="32"/>
          <w:szCs w:val="32"/>
          <w:highlight w:val="none"/>
        </w:rPr>
      </w:pPr>
      <w:r>
        <w:rPr>
          <w:rStyle w:val="268"/>
          <w:rFonts w:hint="eastAsia" w:ascii="宋体" w:hAnsi="宋体" w:eastAsia="宋体" w:cs="宋体"/>
          <w:b/>
          <w:color w:val="auto"/>
          <w:sz w:val="32"/>
          <w:szCs w:val="32"/>
          <w:highlight w:val="none"/>
          <w:u w:val="none"/>
          <w:lang w:val="en-US" w:eastAsia="zh-CN" w:bidi="ar-SA"/>
        </w:rPr>
        <w:fldChar w:fldCharType="end"/>
      </w:r>
    </w:p>
    <w:p w14:paraId="102BD64C">
      <w:pPr>
        <w:pStyle w:val="243"/>
        <w:keepNext w:val="0"/>
        <w:keepLines w:val="0"/>
        <w:pageBreakBefore w:val="0"/>
        <w:widowControl w:val="0"/>
        <w:spacing w:line="360" w:lineRule="auto"/>
        <w:outlineLvl w:val="9"/>
        <w:rPr>
          <w:rFonts w:hint="eastAsia" w:ascii="宋体" w:hAnsi="宋体" w:eastAsia="宋体" w:cs="宋体"/>
          <w:b w:val="0"/>
          <w:color w:val="auto"/>
          <w:sz w:val="32"/>
          <w:szCs w:val="32"/>
          <w:highlight w:val="none"/>
        </w:rPr>
      </w:pPr>
    </w:p>
    <w:p w14:paraId="75BF2F16">
      <w:pPr>
        <w:keepNext w:val="0"/>
        <w:keepLines w:val="0"/>
        <w:pageBreakBefore w:val="0"/>
        <w:widowControl w:val="0"/>
        <w:spacing w:line="360" w:lineRule="auto"/>
        <w:jc w:val="center"/>
        <w:outlineLvl w:val="9"/>
        <w:rPr>
          <w:rFonts w:hint="eastAsia" w:ascii="宋体" w:hAnsi="宋体" w:eastAsia="宋体" w:cs="宋体"/>
          <w:b/>
          <w:color w:val="auto"/>
          <w:sz w:val="32"/>
          <w:szCs w:val="32"/>
          <w:highlight w:val="none"/>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1701" w:num="1"/>
          <w:titlePg/>
          <w:docGrid w:linePitch="360" w:charSpace="0"/>
        </w:sectPr>
      </w:pPr>
      <w:r>
        <w:rPr>
          <w:rFonts w:hint="eastAsia" w:ascii="宋体" w:hAnsi="宋体" w:eastAsia="宋体" w:cs="宋体"/>
          <w:b/>
          <w:color w:val="auto"/>
          <w:sz w:val="32"/>
          <w:szCs w:val="32"/>
          <w:highlight w:val="none"/>
        </w:rPr>
        <w:br w:type="page" w:clear="all"/>
      </w:r>
    </w:p>
    <w:p w14:paraId="25CDE599">
      <w:pPr>
        <w:spacing w:line="360" w:lineRule="auto"/>
        <w:jc w:val="center"/>
        <w:outlineLvl w:val="0"/>
        <w:rPr>
          <w:b/>
          <w:color w:val="auto"/>
          <w:sz w:val="36"/>
          <w:szCs w:val="36"/>
          <w:highlight w:val="none"/>
        </w:rPr>
      </w:pPr>
      <w:bookmarkStart w:id="1" w:name="_Toc13300"/>
      <w:bookmarkStart w:id="2" w:name="_Toc104818925"/>
      <w:r>
        <w:rPr>
          <w:b/>
          <w:color w:val="auto"/>
          <w:sz w:val="36"/>
          <w:szCs w:val="36"/>
          <w:highlight w:val="none"/>
        </w:rPr>
        <w:t>第一章   采购邀请</w:t>
      </w:r>
      <w:bookmarkEnd w:id="1"/>
      <w:bookmarkEnd w:id="2"/>
      <w:bookmarkStart w:id="3" w:name="_Toc35393621"/>
      <w:bookmarkStart w:id="4" w:name="_Toc28359079"/>
      <w:bookmarkStart w:id="5" w:name="_Toc35393790"/>
      <w:bookmarkStart w:id="6" w:name="_Toc28359002"/>
      <w:bookmarkStart w:id="7" w:name="_Hlk24379207"/>
    </w:p>
    <w:p w14:paraId="56B6238E">
      <w:pPr>
        <w:keepNext w:val="0"/>
        <w:keepLines w:val="0"/>
        <w:pageBreakBefore w:val="0"/>
        <w:widowControl w:val="0"/>
        <w:spacing w:line="360" w:lineRule="auto"/>
        <w:outlineLvl w:val="9"/>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一、项目基本情况</w:t>
      </w:r>
      <w:bookmarkEnd w:id="3"/>
      <w:bookmarkEnd w:id="4"/>
      <w:bookmarkEnd w:id="5"/>
      <w:bookmarkEnd w:id="6"/>
    </w:p>
    <w:p w14:paraId="5D5B6F15">
      <w:pPr>
        <w:keepNext w:val="0"/>
        <w:keepLines w:val="0"/>
        <w:pageBreakBefore w:val="0"/>
        <w:widowControl w:val="0"/>
        <w:spacing w:line="360" w:lineRule="auto"/>
        <w:ind w:firstLine="48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p>
    <w:p w14:paraId="665BDD93">
      <w:pPr>
        <w:keepNext w:val="0"/>
        <w:keepLines w:val="0"/>
        <w:pageBreakBefore w:val="0"/>
        <w:widowControl w:val="0"/>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新北区联防联控指挥部保障项目</w:t>
      </w:r>
      <w:r>
        <w:rPr>
          <w:rFonts w:hint="eastAsia" w:ascii="宋体" w:hAnsi="宋体" w:eastAsia="宋体" w:cs="宋体"/>
          <w:color w:val="auto"/>
          <w:sz w:val="24"/>
          <w:szCs w:val="24"/>
          <w:highlight w:val="none"/>
          <w:u w:val="single"/>
        </w:rPr>
        <w:t xml:space="preserve"> </w:t>
      </w:r>
    </w:p>
    <w:p w14:paraId="0FAEC7E5">
      <w:pPr>
        <w:keepNext w:val="0"/>
        <w:keepLines w:val="0"/>
        <w:pageBreakBefore w:val="0"/>
        <w:widowControl w:val="0"/>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3.采购方式：竞争性磋商</w:t>
      </w:r>
    </w:p>
    <w:bookmarkEnd w:id="7"/>
    <w:p w14:paraId="0BC7E0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4.项目预算金额：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120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万元、项目最高限价：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120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p>
    <w:p w14:paraId="686E98C5">
      <w:pPr>
        <w:keepNext w:val="0"/>
        <w:keepLines w:val="0"/>
        <w:pageBreakBefore w:val="0"/>
        <w:widowControl w:val="0"/>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w:t>
      </w:r>
    </w:p>
    <w:tbl>
      <w:tblPr>
        <w:tblStyle w:val="3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1"/>
        <w:gridCol w:w="1860"/>
        <w:gridCol w:w="1275"/>
        <w:gridCol w:w="3742"/>
      </w:tblGrid>
      <w:tr w14:paraId="0813A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411" w:type="dxa"/>
            <w:noWrap w:val="0"/>
            <w:vAlign w:val="center"/>
          </w:tcPr>
          <w:p w14:paraId="59386C51">
            <w:pPr>
              <w:keepNext w:val="0"/>
              <w:keepLines w:val="0"/>
              <w:pageBreakBefore w:val="0"/>
              <w:widowControl w:val="0"/>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标的名称</w:t>
            </w:r>
          </w:p>
        </w:tc>
        <w:tc>
          <w:tcPr>
            <w:tcW w:w="1860" w:type="dxa"/>
            <w:noWrap w:val="0"/>
            <w:vAlign w:val="center"/>
          </w:tcPr>
          <w:p w14:paraId="639F97BC">
            <w:pPr>
              <w:keepNext w:val="0"/>
              <w:keepLines w:val="0"/>
              <w:pageBreakBefore w:val="0"/>
              <w:widowControl w:val="0"/>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采购预算金额</w:t>
            </w:r>
          </w:p>
          <w:p w14:paraId="39EDF926">
            <w:pPr>
              <w:keepNext w:val="0"/>
              <w:keepLines w:val="0"/>
              <w:pageBreakBefore w:val="0"/>
              <w:widowControl w:val="0"/>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（万元）</w:t>
            </w:r>
          </w:p>
        </w:tc>
        <w:tc>
          <w:tcPr>
            <w:tcW w:w="1275" w:type="dxa"/>
            <w:noWrap w:val="0"/>
            <w:vAlign w:val="center"/>
          </w:tcPr>
          <w:p w14:paraId="2C473361">
            <w:pPr>
              <w:keepNext w:val="0"/>
              <w:keepLines w:val="0"/>
              <w:pageBreakBefore w:val="0"/>
              <w:widowControl w:val="0"/>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3742" w:type="dxa"/>
            <w:noWrap w:val="0"/>
            <w:vAlign w:val="center"/>
          </w:tcPr>
          <w:p w14:paraId="06DC4DFF">
            <w:pPr>
              <w:keepNext w:val="0"/>
              <w:keepLines w:val="0"/>
              <w:pageBreakBefore w:val="0"/>
              <w:widowControl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简要技术需求或服务要求</w:t>
            </w:r>
          </w:p>
        </w:tc>
      </w:tr>
      <w:tr w14:paraId="66901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411" w:type="dxa"/>
            <w:noWrap w:val="0"/>
            <w:vAlign w:val="center"/>
          </w:tcPr>
          <w:p w14:paraId="50A2524A">
            <w:pPr>
              <w:keepNext w:val="0"/>
              <w:keepLines w:val="0"/>
              <w:pageBreakBefore w:val="0"/>
              <w:widowControl w:val="0"/>
              <w:jc w:val="center"/>
              <w:outlineLvl w:val="9"/>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新北区联防联控指挥部保障</w:t>
            </w:r>
          </w:p>
        </w:tc>
        <w:tc>
          <w:tcPr>
            <w:tcW w:w="1860" w:type="dxa"/>
            <w:noWrap w:val="0"/>
            <w:vAlign w:val="center"/>
          </w:tcPr>
          <w:p w14:paraId="6B1487B8">
            <w:pPr>
              <w:keepNext w:val="0"/>
              <w:keepLines w:val="0"/>
              <w:pageBreakBefore w:val="0"/>
              <w:widowControl w:val="0"/>
              <w:jc w:val="center"/>
              <w:outlineLvl w:val="9"/>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120</w:t>
            </w:r>
          </w:p>
        </w:tc>
        <w:tc>
          <w:tcPr>
            <w:tcW w:w="1275" w:type="dxa"/>
            <w:noWrap w:val="0"/>
            <w:vAlign w:val="center"/>
          </w:tcPr>
          <w:p w14:paraId="320C84DB">
            <w:pPr>
              <w:keepNext w:val="0"/>
              <w:keepLines w:val="0"/>
              <w:pageBreakBefore w:val="0"/>
              <w:widowControl w:val="0"/>
              <w:jc w:val="center"/>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3742" w:type="dxa"/>
            <w:noWrap w:val="0"/>
            <w:vAlign w:val="center"/>
          </w:tcPr>
          <w:p w14:paraId="721AAC51">
            <w:pPr>
              <w:keepNext w:val="0"/>
              <w:keepLines w:val="0"/>
              <w:pageBreakBefore w:val="0"/>
              <w:widowControl w:val="0"/>
              <w:jc w:val="both"/>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服务内容包括为保障新北区大气环境质量考核任务完成，构建“精准监测、智能预警、高效处置、系统治理”的闭环保障体系，通过常态化专班值守、多维度数据分析及全流程后勤保障，全面提升新北区大气污染防控的精细化、科学化水平，确保PM2.5浓度、O3超标天数等核心指标达到考核要求。</w:t>
            </w:r>
          </w:p>
        </w:tc>
      </w:tr>
    </w:tbl>
    <w:p w14:paraId="7CF356C4">
      <w:pPr>
        <w:keepNext w:val="0"/>
        <w:keepLines w:val="0"/>
        <w:pageBreakBefore w:val="0"/>
        <w:widowControl w:val="0"/>
        <w:spacing w:line="360" w:lineRule="auto"/>
        <w:ind w:firstLine="48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6.合同履行期限：</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自合同签订之日起1年。</w:t>
      </w:r>
      <w:r>
        <w:rPr>
          <w:rFonts w:hint="eastAsia" w:ascii="宋体" w:hAnsi="宋体" w:eastAsia="宋体" w:cs="宋体"/>
          <w:color w:val="auto"/>
          <w:sz w:val="24"/>
          <w:szCs w:val="24"/>
          <w:highlight w:val="none"/>
          <w:u w:val="single"/>
          <w:lang w:val="en-US" w:eastAsia="zh-CN"/>
        </w:rPr>
        <w:t xml:space="preserve"> </w:t>
      </w:r>
    </w:p>
    <w:p w14:paraId="25FD2D20">
      <w:pPr>
        <w:keepNext w:val="0"/>
        <w:keepLines w:val="0"/>
        <w:pageBreakBefore w:val="0"/>
        <w:widowControl w:val="0"/>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  ■否。</w:t>
      </w:r>
    </w:p>
    <w:p w14:paraId="2DC53C4B">
      <w:pPr>
        <w:keepNext w:val="0"/>
        <w:keepLines w:val="0"/>
        <w:pageBreakBefore w:val="0"/>
        <w:widowControl w:val="0"/>
        <w:spacing w:line="360" w:lineRule="auto"/>
        <w:outlineLvl w:val="9"/>
        <w:rPr>
          <w:rFonts w:hint="eastAsia" w:ascii="宋体" w:hAnsi="宋体" w:eastAsia="宋体" w:cs="Times New Roman"/>
          <w:b/>
          <w:bCs/>
          <w:color w:val="auto"/>
          <w:sz w:val="24"/>
          <w:szCs w:val="24"/>
          <w:highlight w:val="none"/>
        </w:rPr>
      </w:pPr>
      <w:bookmarkStart w:id="8" w:name="_Toc28359003"/>
      <w:bookmarkStart w:id="9" w:name="_Toc35393622"/>
      <w:bookmarkStart w:id="10" w:name="_Toc28359080"/>
      <w:bookmarkStart w:id="11" w:name="_Toc35393791"/>
      <w:r>
        <w:rPr>
          <w:rFonts w:hint="eastAsia" w:ascii="宋体" w:hAnsi="宋体" w:eastAsia="宋体" w:cs="Times New Roman"/>
          <w:b/>
          <w:bCs/>
          <w:color w:val="auto"/>
          <w:sz w:val="24"/>
          <w:szCs w:val="24"/>
          <w:highlight w:val="none"/>
        </w:rPr>
        <w:t>二、申请人的资格要求（须同时满足）</w:t>
      </w:r>
      <w:bookmarkEnd w:id="8"/>
      <w:bookmarkEnd w:id="9"/>
      <w:bookmarkEnd w:id="10"/>
      <w:bookmarkEnd w:id="11"/>
    </w:p>
    <w:p w14:paraId="1CC50DD9">
      <w:pPr>
        <w:keepNext w:val="0"/>
        <w:keepLines w:val="0"/>
        <w:pageBreakBefore w:val="0"/>
        <w:widowControl w:val="0"/>
        <w:spacing w:line="360" w:lineRule="auto"/>
        <w:ind w:firstLine="480"/>
        <w:outlineLvl w:val="9"/>
        <w:rPr>
          <w:rFonts w:hint="eastAsia" w:ascii="宋体" w:hAnsi="宋体" w:eastAsia="宋体" w:cs="宋体"/>
          <w:color w:val="auto"/>
          <w:sz w:val="24"/>
          <w:szCs w:val="24"/>
          <w:highlight w:val="none"/>
        </w:rPr>
      </w:pPr>
      <w:bookmarkStart w:id="12" w:name="_Toc28359004"/>
      <w:bookmarkStart w:id="13" w:name="_Toc28359081"/>
      <w:r>
        <w:rPr>
          <w:rFonts w:hint="eastAsia" w:ascii="宋体" w:hAnsi="宋体" w:eastAsia="宋体" w:cs="宋体"/>
          <w:color w:val="auto"/>
          <w:sz w:val="24"/>
          <w:szCs w:val="24"/>
          <w:highlight w:val="none"/>
        </w:rPr>
        <w:t>1.满足《中华人民共和国政府采购法》第二十二条规定以及下列情形：</w:t>
      </w:r>
    </w:p>
    <w:p w14:paraId="53581600">
      <w:pPr>
        <w:keepNext w:val="0"/>
        <w:keepLines w:val="0"/>
        <w:pageBreakBefore w:val="0"/>
        <w:widowControl w:val="0"/>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1.1未被“信用中国”网站（WWW.creditchina.gov.cn）或“中国政府采购网”网站（www.ccgp.gov.cn）列入失信被执行人、重大税收违法案件当事人名单、政府采购严重失信行为记录名单；</w:t>
      </w:r>
    </w:p>
    <w:p w14:paraId="4619F262">
      <w:pPr>
        <w:keepNext w:val="0"/>
        <w:keepLines w:val="0"/>
        <w:pageBreakBefore w:val="0"/>
        <w:widowControl w:val="0"/>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47B52EB0">
      <w:pPr>
        <w:keepNext w:val="0"/>
        <w:keepLines w:val="0"/>
        <w:pageBreakBefore w:val="0"/>
        <w:widowControl w:val="0"/>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p>
    <w:p w14:paraId="4978D316">
      <w:pPr>
        <w:keepNext w:val="0"/>
        <w:keepLines w:val="0"/>
        <w:pageBreakBefore w:val="0"/>
        <w:widowControl w:val="0"/>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中小企业政策</w:t>
      </w:r>
    </w:p>
    <w:p w14:paraId="51FB07FB">
      <w:pPr>
        <w:keepNext w:val="0"/>
        <w:keepLines w:val="0"/>
        <w:pageBreakBefore w:val="0"/>
        <w:widowControl w:val="0"/>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□本项目不专门面向中小企业预留采购份额。</w:t>
      </w:r>
    </w:p>
    <w:p w14:paraId="7762D16E">
      <w:pPr>
        <w:keepNext w:val="0"/>
        <w:keepLines w:val="0"/>
        <w:pageBreakBefore w:val="0"/>
        <w:widowControl w:val="0"/>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■本项目专门面向  ■中小 □小微企业  采购。即：提供的服务全部由符合政策要求的中小企业承接。</w:t>
      </w:r>
    </w:p>
    <w:p w14:paraId="0995351C">
      <w:pPr>
        <w:keepNext w:val="0"/>
        <w:keepLines w:val="0"/>
        <w:pageBreakBefore w:val="0"/>
        <w:widowControl w:val="0"/>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□本项目预留部分采购项目预算专门面向中小企业采购。对于预留份额，服务由符合政策要求的中小企业承接。预留份额通过以下措施进行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p w14:paraId="503CB7FA">
      <w:pPr>
        <w:keepNext w:val="0"/>
        <w:keepLines w:val="0"/>
        <w:pageBreakBefore w:val="0"/>
        <w:widowControl w:val="0"/>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其它落实政府采购政策的资格要求：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p w14:paraId="1375CAF4">
      <w:pPr>
        <w:keepNext w:val="0"/>
        <w:keepLines w:val="0"/>
        <w:pageBreakBefore w:val="0"/>
        <w:widowControl w:val="0"/>
        <w:spacing w:line="360" w:lineRule="auto"/>
        <w:ind w:firstLine="480"/>
        <w:outlineLvl w:val="9"/>
        <w:rPr>
          <w:rFonts w:hint="eastAsia" w:ascii="宋体" w:hAnsi="宋体" w:eastAsia="宋体" w:cs="宋体"/>
          <w:i/>
          <w:iCs/>
          <w:color w:val="auto"/>
          <w:sz w:val="24"/>
          <w:szCs w:val="24"/>
          <w:highlight w:val="none"/>
          <w:u w:val="single"/>
        </w:rPr>
      </w:pPr>
      <w:r>
        <w:rPr>
          <w:rFonts w:hint="eastAsia" w:ascii="宋体" w:hAnsi="宋体" w:eastAsia="宋体" w:cs="宋体"/>
          <w:color w:val="auto"/>
          <w:sz w:val="24"/>
          <w:szCs w:val="24"/>
          <w:highlight w:val="none"/>
        </w:rPr>
        <w:t>3.本项目的特定资格要求：</w:t>
      </w:r>
    </w:p>
    <w:p w14:paraId="44558D93">
      <w:pPr>
        <w:keepNext w:val="0"/>
        <w:keepLines w:val="0"/>
        <w:pageBreakBefore w:val="0"/>
        <w:widowControl w:val="0"/>
        <w:tabs>
          <w:tab w:val="left" w:pos="900"/>
          <w:tab w:val="left" w:pos="1134"/>
          <w:tab w:val="left" w:pos="1589"/>
          <w:tab w:val="left" w:pos="5521"/>
        </w:tabs>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3.1本项目是否接受分支机构参与响应：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   ■否；</w:t>
      </w:r>
    </w:p>
    <w:p w14:paraId="0BBDE581">
      <w:pPr>
        <w:keepNext w:val="0"/>
        <w:keepLines w:val="0"/>
        <w:pageBreakBefore w:val="0"/>
        <w:widowControl w:val="0"/>
        <w:tabs>
          <w:tab w:val="left" w:pos="900"/>
          <w:tab w:val="left" w:pos="1134"/>
          <w:tab w:val="left" w:pos="1589"/>
          <w:tab w:val="left" w:pos="5521"/>
        </w:tabs>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本项目是否属于政府购买服务：</w:t>
      </w:r>
    </w:p>
    <w:p w14:paraId="2E5928BC">
      <w:pPr>
        <w:keepNext w:val="0"/>
        <w:keepLines w:val="0"/>
        <w:pageBreakBefore w:val="0"/>
        <w:widowControl w:val="0"/>
        <w:tabs>
          <w:tab w:val="left" w:pos="900"/>
          <w:tab w:val="left" w:pos="1134"/>
          <w:tab w:val="left" w:pos="1589"/>
          <w:tab w:val="left" w:pos="5521"/>
        </w:tabs>
        <w:spacing w:line="360" w:lineRule="auto"/>
        <w:ind w:left="991" w:firstLine="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p w14:paraId="0184C0A2">
      <w:pPr>
        <w:keepNext w:val="0"/>
        <w:keepLines w:val="0"/>
        <w:pageBreakBefore w:val="0"/>
        <w:widowControl w:val="0"/>
        <w:tabs>
          <w:tab w:val="left" w:pos="900"/>
          <w:tab w:val="left" w:pos="1134"/>
          <w:tab w:val="left" w:pos="1589"/>
          <w:tab w:val="left" w:pos="5521"/>
        </w:tabs>
        <w:spacing w:line="360" w:lineRule="auto"/>
        <w:ind w:left="991" w:firstLine="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■是，公益一类事业单位、使用事业编制且由财政拨款保障的群团组织，不得作为承接主体；</w:t>
      </w:r>
    </w:p>
    <w:p w14:paraId="22FC8BF1">
      <w:pPr>
        <w:keepNext w:val="0"/>
        <w:keepLines w:val="0"/>
        <w:pageBreakBefore w:val="0"/>
        <w:widowControl w:val="0"/>
        <w:tabs>
          <w:tab w:val="left" w:pos="900"/>
          <w:tab w:val="left" w:pos="1134"/>
          <w:tab w:val="left" w:pos="1589"/>
          <w:tab w:val="left" w:pos="5521"/>
        </w:tabs>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3.3其他特定资格要求：</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bookmarkEnd w:id="12"/>
    <w:bookmarkEnd w:id="13"/>
    <w:p w14:paraId="39917712">
      <w:pPr>
        <w:keepNext w:val="0"/>
        <w:keepLines w:val="0"/>
        <w:pageBreakBefore w:val="0"/>
        <w:widowControl w:val="0"/>
        <w:spacing w:line="360" w:lineRule="auto"/>
        <w:outlineLvl w:val="9"/>
        <w:rPr>
          <w:rFonts w:hint="eastAsia" w:ascii="宋体" w:hAnsi="宋体" w:eastAsia="宋体" w:cs="Times New Roman"/>
          <w:b/>
          <w:bCs/>
          <w:color w:val="auto"/>
          <w:sz w:val="24"/>
          <w:szCs w:val="24"/>
          <w:highlight w:val="none"/>
        </w:rPr>
      </w:pPr>
      <w:bookmarkStart w:id="14" w:name="_Toc35393623"/>
      <w:bookmarkStart w:id="15" w:name="_Toc35393792"/>
      <w:r>
        <w:rPr>
          <w:rFonts w:hint="eastAsia" w:ascii="宋体" w:hAnsi="宋体" w:eastAsia="宋体" w:cs="Times New Roman"/>
          <w:b/>
          <w:bCs/>
          <w:color w:val="auto"/>
          <w:sz w:val="24"/>
          <w:szCs w:val="24"/>
          <w:highlight w:val="none"/>
        </w:rPr>
        <w:t>三、获取采购文件</w:t>
      </w:r>
      <w:bookmarkEnd w:id="14"/>
      <w:bookmarkEnd w:id="15"/>
    </w:p>
    <w:p w14:paraId="2BB87692">
      <w:pPr>
        <w:keepNext w:val="0"/>
        <w:keepLines w:val="0"/>
        <w:pageBreakBefore w:val="0"/>
        <w:spacing w:line="360" w:lineRule="auto"/>
        <w:ind w:firstLine="480"/>
        <w:outlineLvl w:val="9"/>
        <w:rPr>
          <w:rFonts w:hint="eastAsia" w:ascii="宋体" w:hAnsi="宋体" w:eastAsia="宋体" w:cs="宋体"/>
          <w:color w:val="auto"/>
          <w:sz w:val="24"/>
          <w:highlight w:val="none"/>
          <w:u w:val="none"/>
          <w:lang w:bidi="ar"/>
        </w:rPr>
      </w:pPr>
      <w:bookmarkStart w:id="16" w:name="_Toc35393624"/>
      <w:bookmarkStart w:id="17" w:name="_Toc28359082"/>
      <w:bookmarkStart w:id="18" w:name="_Toc35393793"/>
      <w:bookmarkStart w:id="19" w:name="_Toc28359005"/>
      <w:r>
        <w:rPr>
          <w:rFonts w:hint="eastAsia" w:ascii="宋体" w:hAnsi="宋体" w:eastAsia="宋体" w:cs="宋体"/>
          <w:color w:val="auto"/>
          <w:sz w:val="24"/>
          <w:highlight w:val="none"/>
          <w:u w:val="none"/>
          <w:lang w:bidi="ar"/>
        </w:rPr>
        <w:t>1.时间：</w:t>
      </w:r>
      <w:r>
        <w:rPr>
          <w:rFonts w:hint="eastAsia" w:ascii="宋体" w:hAnsi="宋体" w:eastAsia="宋体" w:cs="宋体"/>
          <w:color w:val="auto"/>
          <w:sz w:val="24"/>
          <w:highlight w:val="none"/>
          <w:u w:val="none"/>
        </w:rPr>
        <w:t>自磋商公告发布之日起5个工作日</w:t>
      </w:r>
      <w:r>
        <w:rPr>
          <w:rFonts w:hint="eastAsia" w:ascii="宋体" w:hAnsi="宋体" w:eastAsia="宋体" w:cs="宋体"/>
          <w:color w:val="auto"/>
          <w:sz w:val="24"/>
          <w:highlight w:val="none"/>
          <w:u w:val="none"/>
          <w:lang w:bidi="ar"/>
        </w:rPr>
        <w:t>。</w:t>
      </w:r>
    </w:p>
    <w:p w14:paraId="2430DA22">
      <w:pPr>
        <w:keepNext w:val="0"/>
        <w:keepLines w:val="0"/>
        <w:pageBreakBefore w:val="0"/>
        <w:spacing w:line="360" w:lineRule="auto"/>
        <w:ind w:firstLine="480"/>
        <w:outlineLvl w:val="9"/>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bidi="ar"/>
        </w:rPr>
        <w:t>2.地点：</w:t>
      </w:r>
      <w:r>
        <w:rPr>
          <w:rFonts w:hint="eastAsia" w:ascii="宋体" w:hAnsi="宋体" w:eastAsia="宋体" w:cs="宋体"/>
          <w:color w:val="auto"/>
          <w:sz w:val="24"/>
          <w:szCs w:val="24"/>
          <w:highlight w:val="none"/>
        </w:rPr>
        <w:t>“苏采云”政府采购一体化平台。</w:t>
      </w:r>
    </w:p>
    <w:p w14:paraId="7AF3429D">
      <w:pPr>
        <w:keepNext w:val="0"/>
        <w:keepLines w:val="0"/>
        <w:pageBreakBefore w:val="0"/>
        <w:spacing w:line="360" w:lineRule="auto"/>
        <w:ind w:firstLine="480"/>
        <w:outlineLvl w:val="9"/>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3.方式：</w:t>
      </w:r>
      <w:r>
        <w:rPr>
          <w:rFonts w:hint="eastAsia" w:ascii="宋体" w:hAnsi="宋体" w:eastAsia="宋体" w:cs="宋体"/>
          <w:color w:val="auto"/>
          <w:sz w:val="24"/>
          <w:szCs w:val="24"/>
          <w:highlight w:val="none"/>
          <w:lang w:val="en-US" w:eastAsia="zh-CN"/>
        </w:rPr>
        <w:t>供应商登</w:t>
      </w:r>
      <w:r>
        <w:rPr>
          <w:rFonts w:hint="eastAsia" w:ascii="宋体" w:hAnsi="宋体" w:cs="宋体"/>
          <w:color w:val="auto"/>
          <w:sz w:val="24"/>
          <w:szCs w:val="24"/>
          <w:highlight w:val="none"/>
          <w:lang w:val="en-US" w:eastAsia="zh-CN"/>
        </w:rPr>
        <w:t>录</w:t>
      </w:r>
      <w:r>
        <w:rPr>
          <w:rFonts w:hint="eastAsia" w:ascii="宋体" w:hAnsi="宋体" w:eastAsia="宋体" w:cs="宋体"/>
          <w:color w:val="auto"/>
          <w:sz w:val="24"/>
          <w:szCs w:val="24"/>
          <w:highlight w:val="none"/>
          <w:lang w:val="en-US" w:eastAsia="zh-CN"/>
        </w:rPr>
        <w:t>“江苏政府采购网”，在网站首页点击“苏采云”→使用CA锁登录系统（新用户需进行“平台用户注册”）→“项目参与”进行登记，在“可参与项目”中选择“我要参与”，参与成功后到“已参与项目”界面中找到该项目下载文件并进行操作。</w:t>
      </w:r>
    </w:p>
    <w:p w14:paraId="730ABD55">
      <w:pPr>
        <w:keepNext w:val="0"/>
        <w:keepLines w:val="0"/>
        <w:pageBreakBefore w:val="0"/>
        <w:spacing w:line="360" w:lineRule="auto"/>
        <w:ind w:firstLine="480"/>
        <w:outlineLvl w:val="9"/>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4.售价：</w:t>
      </w:r>
      <w:r>
        <w:rPr>
          <w:rFonts w:hint="eastAsia" w:ascii="宋体" w:hAnsi="宋体" w:eastAsia="宋体" w:cs="宋体"/>
          <w:color w:val="auto"/>
          <w:sz w:val="24"/>
          <w:highlight w:val="none"/>
          <w:u w:val="single"/>
          <w:lang w:bidi="ar"/>
        </w:rPr>
        <w:t xml:space="preserve"> 0 </w:t>
      </w:r>
      <w:r>
        <w:rPr>
          <w:rFonts w:hint="eastAsia" w:ascii="宋体" w:hAnsi="宋体" w:eastAsia="宋体" w:cs="宋体"/>
          <w:color w:val="auto"/>
          <w:sz w:val="24"/>
          <w:highlight w:val="none"/>
          <w:lang w:bidi="ar"/>
        </w:rPr>
        <w:t>元。</w:t>
      </w:r>
    </w:p>
    <w:p w14:paraId="72F0B7F9">
      <w:pPr>
        <w:keepNext w:val="0"/>
        <w:keepLines w:val="0"/>
        <w:pageBreakBefore w:val="0"/>
        <w:widowControl w:val="0"/>
        <w:spacing w:line="360" w:lineRule="auto"/>
        <w:outlineLvl w:val="9"/>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四、</w:t>
      </w:r>
      <w:bookmarkEnd w:id="16"/>
      <w:bookmarkEnd w:id="17"/>
      <w:bookmarkEnd w:id="18"/>
      <w:bookmarkEnd w:id="19"/>
      <w:r>
        <w:rPr>
          <w:rFonts w:hint="eastAsia" w:ascii="宋体" w:hAnsi="宋体" w:eastAsia="宋体" w:cs="Times New Roman"/>
          <w:b/>
          <w:bCs/>
          <w:color w:val="auto"/>
          <w:sz w:val="24"/>
          <w:szCs w:val="24"/>
          <w:highlight w:val="none"/>
        </w:rPr>
        <w:t>响应文件提交</w:t>
      </w:r>
    </w:p>
    <w:p w14:paraId="7EC00D1B">
      <w:pPr>
        <w:keepNext w:val="0"/>
        <w:keepLines w:val="0"/>
        <w:pageBreakBefore w:val="0"/>
        <w:widowControl w:val="0"/>
        <w:spacing w:line="360" w:lineRule="auto"/>
        <w:ind w:firstLine="480"/>
        <w:outlineLvl w:val="9"/>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lang w:bidi="ar"/>
        </w:rPr>
        <w:t>截止时间：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3</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bidi="ar"/>
        </w:rPr>
        <w:t>日</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14</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bidi="ar"/>
        </w:rPr>
        <w:t>点</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lang w:val="en-US" w:eastAsia="zh-CN"/>
        </w:rPr>
        <w:t xml:space="preserve">0 </w:t>
      </w:r>
      <w:r>
        <w:rPr>
          <w:rFonts w:hint="eastAsia" w:ascii="宋体" w:hAnsi="宋体" w:eastAsia="宋体" w:cs="宋体"/>
          <w:color w:val="auto"/>
          <w:sz w:val="24"/>
          <w:highlight w:val="none"/>
          <w:lang w:bidi="ar"/>
        </w:rPr>
        <w:t>分</w:t>
      </w:r>
      <w:r>
        <w:rPr>
          <w:rFonts w:hint="eastAsia" w:ascii="宋体" w:hAnsi="宋体" w:eastAsia="宋体" w:cs="宋体"/>
          <w:bCs/>
          <w:color w:val="auto"/>
          <w:sz w:val="24"/>
          <w:highlight w:val="none"/>
          <w:lang w:bidi="ar"/>
        </w:rPr>
        <w:t>（北京时间）</w:t>
      </w:r>
      <w:r>
        <w:rPr>
          <w:rFonts w:hint="eastAsia" w:ascii="宋体" w:hAnsi="宋体" w:eastAsia="宋体" w:cs="宋体"/>
          <w:iCs/>
          <w:color w:val="auto"/>
          <w:sz w:val="24"/>
          <w:highlight w:val="none"/>
          <w:lang w:bidi="ar"/>
        </w:rPr>
        <w:t>。</w:t>
      </w:r>
    </w:p>
    <w:p w14:paraId="185DA251">
      <w:pPr>
        <w:keepNext w:val="0"/>
        <w:keepLines w:val="0"/>
        <w:pageBreakBefore w:val="0"/>
        <w:widowControl w:val="0"/>
        <w:spacing w:line="360" w:lineRule="auto"/>
        <w:ind w:firstLine="480"/>
        <w:outlineLvl w:val="9"/>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地点：</w:t>
      </w:r>
      <w:r>
        <w:rPr>
          <w:rFonts w:hint="eastAsia" w:ascii="宋体" w:hAnsi="宋体"/>
          <w:color w:val="auto"/>
          <w:sz w:val="24"/>
          <w:highlight w:val="none"/>
          <w:u w:val="single"/>
          <w:lang w:eastAsia="zh-CN"/>
        </w:rPr>
        <w:t>本项目采用远程“不见面”交易方式，无需到现场提交，请供应商在</w:t>
      </w:r>
      <w:r>
        <w:rPr>
          <w:rFonts w:hint="eastAsia" w:ascii="宋体" w:hAnsi="宋体"/>
          <w:color w:val="auto"/>
          <w:sz w:val="24"/>
          <w:highlight w:val="none"/>
          <w:u w:val="single"/>
          <w:lang w:val="en-US" w:eastAsia="zh-CN"/>
        </w:rPr>
        <w:t>提交</w:t>
      </w:r>
      <w:r>
        <w:rPr>
          <w:rFonts w:hint="eastAsia" w:ascii="宋体" w:hAnsi="宋体"/>
          <w:color w:val="auto"/>
          <w:sz w:val="24"/>
          <w:highlight w:val="none"/>
          <w:u w:val="single"/>
          <w:lang w:eastAsia="zh-CN"/>
        </w:rPr>
        <w:t>时间截止前提前登入“苏采云”，通过系统在线提交电子磋商响应文件</w:t>
      </w:r>
      <w:r>
        <w:rPr>
          <w:rFonts w:hint="eastAsia" w:ascii="宋体" w:hAnsi="宋体" w:eastAsia="宋体" w:cs="宋体"/>
          <w:color w:val="auto"/>
          <w:sz w:val="24"/>
          <w:highlight w:val="none"/>
          <w:lang w:bidi="ar"/>
        </w:rPr>
        <w:t>。</w:t>
      </w:r>
    </w:p>
    <w:p w14:paraId="00B30C87">
      <w:pPr>
        <w:keepNext w:val="0"/>
        <w:keepLines w:val="0"/>
        <w:pageBreakBefore w:val="0"/>
        <w:widowControl w:val="0"/>
        <w:spacing w:line="360" w:lineRule="auto"/>
        <w:outlineLvl w:val="9"/>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五、开启</w:t>
      </w:r>
    </w:p>
    <w:p w14:paraId="506A3DE8">
      <w:pPr>
        <w:keepNext w:val="0"/>
        <w:keepLines w:val="0"/>
        <w:pageBreakBefore w:val="0"/>
        <w:widowControl w:val="0"/>
        <w:spacing w:line="360" w:lineRule="auto"/>
        <w:ind w:firstLine="480"/>
        <w:outlineLvl w:val="9"/>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lang w:bidi="ar"/>
        </w:rPr>
        <w:t>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lang w:bidi="ar"/>
        </w:rPr>
        <w:t>日</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14</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bidi="ar"/>
        </w:rPr>
        <w:t>点</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lang w:val="en-US" w:eastAsia="zh-CN"/>
        </w:rPr>
        <w:t xml:space="preserve">0 </w:t>
      </w:r>
      <w:r>
        <w:rPr>
          <w:rFonts w:hint="eastAsia" w:ascii="宋体" w:hAnsi="宋体" w:eastAsia="宋体" w:cs="宋体"/>
          <w:color w:val="auto"/>
          <w:sz w:val="24"/>
          <w:highlight w:val="none"/>
          <w:lang w:bidi="ar"/>
        </w:rPr>
        <w:t>分</w:t>
      </w:r>
      <w:r>
        <w:rPr>
          <w:rFonts w:hint="eastAsia" w:ascii="宋体" w:hAnsi="宋体" w:eastAsia="宋体" w:cs="宋体"/>
          <w:bCs/>
          <w:color w:val="auto"/>
          <w:sz w:val="24"/>
          <w:highlight w:val="none"/>
          <w:lang w:bidi="ar"/>
        </w:rPr>
        <w:t>（北京时间）</w:t>
      </w:r>
      <w:r>
        <w:rPr>
          <w:rFonts w:hint="eastAsia" w:ascii="宋体" w:hAnsi="宋体" w:eastAsia="宋体" w:cs="宋体"/>
          <w:iCs/>
          <w:color w:val="auto"/>
          <w:sz w:val="24"/>
          <w:highlight w:val="none"/>
          <w:lang w:bidi="ar"/>
        </w:rPr>
        <w:t>。</w:t>
      </w:r>
    </w:p>
    <w:p w14:paraId="358D8BE0">
      <w:pPr>
        <w:keepNext w:val="0"/>
        <w:keepLines w:val="0"/>
        <w:pageBreakBefore w:val="0"/>
        <w:widowControl w:val="0"/>
        <w:spacing w:line="360" w:lineRule="auto"/>
        <w:ind w:firstLine="480"/>
        <w:outlineLvl w:val="9"/>
        <w:rPr>
          <w:rFonts w:hint="eastAsia" w:ascii="宋体" w:hAnsi="宋体" w:eastAsia="宋体" w:cs="宋体"/>
          <w:color w:val="auto"/>
          <w:sz w:val="24"/>
          <w:highlight w:val="none"/>
          <w:lang w:bidi="ar"/>
        </w:rPr>
      </w:pPr>
      <w:bookmarkStart w:id="20" w:name="_Toc35393625"/>
      <w:bookmarkStart w:id="21" w:name="_Toc35393794"/>
      <w:bookmarkStart w:id="22" w:name="_Toc28359007"/>
      <w:bookmarkStart w:id="23" w:name="_Toc28359084"/>
      <w:r>
        <w:rPr>
          <w:rFonts w:hint="eastAsia" w:ascii="宋体" w:hAnsi="宋体" w:eastAsia="宋体" w:cs="宋体"/>
          <w:color w:val="auto"/>
          <w:sz w:val="24"/>
          <w:highlight w:val="none"/>
          <w:lang w:bidi="ar"/>
        </w:rPr>
        <w:t>地点：</w:t>
      </w:r>
      <w:r>
        <w:rPr>
          <w:rFonts w:hint="eastAsia" w:ascii="宋体" w:hAnsi="宋体"/>
          <w:color w:val="auto"/>
          <w:sz w:val="24"/>
          <w:highlight w:val="none"/>
          <w:u w:val="single"/>
          <w:lang w:eastAsia="zh-CN"/>
        </w:rPr>
        <w:t>“苏采云”政府采购交易系统网上开标大厅</w:t>
      </w:r>
      <w:r>
        <w:rPr>
          <w:rFonts w:hint="eastAsia" w:ascii="宋体" w:hAnsi="宋体" w:eastAsia="宋体" w:cs="宋体"/>
          <w:color w:val="auto"/>
          <w:sz w:val="24"/>
          <w:highlight w:val="none"/>
          <w:lang w:bidi="ar"/>
        </w:rPr>
        <w:t>。</w:t>
      </w:r>
    </w:p>
    <w:p w14:paraId="2196343B">
      <w:pPr>
        <w:keepNext w:val="0"/>
        <w:keepLines w:val="0"/>
        <w:pageBreakBefore w:val="0"/>
        <w:widowControl w:val="0"/>
        <w:spacing w:line="360" w:lineRule="auto"/>
        <w:outlineLvl w:val="9"/>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六、公告期限</w:t>
      </w:r>
      <w:bookmarkEnd w:id="20"/>
      <w:bookmarkEnd w:id="21"/>
      <w:bookmarkEnd w:id="22"/>
      <w:bookmarkEnd w:id="23"/>
    </w:p>
    <w:p w14:paraId="552EDD85">
      <w:pPr>
        <w:keepNext w:val="0"/>
        <w:keepLines w:val="0"/>
        <w:pageBreakBefore w:val="0"/>
        <w:widowControl w:val="0"/>
        <w:spacing w:line="360" w:lineRule="auto"/>
        <w:ind w:firstLine="480"/>
        <w:outlineLvl w:val="9"/>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自本公告发布之日起3个工作日。</w:t>
      </w:r>
    </w:p>
    <w:p w14:paraId="0E09768A">
      <w:pPr>
        <w:keepNext w:val="0"/>
        <w:keepLines w:val="0"/>
        <w:pageBreakBefore w:val="0"/>
        <w:widowControl w:val="0"/>
        <w:spacing w:line="360" w:lineRule="auto"/>
        <w:outlineLvl w:val="9"/>
        <w:rPr>
          <w:rFonts w:hint="eastAsia" w:ascii="宋体" w:hAnsi="宋体" w:eastAsia="宋体" w:cs="Times New Roman"/>
          <w:b/>
          <w:bCs/>
          <w:color w:val="auto"/>
          <w:sz w:val="24"/>
          <w:szCs w:val="24"/>
          <w:highlight w:val="none"/>
        </w:rPr>
      </w:pPr>
      <w:bookmarkStart w:id="24" w:name="_Toc35393626"/>
      <w:bookmarkStart w:id="25" w:name="_Toc35393795"/>
      <w:r>
        <w:rPr>
          <w:rFonts w:hint="eastAsia" w:ascii="宋体" w:hAnsi="宋体" w:eastAsia="宋体" w:cs="Times New Roman"/>
          <w:b/>
          <w:bCs/>
          <w:color w:val="auto"/>
          <w:sz w:val="24"/>
          <w:szCs w:val="24"/>
          <w:highlight w:val="none"/>
        </w:rPr>
        <w:t>七、其他补充事宜</w:t>
      </w:r>
      <w:bookmarkEnd w:id="24"/>
      <w:bookmarkEnd w:id="25"/>
    </w:p>
    <w:p w14:paraId="5329ECF5">
      <w:pPr>
        <w:keepNext w:val="0"/>
        <w:keepLines w:val="0"/>
        <w:pageBreakBefore w:val="0"/>
        <w:spacing w:line="360" w:lineRule="auto"/>
        <w:ind w:firstLine="480"/>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1.本项目需要落实的政府采购政策：</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highlight w:val="none"/>
          <w:u w:val="single"/>
          <w:lang w:val="en-US" w:eastAsia="zh-CN"/>
        </w:rPr>
        <w:t xml:space="preserve"> /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highlight w:val="none"/>
        </w:rPr>
        <w:t>。</w:t>
      </w:r>
      <w:bookmarkStart w:id="26" w:name="_Toc35393627"/>
      <w:bookmarkStart w:id="27" w:name="_Toc28359085"/>
      <w:bookmarkStart w:id="28" w:name="_Toc35393796"/>
      <w:bookmarkStart w:id="29" w:name="_Toc28359008"/>
    </w:p>
    <w:p w14:paraId="14372D94">
      <w:pPr>
        <w:keepNext w:val="0"/>
        <w:keepLines w:val="0"/>
        <w:pageBreakBefore w:val="0"/>
        <w:spacing w:line="360" w:lineRule="auto"/>
        <w:ind w:firstLine="48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.根据省财政厅《关于更换全省政府采购交易系统C A数字证书和电子签章的通知》（苏财购〔2023〕101号），“苏采云”政府采购交易系统（以下简称苏采云系统）的CA数字证书、电子签章已更换为江苏省电子政务证书认证中心CA和方正国际软件（北京）有限公司电子签章。如果</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通过苏采云系统参与政府采购项目，需要更换CA数字证书和电子签章。</w:t>
      </w:r>
    </w:p>
    <w:p w14:paraId="425950F5">
      <w:pPr>
        <w:keepNext w:val="0"/>
        <w:keepLines w:val="0"/>
        <w:pageBreakBefore w:val="0"/>
        <w:widowControl/>
        <w:spacing w:line="360" w:lineRule="auto"/>
        <w:ind w:firstLine="480"/>
        <w:jc w:val="left"/>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领取CA和办理电子签章（请至常州市锦绣路2号常州市政务服务中心1-1号楼四楼大厅CA办理窗口办理，窗口联系电话0519-85588120，其他联系方式见《苏采云系统供应商操作手册》（以下简称《操作手册》））、进行注册并按《操作手册》要求制作、上传电子</w:t>
      </w:r>
      <w:r>
        <w:rPr>
          <w:rFonts w:hint="eastAsia" w:ascii="宋体" w:hAnsi="宋体" w:eastAsia="宋体" w:cs="宋体"/>
          <w:color w:val="auto"/>
          <w:sz w:val="24"/>
          <w:highlight w:val="none"/>
          <w:lang w:val="en-US" w:eastAsia="zh-CN"/>
        </w:rPr>
        <w:t>磋商响应文件</w:t>
      </w:r>
      <w:r>
        <w:rPr>
          <w:rFonts w:hint="eastAsia" w:ascii="宋体" w:hAnsi="宋体" w:eastAsia="宋体" w:cs="宋体"/>
          <w:color w:val="auto"/>
          <w:sz w:val="24"/>
          <w:highlight w:val="none"/>
        </w:rPr>
        <w:t>。</w:t>
      </w:r>
    </w:p>
    <w:p w14:paraId="2E3BE0D6">
      <w:pPr>
        <w:keepNext w:val="0"/>
        <w:keepLines w:val="0"/>
        <w:pageBreakBefore w:val="0"/>
        <w:widowControl/>
        <w:spacing w:line="360" w:lineRule="auto"/>
        <w:ind w:firstLine="480"/>
        <w:jc w:val="left"/>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.有关本次</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的事项若存在变动或修改，敬请及时关注“江苏政府采购网”、“常州市政府采购网”发布的更正公告。</w:t>
      </w:r>
    </w:p>
    <w:p w14:paraId="6BF3DB1E">
      <w:pPr>
        <w:keepNext w:val="0"/>
        <w:keepLines w:val="0"/>
        <w:pageBreakBefore w:val="0"/>
        <w:widowControl/>
        <w:spacing w:line="360" w:lineRule="auto"/>
        <w:ind w:firstLine="480"/>
        <w:jc w:val="left"/>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.本次</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不收取</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保证金。</w:t>
      </w:r>
    </w:p>
    <w:p w14:paraId="3337A38F">
      <w:pPr>
        <w:keepNext w:val="0"/>
        <w:keepLines w:val="0"/>
        <w:pageBreakBefore w:val="0"/>
        <w:widowControl/>
        <w:spacing w:line="360" w:lineRule="auto"/>
        <w:ind w:firstLine="480"/>
        <w:jc w:val="left"/>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.注意事项</w:t>
      </w:r>
    </w:p>
    <w:p w14:paraId="3ED730A0">
      <w:pPr>
        <w:keepNext w:val="0"/>
        <w:keepLines w:val="0"/>
        <w:pageBreakBefore w:val="0"/>
        <w:widowControl/>
        <w:spacing w:line="360" w:lineRule="auto"/>
        <w:ind w:firstLine="48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highlight w:val="none"/>
        </w:rPr>
        <w:t>前应当使用“验证CA”功能验证本地计算机的控件环境是否正常（电脑需配备摄像头、音响和麦克风，用于保障不见面交易能够完成相关视频对话），并且在开标、评审过程中不可随意更换计算机，必须使用验证成功的计算机进行操作，否则造成相应后果由</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自行承担。</w:t>
      </w:r>
    </w:p>
    <w:p w14:paraId="7608BDC7">
      <w:pPr>
        <w:keepNext w:val="0"/>
        <w:keepLines w:val="0"/>
        <w:pageBreakBefore w:val="0"/>
        <w:widowControl/>
        <w:numPr>
          <w:ilvl w:val="0"/>
          <w:numId w:val="0"/>
        </w:numPr>
        <w:spacing w:line="360" w:lineRule="auto"/>
        <w:ind w:firstLine="480"/>
        <w:jc w:val="left"/>
        <w:outlineLvl w:val="9"/>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供应商可以在“江苏政府采购网”或者“常州市政府采购网”自行免费下载采购文件，但本项目通过“苏采云”系统采用电子化不见面交易的模式，供应商通过“江苏政府采购网”或“常州市政府采购网”下载采购文件后，还必须登录“苏采云”系统按照获取采购文件方式要求进行登记、参与及下载电子采购文件方可通过系统进行磋商响应文件的编制和提交。</w:t>
      </w:r>
    </w:p>
    <w:p w14:paraId="2D5E0EC6">
      <w:pPr>
        <w:keepNext w:val="0"/>
        <w:keepLines w:val="0"/>
        <w:pageBreakBefore w:val="0"/>
        <w:widowControl/>
        <w:numPr>
          <w:ilvl w:val="0"/>
          <w:numId w:val="0"/>
        </w:numPr>
        <w:spacing w:line="360" w:lineRule="auto"/>
        <w:ind w:firstLine="480"/>
        <w:jc w:val="left"/>
        <w:outlineLvl w:val="9"/>
        <w:rPr>
          <w:rFonts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供应商在“苏采云”系统进行登记、参与及下载电子采购文件，选择“我要参与”点提交的日期视同为依法获取采购文件日期。报名成功后须打印、保留“投标供应商确认函”，质疑时“投标供应商确认函”与质疑函一并提交；未依照竞争性磋商公告要求实行网上报名的供应商，视为未参与该项政府采购活动，不具备对该政府采购项目提出质疑的法定权利，但因供应商资格条件或报名时间设定不符合有关法律法规规定等原因使供应商权益受损的除外。</w:t>
      </w:r>
    </w:p>
    <w:p w14:paraId="1A0140E4">
      <w:pPr>
        <w:keepNext w:val="0"/>
        <w:keepLines w:val="0"/>
        <w:pageBreakBefore w:val="0"/>
        <w:widowControl/>
        <w:spacing w:line="360" w:lineRule="auto"/>
        <w:ind w:firstLine="480"/>
        <w:jc w:val="left"/>
        <w:outlineLvl w:val="9"/>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.如潜在供应商未按上述要求操作，将自行承担所产生的风险。</w:t>
      </w:r>
    </w:p>
    <w:p w14:paraId="61F3EED5">
      <w:pPr>
        <w:keepNext w:val="0"/>
        <w:keepLines w:val="0"/>
        <w:pageBreakBefore w:val="0"/>
        <w:widowControl/>
        <w:spacing w:line="360" w:lineRule="auto"/>
        <w:ind w:firstLine="48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rPr>
        <w:t>.关于常州市中小企业政府采购信用融资：</w:t>
      </w:r>
    </w:p>
    <w:p w14:paraId="637284D3">
      <w:pPr>
        <w:keepNext w:val="0"/>
        <w:keepLines w:val="0"/>
        <w:pageBreakBefore w:val="0"/>
        <w:widowControl/>
        <w:spacing w:line="360" w:lineRule="auto"/>
        <w:ind w:firstLine="480"/>
        <w:jc w:val="left"/>
        <w:outlineLvl w:val="9"/>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rPr>
        <w:t>根据《常州市财政局 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14:paraId="7BC1D29F">
      <w:pPr>
        <w:keepNext w:val="0"/>
        <w:keepLines w:val="0"/>
        <w:pageBreakBefore w:val="0"/>
        <w:widowControl/>
        <w:spacing w:line="360" w:lineRule="auto"/>
        <w:ind w:firstLine="480"/>
        <w:jc w:val="left"/>
        <w:outlineLvl w:val="9"/>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lang w:val="en-US" w:eastAsia="zh-CN"/>
        </w:rPr>
        <w:t>.关于深入开展常州市政府采购线上合同信用融资：</w:t>
      </w:r>
    </w:p>
    <w:p w14:paraId="28B881E9">
      <w:pPr>
        <w:keepNext w:val="0"/>
        <w:keepLines w:val="0"/>
        <w:pageBreakBefore w:val="0"/>
        <w:widowControl/>
        <w:spacing w:line="360" w:lineRule="auto"/>
        <w:ind w:firstLine="480"/>
        <w:jc w:val="left"/>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江苏省财政厅、人民银行南京分行《关于深入推进政府采购线上合同信用融资工作的通知》（苏财购〔2021〕82号）、《人民银行南京分行办公室关于依托中征应收账款融资服务平台开展线上政采贷业务的通知》（南银办〔2022〕123号）等文件精神， 深入开展我市政府采购线上合同信用融资工作，线上“政采贷”业务流程及要求详见该文件相关内容或者常州市政府采购网。</w:t>
      </w:r>
    </w:p>
    <w:p w14:paraId="1B583B2A">
      <w:pPr>
        <w:keepNext w:val="0"/>
        <w:keepLines w:val="0"/>
        <w:pageBreakBefore w:val="0"/>
        <w:widowControl w:val="0"/>
        <w:spacing w:line="360" w:lineRule="auto"/>
        <w:outlineLvl w:val="9"/>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八、对本项目提出询问，请按以下方式联系。</w:t>
      </w:r>
      <w:bookmarkEnd w:id="26"/>
      <w:bookmarkEnd w:id="27"/>
      <w:bookmarkEnd w:id="28"/>
      <w:bookmarkEnd w:id="29"/>
    </w:p>
    <w:p w14:paraId="7FFA95AE">
      <w:pPr>
        <w:keepNext w:val="0"/>
        <w:keepLines w:val="0"/>
        <w:pageBreakBefore w:val="0"/>
        <w:widowControl/>
        <w:spacing w:line="360" w:lineRule="auto"/>
        <w:ind w:firstLine="482"/>
        <w:jc w:val="left"/>
        <w:outlineLvl w:val="9"/>
        <w:rPr>
          <w:rFonts w:hint="eastAsia" w:ascii="宋体" w:hAnsi="宋体" w:eastAsia="宋体" w:cs="宋体"/>
          <w:b/>
          <w:bCs/>
          <w:color w:val="auto"/>
          <w:sz w:val="24"/>
          <w:highlight w:val="none"/>
          <w:lang w:val="zh-TW" w:bidi="ar"/>
        </w:rPr>
      </w:pPr>
      <w:r>
        <w:rPr>
          <w:rFonts w:hint="eastAsia" w:ascii="宋体" w:hAnsi="宋体" w:eastAsia="宋体" w:cs="宋体"/>
          <w:b/>
          <w:bCs/>
          <w:color w:val="auto"/>
          <w:sz w:val="24"/>
          <w:highlight w:val="none"/>
          <w:lang w:val="zh-TW" w:bidi="ar"/>
        </w:rPr>
        <w:t>1.采购人信息</w:t>
      </w:r>
    </w:p>
    <w:p w14:paraId="097F7E63">
      <w:pPr>
        <w:keepNext w:val="0"/>
        <w:keepLines w:val="0"/>
        <w:pageBreakBefore w:val="0"/>
        <w:widowControl/>
        <w:spacing w:line="360" w:lineRule="auto"/>
        <w:ind w:firstLine="480"/>
        <w:jc w:val="left"/>
        <w:outlineLvl w:val="9"/>
        <w:rPr>
          <w:rFonts w:hint="eastAsia" w:ascii="宋体" w:hAnsi="宋体" w:eastAsia="宋体" w:cs="宋体"/>
          <w:color w:val="auto"/>
          <w:sz w:val="24"/>
          <w:highlight w:val="none"/>
          <w:lang w:val="zh-TW" w:bidi="ar"/>
        </w:rPr>
      </w:pPr>
      <w:r>
        <w:rPr>
          <w:rFonts w:hint="eastAsia" w:ascii="宋体" w:hAnsi="宋体" w:eastAsia="宋体" w:cs="宋体"/>
          <w:color w:val="auto"/>
          <w:sz w:val="24"/>
          <w:highlight w:val="none"/>
          <w:lang w:val="zh-TW" w:bidi="ar"/>
        </w:rPr>
        <w:t>名    称：</w:t>
      </w:r>
      <w:r>
        <w:rPr>
          <w:rFonts w:hint="eastAsia" w:ascii="宋体" w:hAnsi="宋体" w:eastAsia="宋体" w:cs="宋体"/>
          <w:color w:val="auto"/>
          <w:sz w:val="24"/>
          <w:highlight w:val="none"/>
          <w:u w:val="single"/>
          <w:lang w:val="zh-TW" w:bidi="ar"/>
        </w:rPr>
        <w:t xml:space="preserve"> </w:t>
      </w:r>
      <w:r>
        <w:rPr>
          <w:rFonts w:hint="eastAsia" w:ascii="宋体" w:hAnsi="宋体" w:cs="宋体"/>
          <w:color w:val="auto"/>
          <w:sz w:val="24"/>
          <w:highlight w:val="none"/>
          <w:u w:val="single"/>
          <w:lang w:val="en-US" w:eastAsia="zh-CN" w:bidi="ar"/>
        </w:rPr>
        <w:t>常州高新技术产业开发区（新北）生态环境局</w:t>
      </w:r>
      <w:r>
        <w:rPr>
          <w:rFonts w:hint="eastAsia" w:ascii="宋体" w:hAnsi="宋体" w:eastAsia="宋体" w:cs="宋体"/>
          <w:color w:val="auto"/>
          <w:sz w:val="24"/>
          <w:highlight w:val="none"/>
          <w:u w:val="single"/>
          <w:lang w:val="en-US" w:eastAsia="zh-CN" w:bidi="ar"/>
        </w:rPr>
        <w:t xml:space="preserve"> </w:t>
      </w:r>
    </w:p>
    <w:p w14:paraId="6932A55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宋体"/>
          <w:color w:val="auto"/>
          <w:sz w:val="24"/>
          <w:highlight w:val="none"/>
          <w:u w:val="single"/>
          <w:lang w:val="en-US" w:eastAsia="zh-CN" w:bidi="ar"/>
        </w:rPr>
      </w:pPr>
      <w:r>
        <w:rPr>
          <w:rFonts w:hint="eastAsia" w:ascii="宋体" w:hAnsi="宋体" w:eastAsia="宋体" w:cs="宋体"/>
          <w:color w:val="auto"/>
          <w:sz w:val="24"/>
          <w:highlight w:val="none"/>
          <w:lang w:val="zh-TW" w:bidi="ar"/>
        </w:rPr>
        <w:t>地    址：</w:t>
      </w:r>
      <w:r>
        <w:rPr>
          <w:rFonts w:hint="eastAsia" w:ascii="宋体" w:hAnsi="宋体" w:eastAsia="宋体" w:cs="宋体"/>
          <w:color w:val="auto"/>
          <w:sz w:val="24"/>
          <w:highlight w:val="none"/>
          <w:u w:val="single"/>
          <w:lang w:val="zh-TW" w:bidi="ar"/>
        </w:rPr>
        <w:t xml:space="preserve"> </w:t>
      </w:r>
      <w:r>
        <w:rPr>
          <w:rFonts w:hint="eastAsia" w:ascii="宋体" w:hAnsi="宋体" w:eastAsia="宋体" w:cs="宋体"/>
          <w:outline w:val="0"/>
          <w:color w:val="auto"/>
          <w:sz w:val="24"/>
          <w:szCs w:val="24"/>
          <w:u w:val="single" w:color="000000"/>
          <w:rtl w:val="0"/>
          <w:lang w:val="zh-TW" w:eastAsia="zh-TW"/>
        </w:rPr>
        <w:t>常州市新北区崇义北路2号绿创大厦</w:t>
      </w:r>
      <w:r>
        <w:rPr>
          <w:rFonts w:hint="eastAsia" w:ascii="宋体" w:hAnsi="宋体" w:eastAsia="宋体" w:cs="宋体"/>
          <w:color w:val="auto"/>
          <w:sz w:val="24"/>
          <w:highlight w:val="none"/>
          <w:u w:val="single"/>
          <w:lang w:val="en-US" w:eastAsia="zh-CN" w:bidi="ar"/>
        </w:rPr>
        <w:t xml:space="preserve"> </w:t>
      </w:r>
    </w:p>
    <w:p w14:paraId="5E2943CA">
      <w:pPr>
        <w:keepNext w:val="0"/>
        <w:keepLines w:val="0"/>
        <w:pageBreakBefore w:val="0"/>
        <w:widowControl/>
        <w:spacing w:line="360" w:lineRule="auto"/>
        <w:ind w:firstLine="480"/>
        <w:jc w:val="left"/>
        <w:outlineLvl w:val="9"/>
        <w:rPr>
          <w:rFonts w:ascii="宋体" w:hAnsi="宋体" w:eastAsia="宋体" w:cs="宋体"/>
          <w:color w:val="auto"/>
          <w:sz w:val="24"/>
          <w:highlight w:val="none"/>
          <w:u w:val="single"/>
          <w:lang w:val="en-US" w:eastAsia="zh-CN" w:bidi="ar"/>
        </w:rPr>
      </w:pPr>
      <w:r>
        <w:rPr>
          <w:rFonts w:hint="eastAsia" w:ascii="宋体" w:hAnsi="宋体" w:eastAsia="宋体" w:cs="宋体"/>
          <w:color w:val="auto"/>
          <w:sz w:val="24"/>
          <w:highlight w:val="none"/>
          <w:lang w:val="zh-TW" w:bidi="ar"/>
        </w:rPr>
        <w:t>联系方式：</w:t>
      </w:r>
      <w:r>
        <w:rPr>
          <w:rFonts w:hint="eastAsia" w:ascii="宋体" w:hAnsi="宋体" w:eastAsia="宋体" w:cs="宋体"/>
          <w:color w:val="auto"/>
          <w:sz w:val="24"/>
          <w:highlight w:val="none"/>
          <w:u w:val="single"/>
          <w:lang w:val="zh-TW" w:bidi="ar"/>
        </w:rPr>
        <w:t xml:space="preserve"> </w:t>
      </w:r>
      <w:r>
        <w:rPr>
          <w:rFonts w:hint="eastAsia" w:ascii="宋体" w:hAnsi="宋体" w:eastAsia="宋体" w:cs="宋体"/>
          <w:outline w:val="0"/>
          <w:color w:val="auto"/>
          <w:sz w:val="24"/>
          <w:szCs w:val="24"/>
          <w:u w:val="single" w:color="000000"/>
          <w:rtl w:val="0"/>
          <w:lang w:val="en-US" w:eastAsia="zh-CN"/>
        </w:rPr>
        <w:t>殷女士</w:t>
      </w:r>
      <w:r>
        <w:rPr>
          <w:rFonts w:ascii="宋体" w:hAnsi="宋体" w:eastAsia="宋体" w:cs="宋体"/>
          <w:outline w:val="0"/>
          <w:color w:val="auto"/>
          <w:sz w:val="24"/>
          <w:szCs w:val="24"/>
          <w:u w:val="single" w:color="000000"/>
          <w:rtl w:val="0"/>
          <w:lang w:val="zh-TW" w:eastAsia="zh-TW"/>
        </w:rPr>
        <w:t>、</w:t>
      </w:r>
      <w:r>
        <w:rPr>
          <w:rFonts w:hint="eastAsia" w:ascii="宋体" w:hAnsi="宋体" w:eastAsia="宋体" w:cs="宋体"/>
          <w:outline w:val="0"/>
          <w:color w:val="auto"/>
          <w:sz w:val="24"/>
          <w:szCs w:val="24"/>
          <w:u w:val="single" w:color="000000"/>
          <w:rtl w:val="0"/>
          <w:lang w:val="en-US" w:eastAsia="zh-CN"/>
        </w:rPr>
        <w:t>0519-85163005</w:t>
      </w:r>
      <w:r>
        <w:rPr>
          <w:rFonts w:hint="eastAsia" w:ascii="宋体" w:hAnsi="宋体" w:cs="宋体"/>
          <w:sz w:val="24"/>
          <w:u w:val="single"/>
          <w:lang w:val="en-US" w:eastAsia="zh-CN" w:bidi="ar"/>
        </w:rPr>
        <w:t xml:space="preserve"> </w:t>
      </w:r>
      <w:r>
        <w:rPr>
          <w:rFonts w:hint="eastAsia" w:ascii="宋体" w:hAnsi="宋体" w:eastAsia="宋体" w:cs="宋体"/>
          <w:color w:val="auto"/>
          <w:sz w:val="24"/>
          <w:highlight w:val="none"/>
          <w:u w:val="single"/>
          <w:lang w:val="en-US" w:eastAsia="zh-CN" w:bidi="ar"/>
        </w:rPr>
        <w:t xml:space="preserve"> </w:t>
      </w:r>
    </w:p>
    <w:p w14:paraId="788D1DDB">
      <w:pPr>
        <w:keepNext w:val="0"/>
        <w:keepLines w:val="0"/>
        <w:pageBreakBefore w:val="0"/>
        <w:widowControl/>
        <w:spacing w:line="360" w:lineRule="auto"/>
        <w:ind w:firstLine="482"/>
        <w:jc w:val="left"/>
        <w:outlineLvl w:val="9"/>
        <w:rPr>
          <w:rFonts w:hint="eastAsia" w:ascii="宋体" w:hAnsi="宋体" w:eastAsia="宋体" w:cs="宋体"/>
          <w:b/>
          <w:bCs/>
          <w:color w:val="auto"/>
          <w:sz w:val="24"/>
          <w:highlight w:val="none"/>
          <w:lang w:val="zh-TW" w:bidi="ar"/>
        </w:rPr>
      </w:pPr>
      <w:r>
        <w:rPr>
          <w:rFonts w:hint="eastAsia" w:ascii="宋体" w:hAnsi="宋体" w:eastAsia="宋体" w:cs="宋体"/>
          <w:b/>
          <w:bCs/>
          <w:color w:val="auto"/>
          <w:sz w:val="24"/>
          <w:highlight w:val="none"/>
          <w:lang w:val="zh-TW" w:bidi="ar"/>
        </w:rPr>
        <w:t>2.采购代理机构信息</w:t>
      </w:r>
    </w:p>
    <w:p w14:paraId="5669784F">
      <w:pPr>
        <w:keepNext w:val="0"/>
        <w:keepLines w:val="0"/>
        <w:pageBreakBefore w:val="0"/>
        <w:widowControl/>
        <w:spacing w:line="360" w:lineRule="auto"/>
        <w:ind w:firstLine="480"/>
        <w:jc w:val="left"/>
        <w:outlineLvl w:val="9"/>
        <w:rPr>
          <w:rFonts w:hint="eastAsia" w:ascii="宋体" w:hAnsi="宋体" w:eastAsia="宋体" w:cs="宋体"/>
          <w:color w:val="auto"/>
          <w:sz w:val="24"/>
          <w:highlight w:val="none"/>
          <w:lang w:val="zh-TW" w:bidi="ar"/>
        </w:rPr>
      </w:pPr>
      <w:r>
        <w:rPr>
          <w:rFonts w:hint="eastAsia" w:ascii="宋体" w:hAnsi="宋体" w:eastAsia="宋体" w:cs="宋体"/>
          <w:color w:val="auto"/>
          <w:sz w:val="24"/>
          <w:highlight w:val="none"/>
          <w:lang w:val="zh-TW" w:bidi="ar"/>
        </w:rPr>
        <w:t>名    称：</w:t>
      </w:r>
      <w:r>
        <w:rPr>
          <w:rFonts w:hint="eastAsia" w:ascii="宋体" w:hAnsi="宋体" w:eastAsia="宋体" w:cs="宋体"/>
          <w:color w:val="auto"/>
          <w:sz w:val="24"/>
          <w:highlight w:val="none"/>
          <w:u w:val="single"/>
          <w:lang w:val="zh-TW" w:bidi="ar"/>
        </w:rPr>
        <w:t xml:space="preserve"> </w:t>
      </w:r>
      <w:r>
        <w:rPr>
          <w:rFonts w:hint="eastAsia" w:ascii="宋体" w:hAnsi="宋体" w:eastAsia="宋体" w:cs="宋体"/>
          <w:color w:val="auto"/>
          <w:sz w:val="24"/>
          <w:highlight w:val="none"/>
          <w:u w:val="single"/>
          <w:lang w:val="en-US" w:eastAsia="zh-CN" w:bidi="ar"/>
        </w:rPr>
        <w:t xml:space="preserve"> </w:t>
      </w:r>
    </w:p>
    <w:p w14:paraId="44AC7C0A">
      <w:pPr>
        <w:keepNext w:val="0"/>
        <w:keepLines w:val="0"/>
        <w:pageBreakBefore w:val="0"/>
        <w:widowControl/>
        <w:spacing w:line="360" w:lineRule="auto"/>
        <w:ind w:firstLine="480"/>
        <w:jc w:val="left"/>
        <w:outlineLvl w:val="9"/>
        <w:rPr>
          <w:rFonts w:hint="eastAsia" w:ascii="宋体" w:hAnsi="宋体" w:eastAsia="宋体" w:cs="宋体"/>
          <w:color w:val="auto"/>
          <w:sz w:val="24"/>
          <w:highlight w:val="none"/>
          <w:lang w:val="zh-TW" w:bidi="ar"/>
        </w:rPr>
      </w:pPr>
      <w:r>
        <w:rPr>
          <w:rFonts w:hint="eastAsia" w:ascii="宋体" w:hAnsi="宋体" w:eastAsia="宋体" w:cs="宋体"/>
          <w:color w:val="auto"/>
          <w:sz w:val="24"/>
          <w:highlight w:val="none"/>
          <w:lang w:val="zh-TW" w:bidi="ar"/>
        </w:rPr>
        <w:t>地    址：</w:t>
      </w:r>
      <w:r>
        <w:rPr>
          <w:rFonts w:hint="eastAsia" w:ascii="宋体" w:hAnsi="宋体" w:eastAsia="宋体" w:cs="宋体"/>
          <w:color w:val="auto"/>
          <w:sz w:val="24"/>
          <w:highlight w:val="none"/>
          <w:u w:val="single"/>
          <w:lang w:val="zh-TW" w:bidi="ar"/>
        </w:rPr>
        <w:t xml:space="preserve"> </w:t>
      </w:r>
      <w:r>
        <w:rPr>
          <w:rFonts w:hint="eastAsia" w:ascii="宋体" w:hAnsi="宋体" w:eastAsia="宋体" w:cs="宋体"/>
          <w:color w:val="auto"/>
          <w:sz w:val="24"/>
          <w:highlight w:val="none"/>
          <w:u w:val="single"/>
          <w:lang w:val="en-US" w:eastAsia="zh-CN" w:bidi="ar"/>
        </w:rPr>
        <w:t xml:space="preserve"> </w:t>
      </w:r>
    </w:p>
    <w:p w14:paraId="2D44DA01">
      <w:pPr>
        <w:keepNext w:val="0"/>
        <w:keepLines w:val="0"/>
        <w:pageBreakBefore w:val="0"/>
        <w:widowControl/>
        <w:spacing w:line="360" w:lineRule="auto"/>
        <w:ind w:firstLine="480"/>
        <w:jc w:val="left"/>
        <w:outlineLvl w:val="9"/>
        <w:rPr>
          <w:rFonts w:hint="eastAsia" w:ascii="宋体" w:hAnsi="宋体" w:eastAsia="宋体" w:cs="宋体"/>
          <w:color w:val="auto"/>
          <w:sz w:val="24"/>
          <w:highlight w:val="none"/>
          <w:lang w:val="zh-TW" w:bidi="ar"/>
        </w:rPr>
      </w:pPr>
      <w:r>
        <w:rPr>
          <w:rFonts w:hint="eastAsia" w:ascii="宋体" w:hAnsi="宋体" w:eastAsia="宋体" w:cs="宋体"/>
          <w:color w:val="auto"/>
          <w:sz w:val="24"/>
          <w:highlight w:val="none"/>
          <w:lang w:val="zh-TW" w:bidi="ar"/>
        </w:rPr>
        <w:t>联系方式：</w:t>
      </w:r>
      <w:r>
        <w:rPr>
          <w:rFonts w:hint="eastAsia" w:ascii="宋体" w:hAnsi="宋体" w:eastAsia="宋体" w:cs="宋体"/>
          <w:color w:val="auto"/>
          <w:sz w:val="24"/>
          <w:highlight w:val="none"/>
          <w:u w:val="single"/>
          <w:lang w:val="zh-TW" w:bidi="ar"/>
        </w:rPr>
        <w:t xml:space="preserve"> </w:t>
      </w:r>
      <w:r>
        <w:rPr>
          <w:rFonts w:hint="eastAsia" w:ascii="宋体" w:hAnsi="宋体" w:eastAsia="宋体" w:cs="宋体"/>
          <w:color w:val="auto"/>
          <w:sz w:val="24"/>
          <w:highlight w:val="none"/>
          <w:u w:val="single"/>
          <w:lang w:val="en-US" w:eastAsia="zh-CN" w:bidi="ar"/>
        </w:rPr>
        <w:t xml:space="preserve"> </w:t>
      </w:r>
    </w:p>
    <w:p w14:paraId="37149A98">
      <w:pPr>
        <w:keepNext w:val="0"/>
        <w:keepLines w:val="0"/>
        <w:pageBreakBefore w:val="0"/>
        <w:widowControl/>
        <w:spacing w:line="360" w:lineRule="auto"/>
        <w:ind w:firstLine="482"/>
        <w:jc w:val="left"/>
        <w:outlineLvl w:val="9"/>
        <w:rPr>
          <w:rFonts w:hint="eastAsia" w:ascii="宋体" w:hAnsi="宋体" w:eastAsia="宋体" w:cs="宋体"/>
          <w:b/>
          <w:bCs/>
          <w:color w:val="auto"/>
          <w:sz w:val="24"/>
          <w:highlight w:val="none"/>
          <w:lang w:val="zh-TW" w:bidi="ar"/>
        </w:rPr>
      </w:pPr>
      <w:r>
        <w:rPr>
          <w:rFonts w:hint="eastAsia" w:ascii="宋体" w:hAnsi="宋体" w:eastAsia="宋体" w:cs="宋体"/>
          <w:b/>
          <w:bCs/>
          <w:color w:val="auto"/>
          <w:sz w:val="24"/>
          <w:highlight w:val="none"/>
          <w:lang w:val="zh-TW" w:bidi="ar"/>
        </w:rPr>
        <w:t>3.项目联系方式</w:t>
      </w:r>
    </w:p>
    <w:p w14:paraId="273A1820">
      <w:pPr>
        <w:keepNext w:val="0"/>
        <w:keepLines w:val="0"/>
        <w:pageBreakBefore w:val="0"/>
        <w:widowControl/>
        <w:spacing w:line="360" w:lineRule="auto"/>
        <w:ind w:firstLine="480"/>
        <w:jc w:val="left"/>
        <w:outlineLvl w:val="9"/>
        <w:rPr>
          <w:rFonts w:hint="eastAsia" w:ascii="宋体" w:hAnsi="宋体" w:eastAsia="宋体" w:cs="宋体"/>
          <w:color w:val="auto"/>
          <w:sz w:val="24"/>
          <w:highlight w:val="none"/>
          <w:lang w:val="zh-TW" w:bidi="ar"/>
        </w:rPr>
      </w:pPr>
      <w:r>
        <w:rPr>
          <w:rFonts w:hint="eastAsia" w:ascii="宋体" w:hAnsi="宋体" w:eastAsia="宋体" w:cs="宋体"/>
          <w:color w:val="auto"/>
          <w:sz w:val="24"/>
          <w:highlight w:val="none"/>
          <w:lang w:val="zh-TW" w:bidi="ar"/>
        </w:rPr>
        <w:t>项目联系人：</w:t>
      </w:r>
      <w:r>
        <w:rPr>
          <w:rFonts w:hint="eastAsia" w:ascii="宋体" w:hAnsi="宋体" w:eastAsia="宋体" w:cs="宋体"/>
          <w:color w:val="auto"/>
          <w:sz w:val="24"/>
          <w:highlight w:val="none"/>
          <w:u w:val="single"/>
          <w:lang w:val="zh-TW" w:bidi="ar"/>
        </w:rPr>
        <w:t xml:space="preserve"> </w:t>
      </w:r>
      <w:r>
        <w:rPr>
          <w:rFonts w:hint="eastAsia" w:ascii="宋体" w:hAnsi="宋体" w:eastAsia="宋体" w:cs="宋体"/>
          <w:color w:val="auto"/>
          <w:sz w:val="24"/>
          <w:highlight w:val="none"/>
          <w:u w:val="single"/>
          <w:lang w:val="en-US" w:eastAsia="zh-CN" w:bidi="ar"/>
        </w:rPr>
        <w:t xml:space="preserve"> </w:t>
      </w:r>
    </w:p>
    <w:p w14:paraId="74869882">
      <w:pPr>
        <w:keepNext w:val="0"/>
        <w:keepLines w:val="0"/>
        <w:pageBreakBefore w:val="0"/>
        <w:widowControl/>
        <w:spacing w:line="360" w:lineRule="auto"/>
        <w:ind w:firstLine="48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zh-TW" w:bidi="ar"/>
        </w:rPr>
        <w:t>电      话：</w:t>
      </w:r>
      <w:r>
        <w:rPr>
          <w:rFonts w:hint="eastAsia" w:ascii="宋体" w:hAnsi="宋体" w:eastAsia="宋体" w:cs="宋体"/>
          <w:color w:val="auto"/>
          <w:sz w:val="24"/>
          <w:highlight w:val="none"/>
          <w:u w:val="single"/>
          <w:lang w:val="zh-TW" w:bidi="ar"/>
        </w:rPr>
        <w:t xml:space="preserve"> </w:t>
      </w:r>
      <w:r>
        <w:rPr>
          <w:rFonts w:hint="eastAsia" w:ascii="宋体" w:hAnsi="宋体" w:eastAsia="宋体" w:cs="宋体"/>
          <w:color w:val="auto"/>
          <w:sz w:val="24"/>
          <w:highlight w:val="none"/>
          <w:u w:val="single"/>
          <w:lang w:val="en-US" w:eastAsia="zh-CN" w:bidi="ar"/>
        </w:rPr>
        <w:t xml:space="preserve"> </w:t>
      </w:r>
    </w:p>
    <w:p w14:paraId="3BFD3E6B">
      <w:pPr>
        <w:pStyle w:val="216"/>
        <w:outlineLvl w:val="9"/>
        <w:rPr>
          <w:rFonts w:hint="eastAsia"/>
          <w:color w:val="auto"/>
          <w:highlight w:val="none"/>
        </w:rPr>
        <w:sectPr>
          <w:footerReference r:id="rId9" w:type="first"/>
          <w:footerReference r:id="rId8" w:type="default"/>
          <w:pgSz w:w="11907" w:h="16840"/>
          <w:pgMar w:top="1418" w:right="1134" w:bottom="1418" w:left="1701" w:header="851" w:footer="851" w:gutter="0"/>
          <w:pgNumType w:fmt="decimal" w:start="1"/>
          <w:cols w:space="1701" w:num="1"/>
          <w:titlePg/>
          <w:docGrid w:linePitch="360" w:charSpace="0"/>
        </w:sectPr>
      </w:pPr>
    </w:p>
    <w:p w14:paraId="121BDF44">
      <w:pPr>
        <w:keepNext w:val="0"/>
        <w:keepLines w:val="0"/>
        <w:pageBreakBefore w:val="0"/>
        <w:spacing w:line="360" w:lineRule="auto"/>
        <w:jc w:val="center"/>
        <w:outlineLvl w:val="0"/>
        <w:rPr>
          <w:b/>
          <w:color w:val="auto"/>
          <w:sz w:val="36"/>
          <w:szCs w:val="36"/>
          <w:highlight w:val="none"/>
        </w:rPr>
      </w:pPr>
      <w:bookmarkStart w:id="30" w:name="_Toc353873938"/>
      <w:bookmarkStart w:id="31" w:name="_Toc265228423"/>
      <w:bookmarkStart w:id="32" w:name="_Toc353825548"/>
      <w:bookmarkStart w:id="33" w:name="_Toc305158928"/>
      <w:bookmarkStart w:id="34" w:name="_Toc104818926"/>
      <w:bookmarkStart w:id="35" w:name="_Toc226965856"/>
      <w:bookmarkStart w:id="36" w:name="_Toc305158854"/>
      <w:bookmarkStart w:id="37" w:name="_Toc2237"/>
      <w:bookmarkStart w:id="38" w:name="_Toc264969275"/>
      <w:bookmarkStart w:id="39" w:name="_Toc127151777"/>
      <w:bookmarkStart w:id="40" w:name="_Toc127161488"/>
      <w:bookmarkStart w:id="41" w:name="_Toc150774783"/>
      <w:bookmarkStart w:id="42" w:name="_Toc195842950"/>
      <w:bookmarkStart w:id="43" w:name="_Toc512937850"/>
      <w:r>
        <w:rPr>
          <w:b/>
          <w:color w:val="auto"/>
          <w:sz w:val="36"/>
          <w:szCs w:val="36"/>
          <w:highlight w:val="none"/>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1E260A5">
      <w:pPr>
        <w:keepNext w:val="0"/>
        <w:keepLines w:val="0"/>
        <w:pageBreakBefore w:val="0"/>
        <w:widowControl w:val="0"/>
        <w:spacing w:line="360" w:lineRule="auto"/>
        <w:jc w:val="center"/>
        <w:outlineLvl w:val="9"/>
        <w:rPr>
          <w:rFonts w:hint="eastAsia" w:ascii="宋体" w:hAnsi="宋体" w:eastAsia="宋体" w:cs="Times New Roman"/>
          <w:b/>
          <w:bCs/>
          <w:color w:val="auto"/>
          <w:sz w:val="28"/>
          <w:szCs w:val="28"/>
          <w:highlight w:val="none"/>
          <w:lang w:val="en-US" w:eastAsia="zh-CN"/>
        </w:rPr>
      </w:pPr>
      <w:bookmarkStart w:id="44" w:name="_Toc150774724"/>
      <w:bookmarkStart w:id="45" w:name="_Toc164229214"/>
      <w:bookmarkStart w:id="46" w:name="_Toc226965709"/>
      <w:bookmarkStart w:id="47" w:name="_Toc127151519"/>
      <w:bookmarkStart w:id="48" w:name="_Toc164351613"/>
      <w:bookmarkStart w:id="49" w:name="_Toc195842884"/>
      <w:bookmarkStart w:id="50" w:name="_Toc164608788"/>
      <w:bookmarkStart w:id="51" w:name="_Toc151193907"/>
      <w:bookmarkStart w:id="52" w:name="_Toc150774619"/>
      <w:bookmarkStart w:id="53" w:name="_Toc151193761"/>
      <w:bookmarkStart w:id="54" w:name="_Toc164229360"/>
      <w:bookmarkStart w:id="55" w:name="_Toc226337215"/>
      <w:bookmarkStart w:id="56" w:name="_Toc150509270"/>
      <w:bookmarkStart w:id="57" w:name="_Toc151193833"/>
      <w:bookmarkStart w:id="58" w:name="_Toc151193617"/>
      <w:bookmarkStart w:id="59" w:name="_Toc164608633"/>
      <w:bookmarkStart w:id="60" w:name="_Toc127151720"/>
      <w:bookmarkStart w:id="61" w:name="_Toc151193689"/>
      <w:bookmarkStart w:id="62" w:name="_Toc149720812"/>
      <w:bookmarkStart w:id="63" w:name="_Toc520356144"/>
      <w:bookmarkStart w:id="64" w:name="_Toc127161433"/>
      <w:bookmarkStart w:id="65" w:name="_Toc226965792"/>
      <w:bookmarkStart w:id="66" w:name="_Toc142311021"/>
      <w:bookmarkStart w:id="67" w:name="_Toc226309763"/>
      <w:bookmarkStart w:id="68" w:name="_Toc151190146"/>
      <w:bookmarkStart w:id="69" w:name="_Toc150480757"/>
      <w:r>
        <w:rPr>
          <w:rFonts w:hint="eastAsia" w:ascii="宋体" w:hAnsi="宋体" w:eastAsia="宋体" w:cs="Times New Roman"/>
          <w:b/>
          <w:bCs/>
          <w:color w:val="auto"/>
          <w:sz w:val="28"/>
          <w:szCs w:val="28"/>
          <w:highlight w:val="none"/>
          <w:lang w:val="en-US" w:eastAsia="zh-CN"/>
        </w:rPr>
        <w:t>供应商须知资料表</w:t>
      </w:r>
    </w:p>
    <w:p w14:paraId="0781F79C">
      <w:pPr>
        <w:jc w:val="center"/>
        <w:outlineLvl w:val="9"/>
        <w:rPr>
          <w:b/>
          <w:color w:val="auto"/>
          <w:sz w:val="28"/>
          <w:szCs w:val="28"/>
          <w:highlight w:val="none"/>
        </w:rPr>
      </w:pPr>
    </w:p>
    <w:p w14:paraId="6D8647DE">
      <w:pPr>
        <w:keepNext w:val="0"/>
        <w:keepLines w:val="0"/>
        <w:pageBreakBefore w:val="0"/>
        <w:widowControl/>
        <w:spacing w:line="360" w:lineRule="auto"/>
        <w:ind w:firstLine="480"/>
        <w:jc w:val="left"/>
        <w:outlineLvl w:val="9"/>
        <w:rPr>
          <w:rFonts w:hint="eastAsia" w:ascii="宋体" w:hAnsi="宋体" w:eastAsia="宋体" w:cs="宋体"/>
          <w:color w:val="auto"/>
          <w:sz w:val="24"/>
          <w:highlight w:val="none"/>
          <w:lang w:val="zh-TW" w:bidi="ar"/>
        </w:rPr>
      </w:pPr>
      <w:r>
        <w:rPr>
          <w:rFonts w:hint="eastAsia" w:ascii="宋体" w:hAnsi="宋体" w:eastAsia="宋体" w:cs="宋体"/>
          <w:color w:val="auto"/>
          <w:sz w:val="24"/>
          <w:highlight w:val="none"/>
          <w:lang w:val="zh-TW" w:bidi="ar"/>
        </w:rPr>
        <w:t>本表是对供应商须知的具体补充和修改，如有矛盾，均以本资料表为准。标记“■”的选项意为适用于本项目，标记“□”的选项意为不适用于本项目。</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1701"/>
        <w:gridCol w:w="7253"/>
      </w:tblGrid>
      <w:tr w14:paraId="029B8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10AF8BD4">
            <w:pPr>
              <w:jc w:val="center"/>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条款号</w:t>
            </w:r>
          </w:p>
        </w:tc>
        <w:tc>
          <w:tcPr>
            <w:tcW w:w="1701" w:type="dxa"/>
            <w:noWrap w:val="0"/>
            <w:vAlign w:val="center"/>
          </w:tcPr>
          <w:p w14:paraId="2C0018CF">
            <w:pPr>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条目</w:t>
            </w:r>
          </w:p>
        </w:tc>
        <w:tc>
          <w:tcPr>
            <w:tcW w:w="7253" w:type="dxa"/>
            <w:noWrap w:val="0"/>
            <w:vAlign w:val="center"/>
          </w:tcPr>
          <w:p w14:paraId="4ABAF41D">
            <w:pPr>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r>
      <w:tr w14:paraId="600E6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F4CE7AD">
            <w:pPr>
              <w:pStyle w:val="23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701" w:type="dxa"/>
            <w:noWrap w:val="0"/>
            <w:vAlign w:val="center"/>
          </w:tcPr>
          <w:p w14:paraId="57FD6B4D">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项目属性</w:t>
            </w:r>
          </w:p>
        </w:tc>
        <w:tc>
          <w:tcPr>
            <w:tcW w:w="7253" w:type="dxa"/>
            <w:noWrap w:val="0"/>
            <w:vAlign w:val="center"/>
          </w:tcPr>
          <w:p w14:paraId="2EB483CB">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项目属性：</w:t>
            </w:r>
          </w:p>
          <w:p w14:paraId="7632E3E2">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1C70B57F">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w:t>
            </w:r>
          </w:p>
          <w:p w14:paraId="1FDBA2D3">
            <w:pPr>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w:t>
            </w:r>
          </w:p>
        </w:tc>
      </w:tr>
      <w:tr w14:paraId="5385E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618F5399">
            <w:pPr>
              <w:pStyle w:val="23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701" w:type="dxa"/>
            <w:noWrap w:val="0"/>
            <w:vAlign w:val="center"/>
          </w:tcPr>
          <w:p w14:paraId="5A23B598">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w:t>
            </w:r>
          </w:p>
        </w:tc>
        <w:tc>
          <w:tcPr>
            <w:tcW w:w="7253" w:type="dxa"/>
            <w:noWrap w:val="0"/>
            <w:vAlign w:val="center"/>
          </w:tcPr>
          <w:p w14:paraId="65345D72">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p w14:paraId="5A00A427">
            <w:pPr>
              <w:jc w:val="left"/>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□组织，考察时间：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bidi="ar"/>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bidi="ar"/>
              </w:rPr>
              <w:t>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bidi="ar"/>
              </w:rPr>
              <w:t>分</w:t>
            </w:r>
          </w:p>
          <w:p w14:paraId="58C442B4">
            <w:pPr>
              <w:pStyle w:val="23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考察地点：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tc>
      </w:tr>
      <w:tr w14:paraId="56694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5D125F38">
            <w:pPr>
              <w:pStyle w:val="230"/>
              <w:jc w:val="center"/>
              <w:outlineLvl w:val="9"/>
              <w:rPr>
                <w:rFonts w:hint="eastAsia" w:ascii="宋体" w:hAnsi="宋体" w:eastAsia="宋体" w:cs="宋体"/>
                <w:color w:val="auto"/>
                <w:sz w:val="24"/>
                <w:szCs w:val="24"/>
                <w:highlight w:val="none"/>
              </w:rPr>
            </w:pPr>
          </w:p>
        </w:tc>
        <w:tc>
          <w:tcPr>
            <w:tcW w:w="1701" w:type="dxa"/>
            <w:noWrap w:val="0"/>
            <w:vAlign w:val="center"/>
          </w:tcPr>
          <w:p w14:paraId="1966D2A2">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磋商前答疑会</w:t>
            </w:r>
          </w:p>
        </w:tc>
        <w:tc>
          <w:tcPr>
            <w:tcW w:w="7253" w:type="dxa"/>
            <w:noWrap w:val="0"/>
            <w:vAlign w:val="center"/>
          </w:tcPr>
          <w:p w14:paraId="32D547E4">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w:t>
            </w:r>
          </w:p>
          <w:p w14:paraId="183C34A8">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□召开，召开时间：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bidi="ar"/>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bidi="ar"/>
              </w:rPr>
              <w:t>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bidi="ar"/>
              </w:rPr>
              <w:t>分</w:t>
            </w:r>
          </w:p>
          <w:p w14:paraId="7F59BD3C">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召开地点：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tc>
      </w:tr>
      <w:tr w14:paraId="3092A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988" w:type="dxa"/>
            <w:noWrap w:val="0"/>
            <w:vAlign w:val="center"/>
          </w:tcPr>
          <w:p w14:paraId="2A56ABBA">
            <w:pPr>
              <w:pStyle w:val="23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4.2.5</w:t>
            </w:r>
          </w:p>
        </w:tc>
        <w:tc>
          <w:tcPr>
            <w:tcW w:w="1701" w:type="dxa"/>
            <w:noWrap w:val="0"/>
            <w:vAlign w:val="center"/>
          </w:tcPr>
          <w:p w14:paraId="66032121">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标的所属行业</w:t>
            </w:r>
          </w:p>
        </w:tc>
        <w:tc>
          <w:tcPr>
            <w:tcW w:w="7253" w:type="dxa"/>
            <w:noWrap w:val="0"/>
            <w:vAlign w:val="center"/>
          </w:tcPr>
          <w:p w14:paraId="49CCC151">
            <w:pPr>
              <w:jc w:val="left"/>
              <w:outlineLvl w:val="9"/>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本项目采购标的对应的中小企业划分标准所属行业：</w:t>
            </w:r>
            <w:r>
              <w:rPr>
                <w:rFonts w:hint="eastAsia" w:ascii="宋体" w:hAnsi="宋体" w:eastAsia="宋体" w:cs="宋体"/>
                <w:color w:val="auto"/>
                <w:sz w:val="24"/>
                <w:szCs w:val="24"/>
                <w:highlight w:val="none"/>
                <w:u w:val="single"/>
                <w:lang w:val="en-US" w:eastAsia="zh-CN"/>
              </w:rPr>
              <w:t xml:space="preserve"> 其他未列明行业 </w:t>
            </w:r>
          </w:p>
        </w:tc>
      </w:tr>
      <w:tr w14:paraId="34D47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988" w:type="dxa"/>
            <w:noWrap w:val="0"/>
            <w:vAlign w:val="center"/>
          </w:tcPr>
          <w:p w14:paraId="58BC5784">
            <w:pPr>
              <w:pStyle w:val="23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p>
        </w:tc>
        <w:tc>
          <w:tcPr>
            <w:tcW w:w="1701" w:type="dxa"/>
            <w:noWrap w:val="0"/>
            <w:vAlign w:val="center"/>
          </w:tcPr>
          <w:p w14:paraId="7A929987">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7253" w:type="dxa"/>
            <w:noWrap w:val="0"/>
            <w:vAlign w:val="center"/>
          </w:tcPr>
          <w:p w14:paraId="770F55CD">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报价的特殊规定：</w:t>
            </w:r>
          </w:p>
          <w:p w14:paraId="251505B3">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14:paraId="5AFF5584">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□有，具体情形：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tc>
      </w:tr>
      <w:tr w14:paraId="2FA63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82C2F8C">
            <w:pPr>
              <w:pStyle w:val="23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1701" w:type="dxa"/>
            <w:noWrap w:val="0"/>
            <w:vAlign w:val="center"/>
          </w:tcPr>
          <w:p w14:paraId="2555DA2F">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7253" w:type="dxa"/>
            <w:noWrap w:val="0"/>
            <w:vAlign w:val="center"/>
          </w:tcPr>
          <w:p w14:paraId="2E108928">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免收</w:t>
            </w:r>
          </w:p>
        </w:tc>
      </w:tr>
      <w:tr w14:paraId="388D1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FE71178">
            <w:pPr>
              <w:pStyle w:val="23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1701" w:type="dxa"/>
            <w:noWrap w:val="0"/>
            <w:vAlign w:val="center"/>
          </w:tcPr>
          <w:p w14:paraId="1B67FD8E">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响应有效期</w:t>
            </w:r>
          </w:p>
        </w:tc>
        <w:tc>
          <w:tcPr>
            <w:tcW w:w="7253" w:type="dxa"/>
            <w:noWrap w:val="0"/>
            <w:vAlign w:val="center"/>
          </w:tcPr>
          <w:p w14:paraId="34ACD3DB">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自提交响应文件的截止之日起算</w:t>
            </w:r>
            <w:r>
              <w:rPr>
                <w:rFonts w:hint="eastAsia" w:ascii="宋体" w:hAnsi="宋体" w:eastAsia="宋体" w:cs="宋体"/>
                <w:color w:val="auto"/>
                <w:sz w:val="24"/>
                <w:szCs w:val="24"/>
                <w:highlight w:val="none"/>
                <w:u w:val="single"/>
                <w:lang w:val="en-US" w:eastAsia="zh-CN"/>
              </w:rPr>
              <w:t xml:space="preserve"> 60 </w:t>
            </w:r>
            <w:r>
              <w:rPr>
                <w:rFonts w:hint="eastAsia" w:ascii="宋体" w:hAnsi="宋体" w:eastAsia="宋体" w:cs="宋体"/>
                <w:color w:val="auto"/>
                <w:sz w:val="24"/>
                <w:szCs w:val="24"/>
                <w:highlight w:val="none"/>
              </w:rPr>
              <w:t>日历天。</w:t>
            </w:r>
          </w:p>
        </w:tc>
      </w:tr>
      <w:tr w14:paraId="12F3B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0" w:hRule="atLeast"/>
          <w:jc w:val="center"/>
        </w:trPr>
        <w:tc>
          <w:tcPr>
            <w:tcW w:w="988" w:type="dxa"/>
            <w:noWrap w:val="0"/>
            <w:vAlign w:val="center"/>
          </w:tcPr>
          <w:p w14:paraId="5C861323">
            <w:pPr>
              <w:pStyle w:val="23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w:t>
            </w:r>
          </w:p>
        </w:tc>
        <w:tc>
          <w:tcPr>
            <w:tcW w:w="1701" w:type="dxa"/>
            <w:noWrap w:val="0"/>
            <w:vAlign w:val="center"/>
          </w:tcPr>
          <w:p w14:paraId="41DAC0A5">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7253" w:type="dxa"/>
            <w:noWrap w:val="0"/>
            <w:vAlign w:val="center"/>
          </w:tcPr>
          <w:p w14:paraId="5CC7AD9F">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本项目是否允许分包： </w:t>
            </w:r>
          </w:p>
          <w:p w14:paraId="4D61E1BF">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p w14:paraId="01104351">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■允许，具体要求：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劳务外包、一体化平台分包、餐饮油烟设备  </w:t>
            </w:r>
            <w:r>
              <w:rPr>
                <w:rFonts w:hint="eastAsia" w:ascii="宋体" w:hAnsi="宋体" w:eastAsia="宋体" w:cs="宋体"/>
                <w:color w:val="auto"/>
                <w:sz w:val="24"/>
                <w:szCs w:val="24"/>
                <w:highlight w:val="none"/>
              </w:rPr>
              <w:t>。</w:t>
            </w:r>
          </w:p>
          <w:p w14:paraId="2BA3EA53">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（1）可以分包履行的具体内容：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p w14:paraId="4439DA9B">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（2）允许分包的金额或者比例：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48%</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6714A4C8">
            <w:pPr>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（3）其他要求：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tc>
      </w:tr>
      <w:tr w14:paraId="1DAC5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29712C9">
            <w:pPr>
              <w:pStyle w:val="23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24.1.1</w:t>
            </w:r>
          </w:p>
        </w:tc>
        <w:tc>
          <w:tcPr>
            <w:tcW w:w="1701" w:type="dxa"/>
            <w:noWrap w:val="0"/>
            <w:vAlign w:val="center"/>
          </w:tcPr>
          <w:p w14:paraId="4A8BAA4F">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w:t>
            </w:r>
          </w:p>
        </w:tc>
        <w:tc>
          <w:tcPr>
            <w:tcW w:w="7253" w:type="dxa"/>
            <w:noWrap w:val="0"/>
            <w:vAlign w:val="center"/>
          </w:tcPr>
          <w:p w14:paraId="6DD7D268">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询问送达形式：</w:t>
            </w:r>
            <w:r>
              <w:rPr>
                <w:rFonts w:hint="eastAsia" w:ascii="宋体" w:hAnsi="宋体" w:eastAsia="宋体" w:cs="宋体"/>
                <w:color w:val="auto"/>
                <w:sz w:val="24"/>
                <w:szCs w:val="24"/>
                <w:highlight w:val="none"/>
                <w:u w:val="single"/>
                <w:lang w:val="en-US" w:eastAsia="zh-CN"/>
              </w:rPr>
              <w:t xml:space="preserve"> 于202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日11:00（北京时间）前以书面形式递交至</w:t>
            </w:r>
            <w:r>
              <w:rPr>
                <w:rFonts w:hint="eastAsia" w:ascii="宋体" w:hAnsi="宋体" w:eastAsia="宋体" w:cs="宋体"/>
                <w:color w:val="auto"/>
                <w:sz w:val="24"/>
                <w:szCs w:val="24"/>
                <w:highlight w:val="none"/>
              </w:rPr>
              <w:t>。</w:t>
            </w:r>
          </w:p>
        </w:tc>
      </w:tr>
      <w:tr w14:paraId="1F136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6D5F6E3">
            <w:pPr>
              <w:pStyle w:val="23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w:t>
            </w:r>
          </w:p>
        </w:tc>
        <w:tc>
          <w:tcPr>
            <w:tcW w:w="1701" w:type="dxa"/>
            <w:noWrap w:val="0"/>
            <w:vAlign w:val="center"/>
          </w:tcPr>
          <w:p w14:paraId="2E60720A">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7253" w:type="dxa"/>
            <w:noWrap w:val="0"/>
            <w:vAlign w:val="center"/>
          </w:tcPr>
          <w:p w14:paraId="66BB3639">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接收询问和质疑的联系方式</w:t>
            </w:r>
          </w:p>
          <w:p w14:paraId="35E2BA9E">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联系部门：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67FCBB0">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C530777">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u w:val="single"/>
              </w:rPr>
              <w:t xml:space="preserve"> </w:t>
            </w:r>
          </w:p>
        </w:tc>
      </w:tr>
      <w:tr w14:paraId="575AB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372BF88">
            <w:pPr>
              <w:pStyle w:val="23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701" w:type="dxa"/>
            <w:noWrap w:val="0"/>
            <w:vAlign w:val="center"/>
          </w:tcPr>
          <w:p w14:paraId="1CAA8C22">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w:t>
            </w:r>
          </w:p>
        </w:tc>
        <w:tc>
          <w:tcPr>
            <w:tcW w:w="7253" w:type="dxa"/>
            <w:noWrap w:val="0"/>
            <w:vAlign w:val="center"/>
          </w:tcPr>
          <w:p w14:paraId="2C7CE756">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收费对象：</w:t>
            </w:r>
          </w:p>
          <w:p w14:paraId="0305FD9F">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p w14:paraId="704DC4C5">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w:t>
            </w:r>
          </w:p>
          <w:p w14:paraId="777F53B7">
            <w:pPr>
              <w:jc w:val="left"/>
              <w:outlineLvl w:val="9"/>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收费标准：</w:t>
            </w:r>
            <w:r>
              <w:rPr>
                <w:rFonts w:hint="eastAsia" w:ascii="宋体" w:hAnsi="宋体" w:eastAsia="宋体" w:cs="宋体"/>
                <w:color w:val="auto"/>
                <w:sz w:val="24"/>
                <w:szCs w:val="24"/>
                <w:highlight w:val="none"/>
                <w:u w:val="single"/>
              </w:rPr>
              <w:t xml:space="preserve"> 收费比例按差额定率分档累进法计算，收费差额费率：成交金额在100万元(含)以下的为1.5%，成交金额在100万元（不含）至500万元（含）的为0.8%</w:t>
            </w:r>
            <w:r>
              <w:rPr>
                <w:rFonts w:hint="eastAsia" w:ascii="宋体" w:hAnsi="宋体" w:eastAsia="宋体" w:cs="宋体"/>
                <w:color w:val="auto"/>
                <w:sz w:val="24"/>
                <w:szCs w:val="24"/>
                <w:highlight w:val="none"/>
                <w:u w:val="single"/>
                <w:shd w:val="clear" w:color="auto" w:fill="auto"/>
              </w:rPr>
              <w:t>，</w:t>
            </w:r>
            <w:r>
              <w:rPr>
                <w:rFonts w:hint="eastAsia" w:ascii="宋体" w:hAnsi="宋体" w:eastAsia="宋体" w:cs="宋体"/>
                <w:color w:val="auto"/>
                <w:sz w:val="24"/>
                <w:szCs w:val="24"/>
                <w:highlight w:val="none"/>
                <w:u w:val="single"/>
                <w:shd w:val="clear" w:color="auto" w:fill="auto"/>
                <w:lang w:val="en-US" w:eastAsia="zh-CN"/>
              </w:rPr>
              <w:t>成交</w:t>
            </w:r>
            <w:r>
              <w:rPr>
                <w:rFonts w:hint="eastAsia" w:ascii="宋体" w:hAnsi="宋体" w:eastAsia="宋体" w:cs="宋体"/>
                <w:color w:val="auto"/>
                <w:sz w:val="24"/>
                <w:szCs w:val="24"/>
                <w:highlight w:val="none"/>
                <w:u w:val="single"/>
                <w:shd w:val="clear" w:color="auto" w:fill="auto"/>
              </w:rPr>
              <w:t>服务收费按上述计算方法</w:t>
            </w:r>
            <w:r>
              <w:rPr>
                <w:rFonts w:hint="eastAsia" w:ascii="宋体" w:hAnsi="宋体" w:eastAsia="宋体" w:cs="宋体"/>
                <w:color w:val="auto"/>
                <w:sz w:val="24"/>
                <w:szCs w:val="24"/>
                <w:highlight w:val="none"/>
                <w:u w:val="single"/>
                <w:shd w:val="clear" w:color="auto" w:fill="auto"/>
                <w:lang w:val="en-US" w:eastAsia="zh-CN"/>
              </w:rPr>
              <w:t>收取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p>
          <w:p w14:paraId="617C2E82">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缴纳时间：</w:t>
            </w:r>
            <w:r>
              <w:rPr>
                <w:rFonts w:hint="eastAsia" w:ascii="宋体" w:hAnsi="宋体" w:eastAsia="宋体" w:cs="宋体"/>
                <w:color w:val="auto"/>
                <w:sz w:val="24"/>
                <w:szCs w:val="24"/>
                <w:highlight w:val="none"/>
                <w:u w:val="single"/>
              </w:rPr>
              <w:t xml:space="preserve"> 成交供应商应在领取成交通知书时将成交服务费付至采购代理机构的</w:t>
            </w:r>
            <w:r>
              <w:rPr>
                <w:rFonts w:hint="eastAsia" w:ascii="宋体" w:hAnsi="宋体" w:eastAsia="宋体" w:cs="宋体"/>
                <w:color w:val="auto"/>
                <w:sz w:val="24"/>
                <w:szCs w:val="24"/>
                <w:highlight w:val="none"/>
                <w:u w:val="single"/>
                <w:lang w:eastAsia="zh-CN"/>
              </w:rPr>
              <w:t>账</w:t>
            </w:r>
            <w:r>
              <w:rPr>
                <w:rFonts w:hint="eastAsia" w:ascii="宋体" w:hAnsi="宋体" w:eastAsia="宋体" w:cs="宋体"/>
                <w:color w:val="auto"/>
                <w:sz w:val="24"/>
                <w:szCs w:val="24"/>
                <w:highlight w:val="none"/>
                <w:u w:val="single"/>
              </w:rPr>
              <w:t xml:space="preserve">户并备注项目编号 </w:t>
            </w:r>
            <w:r>
              <w:rPr>
                <w:rFonts w:hint="eastAsia" w:ascii="宋体" w:hAnsi="宋体" w:eastAsia="宋体" w:cs="宋体"/>
                <w:color w:val="auto"/>
                <w:sz w:val="24"/>
                <w:szCs w:val="24"/>
                <w:highlight w:val="none"/>
              </w:rPr>
              <w:t>。</w:t>
            </w:r>
          </w:p>
          <w:p w14:paraId="6BD92405">
            <w:pPr>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收款单位：</w:t>
            </w:r>
          </w:p>
          <w:p w14:paraId="3213F8A5">
            <w:pPr>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银行账号：</w:t>
            </w:r>
          </w:p>
          <w:p w14:paraId="06985261">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开户银行：</w:t>
            </w:r>
          </w:p>
        </w:tc>
      </w:tr>
      <w:tr w14:paraId="447FF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ACD06EE">
            <w:pPr>
              <w:pStyle w:val="341"/>
              <w:jc w:val="center"/>
              <w:rPr>
                <w:rFonts w:hint="eastAsia" w:ascii="宋体" w:hAnsi="宋体" w:eastAsia="宋体" w:cs="宋体"/>
                <w:color w:val="auto"/>
                <w:sz w:val="24"/>
                <w:szCs w:val="24"/>
                <w:highlight w:val="none"/>
              </w:rPr>
            </w:pPr>
            <w:r>
              <w:rPr>
                <w:color w:val="auto"/>
                <w:sz w:val="24"/>
                <w:szCs w:val="24"/>
                <w:rtl w:val="0"/>
                <w:lang w:val="en-US"/>
              </w:rPr>
              <w:t>26</w:t>
            </w:r>
          </w:p>
        </w:tc>
        <w:tc>
          <w:tcPr>
            <w:tcW w:w="1701" w:type="dxa"/>
            <w:noWrap w:val="0"/>
            <w:vAlign w:val="center"/>
          </w:tcPr>
          <w:p w14:paraId="147F47CD">
            <w:pPr>
              <w:pStyle w:val="350"/>
              <w:jc w:val="center"/>
              <w:rPr>
                <w:rFonts w:hint="eastAsia" w:ascii="宋体" w:hAnsi="宋体" w:eastAsia="宋体" w:cs="宋体"/>
                <w:color w:val="auto"/>
                <w:sz w:val="24"/>
                <w:szCs w:val="24"/>
                <w:highlight w:val="none"/>
              </w:rPr>
            </w:pPr>
            <w:r>
              <w:rPr>
                <w:rFonts w:ascii="宋体" w:hAnsi="宋体" w:eastAsia="宋体" w:cs="宋体"/>
                <w:color w:val="auto"/>
                <w:sz w:val="24"/>
                <w:szCs w:val="24"/>
                <w:rtl w:val="0"/>
                <w:lang w:val="zh-TW" w:eastAsia="zh-TW"/>
              </w:rPr>
              <w:t>电子系统意外情况处理条款</w:t>
            </w:r>
          </w:p>
        </w:tc>
        <w:tc>
          <w:tcPr>
            <w:tcW w:w="7253" w:type="dxa"/>
            <w:noWrap w:val="0"/>
            <w:vAlign w:val="center"/>
          </w:tcPr>
          <w:p w14:paraId="4DBB7ABC">
            <w:pPr>
              <w:pStyle w:val="350"/>
              <w:jc w:val="left"/>
              <w:rPr>
                <w:rFonts w:ascii="宋体" w:hAnsi="宋体" w:eastAsia="宋体" w:cs="宋体"/>
                <w:color w:val="auto"/>
                <w:sz w:val="24"/>
                <w:szCs w:val="24"/>
              </w:rPr>
            </w:pPr>
            <w:r>
              <w:rPr>
                <w:rFonts w:ascii="宋体" w:hAnsi="宋体" w:eastAsia="宋体" w:cs="宋体"/>
                <w:color w:val="auto"/>
                <w:sz w:val="24"/>
                <w:szCs w:val="24"/>
                <w:rtl w:val="0"/>
                <w:lang w:val="zh-TW" w:eastAsia="zh-TW"/>
              </w:rPr>
              <w:t>为确保本项目电子化采购活动顺利进行，防范化解采购风险，特制定相关情形处置举措。所有潜在投标人及参与各方均应知悉并遵守以下规定：</w:t>
            </w:r>
          </w:p>
          <w:p w14:paraId="77DB7F0C">
            <w:pPr>
              <w:pStyle w:val="350"/>
              <w:bidi w:val="0"/>
              <w:ind w:left="0" w:right="0" w:firstLine="0"/>
              <w:jc w:val="left"/>
              <w:rPr>
                <w:rFonts w:ascii="宋体" w:hAnsi="宋体" w:eastAsia="宋体" w:cs="宋体"/>
                <w:color w:val="auto"/>
                <w:sz w:val="24"/>
                <w:szCs w:val="24"/>
                <w:rtl w:val="0"/>
              </w:rPr>
            </w:pPr>
            <w:r>
              <w:rPr>
                <w:rFonts w:ascii="宋体" w:hAnsi="宋体" w:eastAsia="宋体" w:cs="宋体"/>
                <w:color w:val="auto"/>
                <w:sz w:val="24"/>
                <w:szCs w:val="24"/>
                <w:rtl w:val="0"/>
                <w:lang w:val="en-US"/>
              </w:rPr>
              <w:t>1.</w:t>
            </w:r>
            <w:r>
              <w:rPr>
                <w:rFonts w:ascii="宋体" w:hAnsi="宋体" w:eastAsia="宋体" w:cs="宋体"/>
                <w:color w:val="auto"/>
                <w:sz w:val="24"/>
                <w:szCs w:val="24"/>
                <w:rtl w:val="0"/>
                <w:lang w:val="zh-TW" w:eastAsia="zh-TW"/>
              </w:rPr>
              <w:t>意外情况定义：本条款所称</w:t>
            </w:r>
            <w:r>
              <w:rPr>
                <w:rFonts w:ascii="宋体" w:hAnsi="宋体" w:eastAsia="宋体" w:cs="宋体"/>
                <w:color w:val="auto"/>
                <w:sz w:val="24"/>
                <w:szCs w:val="24"/>
                <w:rtl w:val="0"/>
                <w:lang w:val="en-US"/>
              </w:rPr>
              <w:t>“</w:t>
            </w:r>
            <w:r>
              <w:rPr>
                <w:rFonts w:ascii="宋体" w:hAnsi="宋体" w:eastAsia="宋体" w:cs="宋体"/>
                <w:color w:val="auto"/>
                <w:sz w:val="24"/>
                <w:szCs w:val="24"/>
                <w:rtl w:val="0"/>
                <w:lang w:val="zh-TW" w:eastAsia="zh-TW"/>
              </w:rPr>
              <w:t>电子交易系统无法访问等意外情况</w:t>
            </w:r>
            <w:r>
              <w:rPr>
                <w:rFonts w:ascii="宋体" w:hAnsi="宋体" w:eastAsia="宋体" w:cs="宋体"/>
                <w:color w:val="auto"/>
                <w:sz w:val="24"/>
                <w:szCs w:val="24"/>
                <w:rtl w:val="0"/>
                <w:lang w:val="en-US"/>
              </w:rPr>
              <w:t>”</w:t>
            </w:r>
            <w:r>
              <w:rPr>
                <w:rFonts w:ascii="宋体" w:hAnsi="宋体" w:eastAsia="宋体" w:cs="宋体"/>
                <w:color w:val="auto"/>
                <w:sz w:val="24"/>
                <w:szCs w:val="24"/>
                <w:rtl w:val="0"/>
                <w:lang w:val="zh-TW" w:eastAsia="zh-TW"/>
              </w:rPr>
              <w:t>，是指在政府采购电子交易平台使用过程中，出现包括但不限于网络中断、服务器故障、应用软件或数据库错误等情形，导致采购活动无法正常进行。</w:t>
            </w:r>
          </w:p>
          <w:p w14:paraId="07FFCC9B">
            <w:pPr>
              <w:pStyle w:val="350"/>
              <w:bidi w:val="0"/>
              <w:ind w:left="0" w:right="0" w:firstLine="0"/>
              <w:jc w:val="left"/>
              <w:rPr>
                <w:rFonts w:ascii="宋体" w:hAnsi="宋体" w:eastAsia="宋体" w:cs="宋体"/>
                <w:color w:val="auto"/>
                <w:sz w:val="24"/>
                <w:szCs w:val="24"/>
                <w:rtl w:val="0"/>
              </w:rPr>
            </w:pPr>
            <w:r>
              <w:rPr>
                <w:rFonts w:ascii="宋体" w:hAnsi="宋体" w:eastAsia="宋体" w:cs="宋体"/>
                <w:color w:val="auto"/>
                <w:sz w:val="24"/>
                <w:szCs w:val="24"/>
                <w:rtl w:val="0"/>
                <w:lang w:val="en-US"/>
              </w:rPr>
              <w:t>2.</w:t>
            </w:r>
            <w:r>
              <w:rPr>
                <w:rFonts w:ascii="宋体" w:hAnsi="宋体" w:eastAsia="宋体" w:cs="宋体"/>
                <w:color w:val="auto"/>
                <w:sz w:val="24"/>
                <w:szCs w:val="24"/>
                <w:rtl w:val="0"/>
                <w:lang w:val="zh-TW" w:eastAsia="zh-TW"/>
              </w:rPr>
              <w:t>开标前环节故障处置：在供应商报名、投标（响应）文件上传、投标（响应）文件解密及唱标环节等开标活动开始前的任何环节出现系统无法访问的情形，采购代理机构将按照以下原则处置：</w:t>
            </w:r>
          </w:p>
          <w:p w14:paraId="12E1B31B">
            <w:pPr>
              <w:pStyle w:val="350"/>
              <w:bidi w:val="0"/>
              <w:ind w:left="0" w:right="0" w:firstLine="0"/>
              <w:jc w:val="left"/>
              <w:rPr>
                <w:rFonts w:ascii="宋体" w:hAnsi="宋体" w:eastAsia="宋体" w:cs="宋体"/>
                <w:color w:val="auto"/>
                <w:sz w:val="24"/>
                <w:szCs w:val="24"/>
                <w:rtl w:val="0"/>
              </w:rPr>
            </w:pPr>
            <w:r>
              <w:rPr>
                <w:rFonts w:ascii="宋体" w:hAnsi="宋体" w:eastAsia="宋体" w:cs="宋体"/>
                <w:color w:val="auto"/>
                <w:sz w:val="24"/>
                <w:szCs w:val="24"/>
                <w:rtl w:val="0"/>
                <w:lang w:val="zh-TW" w:eastAsia="zh-TW"/>
              </w:rPr>
              <w:t>（一）若故障可在短时间内排除，采购代理机构将等待系统修复后，继续开展采购活动。</w:t>
            </w:r>
          </w:p>
          <w:p w14:paraId="5B88885C">
            <w:pPr>
              <w:pStyle w:val="350"/>
              <w:bidi w:val="0"/>
              <w:ind w:left="0" w:right="0" w:firstLine="0"/>
              <w:jc w:val="left"/>
              <w:rPr>
                <w:rFonts w:ascii="宋体" w:hAnsi="宋体" w:eastAsia="宋体" w:cs="宋体"/>
                <w:color w:val="auto"/>
                <w:sz w:val="24"/>
                <w:szCs w:val="24"/>
                <w:rtl w:val="0"/>
              </w:rPr>
            </w:pPr>
            <w:r>
              <w:rPr>
                <w:rFonts w:ascii="宋体" w:hAnsi="宋体" w:eastAsia="宋体" w:cs="宋体"/>
                <w:color w:val="auto"/>
                <w:sz w:val="24"/>
                <w:szCs w:val="24"/>
                <w:rtl w:val="0"/>
                <w:lang w:val="zh-TW" w:eastAsia="zh-TW"/>
              </w:rPr>
              <w:t>（二）若故障无法在预定开标时间前排除，或故障情况严重影响公平竞争，采购代理机构将通过发布更正公告推迟开标。</w:t>
            </w:r>
          </w:p>
          <w:p w14:paraId="35A115B6">
            <w:pPr>
              <w:pStyle w:val="350"/>
              <w:bidi w:val="0"/>
              <w:ind w:left="0" w:right="0" w:firstLine="0"/>
              <w:jc w:val="left"/>
              <w:rPr>
                <w:rFonts w:ascii="宋体" w:hAnsi="宋体" w:eastAsia="宋体" w:cs="宋体"/>
                <w:color w:val="auto"/>
                <w:sz w:val="24"/>
                <w:szCs w:val="24"/>
                <w:rtl w:val="0"/>
              </w:rPr>
            </w:pPr>
            <w:r>
              <w:rPr>
                <w:rFonts w:ascii="宋体" w:hAnsi="宋体" w:eastAsia="宋体" w:cs="宋体"/>
                <w:color w:val="auto"/>
                <w:sz w:val="24"/>
                <w:szCs w:val="24"/>
                <w:rtl w:val="0"/>
                <w:lang w:val="zh-TW" w:eastAsia="zh-TW"/>
              </w:rPr>
              <w:t>（三）若因故障导致有效投标人不足法定家数或出现其他法定废标情形，采购代理机构将发布废标（终止）公告，重新开展采购活动。</w:t>
            </w:r>
          </w:p>
          <w:p w14:paraId="7B0976C0">
            <w:pPr>
              <w:pStyle w:val="350"/>
              <w:bidi w:val="0"/>
              <w:ind w:left="0" w:right="0" w:firstLine="0"/>
              <w:jc w:val="left"/>
              <w:rPr>
                <w:rFonts w:ascii="宋体" w:hAnsi="宋体" w:eastAsia="宋体" w:cs="宋体"/>
                <w:color w:val="auto"/>
                <w:sz w:val="24"/>
                <w:szCs w:val="24"/>
                <w:rtl w:val="0"/>
              </w:rPr>
            </w:pPr>
            <w:r>
              <w:rPr>
                <w:rFonts w:ascii="宋体" w:hAnsi="宋体" w:eastAsia="宋体" w:cs="宋体"/>
                <w:color w:val="auto"/>
                <w:sz w:val="24"/>
                <w:szCs w:val="24"/>
                <w:rtl w:val="0"/>
                <w:lang w:val="zh-TW" w:eastAsia="zh-TW"/>
              </w:rPr>
              <w:t>特别说明：本项目投标（响应）文件递交方式以招标文件载明为准。在电子系统发生故障时，采购代理机构仅依据上述程序处理，不接受任何现场提交的纸质、</w:t>
            </w:r>
            <w:r>
              <w:rPr>
                <w:rFonts w:ascii="宋体" w:hAnsi="宋体" w:eastAsia="宋体" w:cs="宋体"/>
                <w:color w:val="auto"/>
                <w:sz w:val="24"/>
                <w:szCs w:val="24"/>
                <w:rtl w:val="0"/>
                <w:lang w:val="en-US"/>
              </w:rPr>
              <w:t>U</w:t>
            </w:r>
            <w:r>
              <w:rPr>
                <w:rFonts w:ascii="宋体" w:hAnsi="宋体" w:eastAsia="宋体" w:cs="宋体"/>
                <w:color w:val="auto"/>
                <w:sz w:val="24"/>
                <w:szCs w:val="24"/>
                <w:rtl w:val="0"/>
                <w:lang w:val="zh-TW" w:eastAsia="zh-TW"/>
              </w:rPr>
              <w:t>盘等非招标文件规定的投标（响应）文件。</w:t>
            </w:r>
          </w:p>
          <w:p w14:paraId="364269F8">
            <w:pPr>
              <w:pStyle w:val="350"/>
              <w:bidi w:val="0"/>
              <w:ind w:left="0" w:right="0" w:firstLine="0"/>
              <w:jc w:val="left"/>
              <w:rPr>
                <w:rFonts w:ascii="宋体" w:hAnsi="宋体" w:eastAsia="宋体" w:cs="宋体"/>
                <w:color w:val="auto"/>
                <w:sz w:val="24"/>
                <w:szCs w:val="24"/>
                <w:rtl w:val="0"/>
              </w:rPr>
            </w:pPr>
            <w:r>
              <w:rPr>
                <w:rFonts w:ascii="宋体" w:hAnsi="宋体" w:eastAsia="宋体" w:cs="宋体"/>
                <w:color w:val="auto"/>
                <w:sz w:val="24"/>
                <w:szCs w:val="24"/>
                <w:rtl w:val="0"/>
                <w:lang w:val="en-US"/>
              </w:rPr>
              <w:t>3.</w:t>
            </w:r>
            <w:r>
              <w:rPr>
                <w:rFonts w:ascii="宋体" w:hAnsi="宋体" w:eastAsia="宋体" w:cs="宋体"/>
                <w:color w:val="auto"/>
                <w:sz w:val="24"/>
                <w:szCs w:val="24"/>
                <w:rtl w:val="0"/>
                <w:lang w:val="zh-TW" w:eastAsia="zh-TW"/>
              </w:rPr>
              <w:t>评审过程中故障处置：在评审委员会组建后至评审报告出具前的评审过程中出现系统无法访问的情形，采购代理机构将按照以下原则处置：</w:t>
            </w:r>
          </w:p>
          <w:p w14:paraId="128B50A6">
            <w:pPr>
              <w:pStyle w:val="350"/>
              <w:bidi w:val="0"/>
              <w:ind w:left="0" w:right="0" w:firstLine="0"/>
              <w:jc w:val="left"/>
              <w:rPr>
                <w:rFonts w:ascii="宋体" w:hAnsi="宋体" w:eastAsia="宋体" w:cs="宋体"/>
                <w:color w:val="auto"/>
                <w:sz w:val="24"/>
                <w:szCs w:val="24"/>
                <w:rtl w:val="0"/>
              </w:rPr>
            </w:pPr>
            <w:r>
              <w:rPr>
                <w:rFonts w:ascii="宋体" w:hAnsi="宋体" w:eastAsia="宋体" w:cs="宋体"/>
                <w:color w:val="auto"/>
                <w:sz w:val="24"/>
                <w:szCs w:val="24"/>
                <w:rtl w:val="0"/>
                <w:lang w:val="zh-TW" w:eastAsia="zh-TW"/>
              </w:rPr>
              <w:t>（一）立即暂停评审：采购代理机构将立即宣布暂停评审活动，并采取必要措施封存所有投标（响应）文件及评审记录。</w:t>
            </w:r>
          </w:p>
          <w:p w14:paraId="370203F0">
            <w:pPr>
              <w:pStyle w:val="350"/>
              <w:bidi w:val="0"/>
              <w:ind w:left="0" w:right="0" w:firstLine="0"/>
              <w:jc w:val="left"/>
              <w:rPr>
                <w:rFonts w:ascii="宋体" w:hAnsi="宋体" w:eastAsia="宋体" w:cs="宋体"/>
                <w:color w:val="auto"/>
                <w:sz w:val="24"/>
                <w:szCs w:val="24"/>
                <w:rtl w:val="0"/>
              </w:rPr>
            </w:pPr>
            <w:r>
              <w:rPr>
                <w:rFonts w:ascii="宋体" w:hAnsi="宋体" w:eastAsia="宋体" w:cs="宋体"/>
                <w:color w:val="auto"/>
                <w:sz w:val="24"/>
                <w:szCs w:val="24"/>
                <w:rtl w:val="0"/>
                <w:lang w:val="zh-TW" w:eastAsia="zh-TW"/>
              </w:rPr>
              <w:t>（二）处置方案：视故障排除情况，采购代理机构将选择：</w:t>
            </w:r>
          </w:p>
          <w:p w14:paraId="6C3DB0AC">
            <w:pPr>
              <w:pStyle w:val="350"/>
              <w:bidi w:val="0"/>
              <w:ind w:left="0" w:right="0" w:firstLine="0"/>
              <w:jc w:val="left"/>
              <w:rPr>
                <w:rFonts w:ascii="宋体" w:hAnsi="宋体" w:eastAsia="宋体" w:cs="宋体"/>
                <w:color w:val="auto"/>
                <w:sz w:val="24"/>
                <w:szCs w:val="24"/>
                <w:rtl w:val="0"/>
              </w:rPr>
            </w:pPr>
            <w:r>
              <w:rPr>
                <w:rFonts w:ascii="宋体" w:hAnsi="宋体" w:eastAsia="宋体" w:cs="宋体"/>
                <w:color w:val="auto"/>
                <w:sz w:val="24"/>
                <w:szCs w:val="24"/>
                <w:rtl w:val="0"/>
                <w:lang w:val="en-US"/>
              </w:rPr>
              <w:t>1.</w:t>
            </w:r>
            <w:r>
              <w:rPr>
                <w:rFonts w:ascii="宋体" w:hAnsi="宋体" w:eastAsia="宋体" w:cs="宋体"/>
                <w:color w:val="auto"/>
                <w:sz w:val="24"/>
                <w:szCs w:val="24"/>
                <w:rtl w:val="0"/>
                <w:lang w:val="zh-TW" w:eastAsia="zh-TW"/>
              </w:rPr>
              <w:t>若故障可在短时间内排除，采购代理机构将等待系统修复后，由原评审委员会继续完成评审；</w:t>
            </w:r>
          </w:p>
          <w:p w14:paraId="5E71707A">
            <w:pPr>
              <w:pStyle w:val="350"/>
              <w:bidi w:val="0"/>
              <w:ind w:left="0" w:right="0" w:firstLine="0"/>
              <w:jc w:val="left"/>
              <w:rPr>
                <w:rFonts w:ascii="宋体" w:hAnsi="宋体" w:eastAsia="宋体" w:cs="宋体"/>
                <w:color w:val="auto"/>
                <w:sz w:val="24"/>
                <w:szCs w:val="24"/>
                <w:rtl w:val="0"/>
              </w:rPr>
            </w:pPr>
            <w:r>
              <w:rPr>
                <w:rFonts w:ascii="宋体" w:hAnsi="宋体" w:eastAsia="宋体" w:cs="宋体"/>
                <w:color w:val="auto"/>
                <w:sz w:val="24"/>
                <w:szCs w:val="24"/>
                <w:rtl w:val="0"/>
                <w:lang w:val="en-US"/>
              </w:rPr>
              <w:t xml:space="preserve">2. </w:t>
            </w:r>
            <w:r>
              <w:rPr>
                <w:rFonts w:ascii="宋体" w:hAnsi="宋体" w:eastAsia="宋体" w:cs="宋体"/>
                <w:color w:val="auto"/>
                <w:sz w:val="24"/>
                <w:szCs w:val="24"/>
                <w:rtl w:val="0"/>
                <w:lang w:val="zh-TW" w:eastAsia="zh-TW"/>
              </w:rPr>
              <w:t>若故障无法在当日排除，或故障导致评审无法公正进行，将发布废标（终止）公告，重新开展采购活动；</w:t>
            </w:r>
          </w:p>
          <w:p w14:paraId="570F89A0">
            <w:pPr>
              <w:pStyle w:val="350"/>
              <w:bidi w:val="0"/>
              <w:ind w:left="0" w:right="0" w:firstLine="0"/>
              <w:jc w:val="left"/>
              <w:rPr>
                <w:rFonts w:ascii="宋体" w:hAnsi="宋体" w:eastAsia="宋体" w:cs="宋体"/>
                <w:color w:val="auto"/>
                <w:sz w:val="24"/>
                <w:szCs w:val="24"/>
                <w:rtl w:val="0"/>
              </w:rPr>
            </w:pPr>
            <w:r>
              <w:rPr>
                <w:rFonts w:ascii="宋体" w:hAnsi="宋体" w:eastAsia="宋体" w:cs="宋体"/>
                <w:color w:val="auto"/>
                <w:sz w:val="24"/>
                <w:szCs w:val="24"/>
                <w:rtl w:val="0"/>
                <w:lang w:val="en-US"/>
              </w:rPr>
              <w:t>3.</w:t>
            </w:r>
            <w:r>
              <w:rPr>
                <w:rFonts w:ascii="宋体" w:hAnsi="宋体" w:eastAsia="宋体" w:cs="宋体"/>
                <w:color w:val="auto"/>
                <w:sz w:val="24"/>
                <w:szCs w:val="24"/>
                <w:rtl w:val="0"/>
                <w:lang w:val="zh-TW" w:eastAsia="zh-TW"/>
              </w:rPr>
              <w:t>若需在第二日继续评审，采购代理机构将重新从政府采购评审专家库中抽取专家，组建新的评审委员会，在系统修复后继续评审活动。</w:t>
            </w:r>
          </w:p>
          <w:p w14:paraId="38D7A437">
            <w:pPr>
              <w:pStyle w:val="350"/>
              <w:bidi w:val="0"/>
              <w:ind w:left="0" w:right="0" w:firstLine="0"/>
              <w:jc w:val="left"/>
              <w:rPr>
                <w:rFonts w:ascii="宋体" w:hAnsi="宋体" w:eastAsia="宋体" w:cs="宋体"/>
                <w:color w:val="auto"/>
                <w:sz w:val="24"/>
                <w:szCs w:val="24"/>
                <w:rtl w:val="0"/>
              </w:rPr>
            </w:pPr>
            <w:r>
              <w:rPr>
                <w:rFonts w:ascii="宋体" w:hAnsi="宋体" w:eastAsia="宋体" w:cs="宋体"/>
                <w:color w:val="auto"/>
                <w:sz w:val="24"/>
                <w:szCs w:val="24"/>
                <w:rtl w:val="0"/>
                <w:lang w:val="zh-TW" w:eastAsia="zh-TW"/>
              </w:rPr>
              <w:t>（三）公告发布程序：如需发布更正公告或废标（终止）公告，采购代理机构将按规定编制公告文本，连同项目相关信息、附件等详细公告内容提交至市财政局政府采购管理处，由市财政局统一报送省财政厅通过江苏政府采购网后台发布。供应商应密切关注上述网站公告，公告内容对各方具有约束力。</w:t>
            </w:r>
          </w:p>
          <w:p w14:paraId="0F8B766E">
            <w:pPr>
              <w:pStyle w:val="350"/>
              <w:bidi w:val="0"/>
              <w:ind w:left="0" w:leftChars="0" w:right="0" w:rightChars="0" w:firstLine="0" w:firstLineChars="0"/>
              <w:jc w:val="left"/>
              <w:rPr>
                <w:rFonts w:hint="eastAsia" w:ascii="宋体" w:hAnsi="宋体" w:eastAsia="宋体" w:cs="宋体"/>
                <w:color w:val="auto"/>
                <w:sz w:val="24"/>
                <w:szCs w:val="24"/>
                <w:highlight w:val="none"/>
                <w:u w:val="single"/>
              </w:rPr>
            </w:pPr>
            <w:r>
              <w:rPr>
                <w:rFonts w:ascii="宋体" w:hAnsi="宋体" w:eastAsia="宋体" w:cs="宋体"/>
                <w:color w:val="auto"/>
                <w:sz w:val="24"/>
                <w:szCs w:val="24"/>
                <w:u w:val="none"/>
                <w:rtl w:val="0"/>
                <w:lang w:val="zh-TW" w:eastAsia="zh-TW"/>
              </w:rPr>
              <w:t>（四）供应商责任：供应商有责任确保自身网络环境、设备及数字证书（</w:t>
            </w:r>
            <w:r>
              <w:rPr>
                <w:rFonts w:ascii="宋体" w:hAnsi="宋体" w:eastAsia="宋体" w:cs="宋体"/>
                <w:color w:val="auto"/>
                <w:sz w:val="24"/>
                <w:szCs w:val="24"/>
                <w:u w:val="none"/>
                <w:rtl w:val="0"/>
                <w:lang w:val="en-US"/>
              </w:rPr>
              <w:t>CA</w:t>
            </w:r>
            <w:r>
              <w:rPr>
                <w:rFonts w:ascii="宋体" w:hAnsi="宋体" w:eastAsia="宋体" w:cs="宋体"/>
                <w:color w:val="auto"/>
                <w:sz w:val="24"/>
                <w:szCs w:val="24"/>
                <w:u w:val="none"/>
                <w:rtl w:val="0"/>
                <w:lang w:val="zh-TW" w:eastAsia="zh-TW"/>
              </w:rPr>
              <w:t>）的正常，并在招标文件规定的期限内完成文件上传、解密等操作。因供应商自身原因导致的操作失败，不适用本意外情况处理条款。</w:t>
            </w:r>
          </w:p>
        </w:tc>
      </w:tr>
    </w:tbl>
    <w:p w14:paraId="1C7EF101">
      <w:pPr>
        <w:tabs>
          <w:tab w:val="left" w:pos="5580"/>
        </w:tabs>
        <w:spacing w:line="360" w:lineRule="auto"/>
        <w:jc w:val="both"/>
        <w:outlineLvl w:val="9"/>
        <w:rPr>
          <w:color w:val="auto"/>
          <w:sz w:val="24"/>
          <w:highlight w:val="none"/>
        </w:rPr>
        <w:sectPr>
          <w:pgSz w:w="11907" w:h="16840"/>
          <w:pgMar w:top="1418" w:right="1134" w:bottom="1418" w:left="1701" w:header="851" w:footer="851" w:gutter="0"/>
          <w:pgNumType w:fmt="decimal"/>
          <w:cols w:space="1701" w:num="1"/>
          <w:titlePg/>
          <w:docGrid w:linePitch="360" w:charSpace="0"/>
        </w:sectPr>
      </w:pPr>
    </w:p>
    <w:p w14:paraId="6EAA85CE">
      <w:pPr>
        <w:keepNext w:val="0"/>
        <w:keepLines w:val="0"/>
        <w:pageBreakBefore w:val="0"/>
        <w:widowControl w:val="0"/>
        <w:spacing w:line="360" w:lineRule="auto"/>
        <w:jc w:val="center"/>
        <w:outlineLvl w:val="9"/>
        <w:rPr>
          <w:rFonts w:hint="eastAsia" w:ascii="宋体" w:hAnsi="宋体" w:eastAsia="宋体" w:cs="Times New Roman"/>
          <w:b/>
          <w:bCs/>
          <w:color w:val="auto"/>
          <w:sz w:val="28"/>
          <w:szCs w:val="28"/>
          <w:highlight w:val="none"/>
          <w:lang w:val="en-US" w:eastAsia="zh-CN"/>
        </w:rPr>
      </w:pPr>
      <w:r>
        <w:rPr>
          <w:rFonts w:hint="eastAsia" w:ascii="宋体" w:hAnsi="宋体" w:eastAsia="宋体" w:cs="Times New Roman"/>
          <w:b/>
          <w:bCs/>
          <w:color w:val="auto"/>
          <w:sz w:val="28"/>
          <w:szCs w:val="28"/>
          <w:highlight w:val="none"/>
          <w:lang w:val="en-US" w:eastAsia="zh-CN"/>
        </w:rPr>
        <w:t>供应商须知</w:t>
      </w:r>
    </w:p>
    <w:p w14:paraId="4B9DCE98">
      <w:pPr>
        <w:keepNext w:val="0"/>
        <w:keepLines w:val="0"/>
        <w:pageBreakBefore w:val="0"/>
        <w:widowControl w:val="0"/>
        <w:spacing w:line="360" w:lineRule="auto"/>
        <w:jc w:val="center"/>
        <w:outlineLvl w:val="9"/>
        <w:rPr>
          <w:rFonts w:hint="eastAsia" w:ascii="宋体" w:hAnsi="宋体" w:eastAsia="宋体" w:cs="Times New Roman"/>
          <w:b/>
          <w:bCs/>
          <w:color w:val="auto"/>
          <w:sz w:val="28"/>
          <w:szCs w:val="28"/>
          <w:highlight w:val="none"/>
          <w:lang w:val="en-US" w:eastAsia="zh-CN"/>
        </w:rPr>
      </w:pPr>
      <w:bookmarkStart w:id="70" w:name="_Toc151193688"/>
      <w:bookmarkStart w:id="71" w:name="_Toc150509269"/>
      <w:bookmarkStart w:id="72" w:name="_Toc265228356"/>
      <w:bookmarkStart w:id="73" w:name="_Toc150774618"/>
      <w:bookmarkStart w:id="74" w:name="_Toc142311020"/>
      <w:bookmarkStart w:id="75" w:name="_Toc150774723"/>
      <w:bookmarkStart w:id="76" w:name="_Toc151190145"/>
      <w:bookmarkStart w:id="77" w:name="_Toc305158860"/>
      <w:bookmarkStart w:id="78" w:name="_Toc151193832"/>
      <w:bookmarkStart w:id="79" w:name="_Toc151193760"/>
      <w:bookmarkStart w:id="80" w:name="_Toc305158786"/>
      <w:bookmarkStart w:id="81" w:name="_Toc226965791"/>
      <w:bookmarkStart w:id="82" w:name="_Toc226309762"/>
      <w:bookmarkStart w:id="83" w:name="_Toc226965708"/>
      <w:bookmarkStart w:id="84" w:name="_Toc195842883"/>
      <w:bookmarkStart w:id="85" w:name="_Toc226337214"/>
      <w:bookmarkStart w:id="86" w:name="_Toc151193616"/>
      <w:bookmarkStart w:id="87" w:name="_Toc520356143"/>
      <w:bookmarkStart w:id="88" w:name="_Toc151193906"/>
      <w:bookmarkStart w:id="89" w:name="_Toc264969208"/>
      <w:bookmarkStart w:id="90" w:name="_Toc127151518"/>
      <w:bookmarkStart w:id="91" w:name="_Toc150480756"/>
      <w:r>
        <w:rPr>
          <w:rFonts w:hint="eastAsia" w:ascii="宋体" w:hAnsi="宋体" w:eastAsia="宋体" w:cs="Times New Roman"/>
          <w:b/>
          <w:bCs/>
          <w:color w:val="auto"/>
          <w:sz w:val="28"/>
          <w:szCs w:val="28"/>
          <w:highlight w:val="none"/>
          <w:lang w:val="en-US" w:eastAsia="zh-CN"/>
        </w:rPr>
        <w:t>一   说  明</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1DAFF094">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szCs w:val="24"/>
          <w:highlight w:val="none"/>
        </w:rPr>
      </w:pPr>
      <w:bookmarkStart w:id="92" w:name="_Toc264969209"/>
      <w:bookmarkStart w:id="93" w:name="_Toc305158861"/>
      <w:bookmarkStart w:id="94" w:name="_Toc265228357"/>
      <w:bookmarkStart w:id="95" w:name="_Toc305158787"/>
      <w:r>
        <w:rPr>
          <w:rFonts w:hint="eastAsia" w:ascii="宋体" w:hAnsi="宋体" w:eastAsia="宋体" w:cs="宋体"/>
          <w:color w:val="auto"/>
          <w:sz w:val="24"/>
          <w:szCs w:val="24"/>
          <w:highlight w:val="none"/>
        </w:rPr>
        <w:t>采购人、采购代理机构、供应商</w:t>
      </w:r>
      <w:bookmarkEnd w:id="92"/>
      <w:bookmarkEnd w:id="93"/>
      <w:bookmarkEnd w:id="94"/>
      <w:bookmarkEnd w:id="95"/>
      <w:r>
        <w:rPr>
          <w:rFonts w:hint="eastAsia" w:ascii="宋体" w:hAnsi="宋体" w:eastAsia="宋体" w:cs="宋体"/>
          <w:color w:val="auto"/>
          <w:sz w:val="24"/>
          <w:szCs w:val="24"/>
          <w:highlight w:val="none"/>
        </w:rPr>
        <w:t>、联合体</w:t>
      </w:r>
    </w:p>
    <w:p w14:paraId="2AD072EB">
      <w:pPr>
        <w:keepNext w:val="0"/>
        <w:keepLines w:val="0"/>
        <w:pageBreakBefore w:val="0"/>
        <w:widowControl w:val="0"/>
        <w:numPr>
          <w:ilvl w:val="1"/>
          <w:numId w:val="8"/>
        </w:numPr>
        <w:tabs>
          <w:tab w:val="left" w:pos="1080"/>
          <w:tab w:val="left" w:pos="2014"/>
          <w:tab w:val="left" w:pos="5521"/>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采购人、采购代理机构：指依法进行政府采购的国家机关、事业单位、团体组织，及其委托的采购代理机构。本项目采购人、采购代理机构见第一章《采购邀请》。</w:t>
      </w:r>
    </w:p>
    <w:p w14:paraId="0962BDC9">
      <w:pPr>
        <w:keepNext w:val="0"/>
        <w:keepLines w:val="0"/>
        <w:pageBreakBefore w:val="0"/>
        <w:widowControl w:val="0"/>
        <w:numPr>
          <w:ilvl w:val="1"/>
          <w:numId w:val="8"/>
        </w:numPr>
        <w:tabs>
          <w:tab w:val="left" w:pos="1080"/>
          <w:tab w:val="left" w:pos="2014"/>
          <w:tab w:val="left" w:pos="5521"/>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供应商（也称“申请人”）：指向采购人提供货物、工程或者服务的法人、其他组织或者自然人。</w:t>
      </w:r>
    </w:p>
    <w:p w14:paraId="3DB17126">
      <w:pPr>
        <w:keepNext w:val="0"/>
        <w:keepLines w:val="0"/>
        <w:pageBreakBefore w:val="0"/>
        <w:widowControl w:val="0"/>
        <w:numPr>
          <w:ilvl w:val="1"/>
          <w:numId w:val="8"/>
        </w:numPr>
        <w:tabs>
          <w:tab w:val="left" w:pos="1080"/>
          <w:tab w:val="left" w:pos="2014"/>
          <w:tab w:val="left" w:pos="5521"/>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联合体：指两个以上的自然人、法人或者其他组织组成一个联合体，以一个供应商的身份共同参加政府采购。</w:t>
      </w:r>
    </w:p>
    <w:p w14:paraId="3277B5FF">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szCs w:val="24"/>
          <w:highlight w:val="none"/>
        </w:rPr>
      </w:pPr>
      <w:bookmarkStart w:id="96" w:name="_Toc150774725"/>
      <w:bookmarkStart w:id="97" w:name="_Toc164608789"/>
      <w:bookmarkStart w:id="98" w:name="_Toc226965793"/>
      <w:bookmarkStart w:id="99" w:name="_Toc265228358"/>
      <w:bookmarkStart w:id="100" w:name="_Toc150509271"/>
      <w:bookmarkStart w:id="101" w:name="_Toc164351614"/>
      <w:bookmarkStart w:id="102" w:name="_Toc142311022"/>
      <w:bookmarkStart w:id="103" w:name="_Toc305158788"/>
      <w:bookmarkStart w:id="104" w:name="_Toc150480758"/>
      <w:bookmarkStart w:id="105" w:name="_Toc151193690"/>
      <w:bookmarkStart w:id="106" w:name="_Toc226309764"/>
      <w:bookmarkStart w:id="107" w:name="_Toc149720813"/>
      <w:bookmarkStart w:id="108" w:name="_Toc195842885"/>
      <w:bookmarkStart w:id="109" w:name="_Toc127151520"/>
      <w:bookmarkStart w:id="110" w:name="_Toc305158862"/>
      <w:bookmarkStart w:id="111" w:name="_Toc164229215"/>
      <w:bookmarkStart w:id="112" w:name="_Toc151193618"/>
      <w:bookmarkStart w:id="113" w:name="_Toc164229361"/>
      <w:bookmarkStart w:id="114" w:name="_Toc151190147"/>
      <w:bookmarkStart w:id="115" w:name="_Toc127151721"/>
      <w:bookmarkStart w:id="116" w:name="_Toc264969210"/>
      <w:bookmarkStart w:id="117" w:name="_Toc150774620"/>
      <w:bookmarkStart w:id="118" w:name="_Toc151193908"/>
      <w:bookmarkStart w:id="119" w:name="_Toc226965710"/>
      <w:bookmarkStart w:id="120" w:name="_Toc226337216"/>
      <w:bookmarkStart w:id="121" w:name="_Toc151193762"/>
      <w:bookmarkStart w:id="122" w:name="_Toc127161434"/>
      <w:bookmarkStart w:id="123" w:name="_Toc164608634"/>
      <w:bookmarkStart w:id="124" w:name="_Toc151193834"/>
      <w:r>
        <w:rPr>
          <w:rFonts w:hint="eastAsia" w:ascii="宋体" w:hAnsi="宋体" w:eastAsia="宋体" w:cs="宋体"/>
          <w:color w:val="auto"/>
          <w:sz w:val="24"/>
          <w:szCs w:val="24"/>
          <w:highlight w:val="none"/>
        </w:rPr>
        <w:t>资金来源</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Pr>
          <w:rFonts w:hint="eastAsia" w:ascii="宋体" w:hAnsi="宋体" w:eastAsia="宋体" w:cs="宋体"/>
          <w:color w:val="auto"/>
          <w:sz w:val="24"/>
          <w:szCs w:val="24"/>
          <w:highlight w:val="none"/>
        </w:rPr>
        <w:t>、项目属性、科研仪器设备采购</w:t>
      </w:r>
    </w:p>
    <w:p w14:paraId="662F3269">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资金来源为财政性资金和/或本项目采购中无法与财政性资金分割的非财政性资金。</w:t>
      </w:r>
    </w:p>
    <w:p w14:paraId="5EC2839F">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项目属性见《供应商须知资料表》。</w:t>
      </w:r>
    </w:p>
    <w:p w14:paraId="4FF1F1B0">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是否属于科研仪器设备采购见《供应商须知资料表》。</w:t>
      </w:r>
    </w:p>
    <w:p w14:paraId="08B2E357">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现场考察、磋商前答疑会</w:t>
      </w:r>
    </w:p>
    <w:p w14:paraId="17C8BBB9">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若《供应商须知资料表》中规定了组织现场考察、召开磋商前答疑会，则供应商应按要求在规定的时间和地点参加。</w:t>
      </w:r>
      <w:bookmarkStart w:id="125" w:name="_Toc195842887"/>
      <w:bookmarkStart w:id="126" w:name="_Toc150774622"/>
      <w:bookmarkStart w:id="127" w:name="_Toc151193910"/>
      <w:bookmarkStart w:id="128" w:name="_Toc226309766"/>
      <w:bookmarkStart w:id="129" w:name="_Toc151193836"/>
      <w:bookmarkStart w:id="130" w:name="_Toc127151522"/>
      <w:bookmarkStart w:id="131" w:name="_Toc150509273"/>
      <w:bookmarkStart w:id="132" w:name="_Toc142311024"/>
      <w:bookmarkStart w:id="133" w:name="_Toc226337218"/>
      <w:bookmarkStart w:id="134" w:name="_Toc150480760"/>
      <w:bookmarkStart w:id="135" w:name="_Toc305158864"/>
      <w:bookmarkStart w:id="136" w:name="_Toc226965712"/>
      <w:bookmarkStart w:id="137" w:name="_Toc520356146"/>
      <w:bookmarkStart w:id="138" w:name="_Toc226965795"/>
      <w:bookmarkStart w:id="139" w:name="_Toc151190149"/>
      <w:bookmarkStart w:id="140" w:name="_Toc265228360"/>
      <w:bookmarkStart w:id="141" w:name="_Toc151193620"/>
      <w:bookmarkStart w:id="142" w:name="_Toc151193764"/>
      <w:bookmarkStart w:id="143" w:name="_Toc264969212"/>
      <w:bookmarkStart w:id="144" w:name="_Toc150774727"/>
      <w:bookmarkStart w:id="145" w:name="_Toc305158790"/>
      <w:bookmarkStart w:id="146" w:name="_Toc151193692"/>
    </w:p>
    <w:p w14:paraId="02CA1BB9">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由于未参加现场考察或磋商前答疑会而导致对项目实际情况不了解，影响响应文件编制、报价准确性、综合因素响应不全面等问题的，由供应商自行承担不利评审后果。</w:t>
      </w:r>
    </w:p>
    <w:p w14:paraId="0BA0EF28">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政府采购政策（包括但不限于下列具体政策要求）</w:t>
      </w:r>
    </w:p>
    <w:p w14:paraId="62510DEC">
      <w:pPr>
        <w:keepNext w:val="0"/>
        <w:keepLines w:val="0"/>
        <w:pageBreakBefore w:val="0"/>
        <w:widowControl w:val="0"/>
        <w:numPr>
          <w:ilvl w:val="0"/>
          <w:numId w:val="0"/>
        </w:numPr>
        <w:tabs>
          <w:tab w:val="left" w:pos="1080"/>
          <w:tab w:val="left" w:pos="2014"/>
        </w:tabs>
        <w:spacing w:line="360" w:lineRule="auto"/>
        <w:ind w:left="360" w:leftChars="0"/>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4.1</w:t>
      </w:r>
      <w:r>
        <w:rPr>
          <w:rFonts w:hint="eastAsia" w:ascii="宋体" w:hAnsi="宋体" w:eastAsia="宋体" w:cs="宋体"/>
          <w:color w:val="auto"/>
          <w:sz w:val="24"/>
          <w:szCs w:val="24"/>
          <w:highlight w:val="none"/>
        </w:rPr>
        <w:t>进口产品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本项目不涉及</w:t>
      </w:r>
      <w:r>
        <w:rPr>
          <w:rFonts w:hint="eastAsia" w:ascii="宋体" w:hAnsi="宋体" w:eastAsia="宋体" w:cs="宋体"/>
          <w:color w:val="auto"/>
          <w:sz w:val="24"/>
          <w:szCs w:val="24"/>
          <w:highlight w:val="none"/>
          <w:lang w:eastAsia="zh-CN"/>
        </w:rPr>
        <w:t>）</w:t>
      </w:r>
    </w:p>
    <w:p w14:paraId="753C3C8D">
      <w:pPr>
        <w:keepNext w:val="0"/>
        <w:keepLines w:val="0"/>
        <w:pageBreakBefore w:val="0"/>
        <w:widowControl w:val="0"/>
        <w:numPr>
          <w:ilvl w:val="0"/>
          <w:numId w:val="0"/>
        </w:numPr>
        <w:tabs>
          <w:tab w:val="left" w:pos="2014"/>
        </w:tabs>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4.1.1</w:t>
      </w:r>
      <w:r>
        <w:rPr>
          <w:rFonts w:hint="eastAsia" w:ascii="宋体" w:hAnsi="宋体" w:eastAsia="宋体" w:cs="宋体"/>
          <w:color w:val="auto"/>
          <w:sz w:val="24"/>
          <w:szCs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E16B75E">
      <w:pPr>
        <w:keepNext w:val="0"/>
        <w:keepLines w:val="0"/>
        <w:pageBreakBefore w:val="0"/>
        <w:widowControl w:val="0"/>
        <w:numPr>
          <w:ilvl w:val="0"/>
          <w:numId w:val="0"/>
        </w:numPr>
        <w:tabs>
          <w:tab w:val="left" w:pos="1080"/>
          <w:tab w:val="left" w:pos="2014"/>
        </w:tabs>
        <w:spacing w:line="360" w:lineRule="auto"/>
        <w:ind w:left="360" w:leftChars="0"/>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4.2</w:t>
      </w:r>
      <w:r>
        <w:rPr>
          <w:rFonts w:hint="eastAsia" w:ascii="宋体" w:hAnsi="宋体" w:eastAsia="宋体" w:cs="宋体"/>
          <w:color w:val="auto"/>
          <w:sz w:val="24"/>
          <w:szCs w:val="24"/>
          <w:highlight w:val="none"/>
        </w:rPr>
        <w:t>中小企业、监狱企业及残疾人福利性单位</w:t>
      </w:r>
    </w:p>
    <w:p w14:paraId="1225CF05">
      <w:pPr>
        <w:keepNext w:val="0"/>
        <w:keepLines w:val="0"/>
        <w:pageBreakBefore w:val="0"/>
        <w:widowControl w:val="0"/>
        <w:numPr>
          <w:ilvl w:val="0"/>
          <w:numId w:val="0"/>
        </w:numPr>
        <w:spacing w:line="360" w:lineRule="auto"/>
        <w:ind w:left="1080" w:leftChars="0"/>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4.2.2</w:t>
      </w:r>
      <w:r>
        <w:rPr>
          <w:rFonts w:hint="eastAsia" w:ascii="宋体" w:hAnsi="宋体" w:eastAsia="宋体" w:cs="宋体"/>
          <w:color w:val="auto"/>
          <w:sz w:val="24"/>
          <w:szCs w:val="24"/>
          <w:highlight w:val="none"/>
        </w:rPr>
        <w:t>中小企业定义：</w:t>
      </w:r>
    </w:p>
    <w:p w14:paraId="17ADEE9C">
      <w:pPr>
        <w:pStyle w:val="307"/>
        <w:keepNext w:val="0"/>
        <w:keepLines w:val="0"/>
        <w:pageBreakBefore w:val="0"/>
        <w:widowControl w:val="0"/>
        <w:numPr>
          <w:ilvl w:val="0"/>
          <w:numId w:val="9"/>
        </w:numPr>
        <w:tabs>
          <w:tab w:val="left" w:pos="1980"/>
          <w:tab w:val="left" w:pos="2035"/>
          <w:tab w:val="left" w:pos="2977"/>
        </w:tabs>
        <w:spacing w:line="360" w:lineRule="auto"/>
        <w:outlineLvl w:val="9"/>
        <w:rPr>
          <w:rFonts w:hint="eastAsia" w:ascii="宋体" w:hAnsi="宋体" w:eastAsia="宋体" w:cs="宋体"/>
          <w:vanish/>
          <w:color w:val="auto"/>
          <w:sz w:val="24"/>
          <w:szCs w:val="24"/>
          <w:highlight w:val="none"/>
        </w:rPr>
      </w:pPr>
    </w:p>
    <w:p w14:paraId="3F936072">
      <w:pPr>
        <w:pStyle w:val="307"/>
        <w:keepNext w:val="0"/>
        <w:keepLines w:val="0"/>
        <w:pageBreakBefore w:val="0"/>
        <w:widowControl w:val="0"/>
        <w:numPr>
          <w:ilvl w:val="0"/>
          <w:numId w:val="9"/>
        </w:numPr>
        <w:tabs>
          <w:tab w:val="left" w:pos="1980"/>
          <w:tab w:val="left" w:pos="2035"/>
          <w:tab w:val="left" w:pos="2977"/>
        </w:tabs>
        <w:spacing w:line="360" w:lineRule="auto"/>
        <w:outlineLvl w:val="9"/>
        <w:rPr>
          <w:rFonts w:hint="eastAsia" w:ascii="宋体" w:hAnsi="宋体" w:eastAsia="宋体" w:cs="宋体"/>
          <w:vanish/>
          <w:color w:val="auto"/>
          <w:sz w:val="24"/>
          <w:szCs w:val="24"/>
          <w:highlight w:val="none"/>
        </w:rPr>
      </w:pPr>
    </w:p>
    <w:p w14:paraId="3C5A6E19">
      <w:pPr>
        <w:pStyle w:val="307"/>
        <w:keepNext w:val="0"/>
        <w:keepLines w:val="0"/>
        <w:pageBreakBefore w:val="0"/>
        <w:widowControl w:val="0"/>
        <w:numPr>
          <w:ilvl w:val="0"/>
          <w:numId w:val="9"/>
        </w:numPr>
        <w:tabs>
          <w:tab w:val="left" w:pos="1980"/>
          <w:tab w:val="left" w:pos="2035"/>
          <w:tab w:val="left" w:pos="2977"/>
        </w:tabs>
        <w:spacing w:line="360" w:lineRule="auto"/>
        <w:outlineLvl w:val="9"/>
        <w:rPr>
          <w:rFonts w:hint="eastAsia" w:ascii="宋体" w:hAnsi="宋体" w:eastAsia="宋体" w:cs="宋体"/>
          <w:vanish/>
          <w:color w:val="auto"/>
          <w:sz w:val="24"/>
          <w:szCs w:val="24"/>
          <w:highlight w:val="none"/>
        </w:rPr>
      </w:pPr>
    </w:p>
    <w:p w14:paraId="6FED724B">
      <w:pPr>
        <w:pStyle w:val="307"/>
        <w:keepNext w:val="0"/>
        <w:keepLines w:val="0"/>
        <w:pageBreakBefore w:val="0"/>
        <w:widowControl w:val="0"/>
        <w:numPr>
          <w:ilvl w:val="0"/>
          <w:numId w:val="9"/>
        </w:numPr>
        <w:tabs>
          <w:tab w:val="left" w:pos="1980"/>
          <w:tab w:val="left" w:pos="2035"/>
          <w:tab w:val="left" w:pos="2977"/>
        </w:tabs>
        <w:spacing w:line="360" w:lineRule="auto"/>
        <w:outlineLvl w:val="9"/>
        <w:rPr>
          <w:rFonts w:hint="eastAsia" w:ascii="宋体" w:hAnsi="宋体" w:eastAsia="宋体" w:cs="宋体"/>
          <w:vanish/>
          <w:color w:val="auto"/>
          <w:sz w:val="24"/>
          <w:szCs w:val="24"/>
          <w:highlight w:val="none"/>
        </w:rPr>
      </w:pPr>
    </w:p>
    <w:p w14:paraId="45ADBDB1">
      <w:pPr>
        <w:pStyle w:val="307"/>
        <w:keepNext w:val="0"/>
        <w:keepLines w:val="0"/>
        <w:pageBreakBefore w:val="0"/>
        <w:widowControl w:val="0"/>
        <w:numPr>
          <w:ilvl w:val="1"/>
          <w:numId w:val="9"/>
        </w:numPr>
        <w:tabs>
          <w:tab w:val="left" w:pos="1980"/>
          <w:tab w:val="left" w:pos="2035"/>
          <w:tab w:val="left" w:pos="2977"/>
        </w:tabs>
        <w:spacing w:line="360" w:lineRule="auto"/>
        <w:outlineLvl w:val="9"/>
        <w:rPr>
          <w:rFonts w:hint="eastAsia" w:ascii="宋体" w:hAnsi="宋体" w:eastAsia="宋体" w:cs="宋体"/>
          <w:vanish/>
          <w:color w:val="auto"/>
          <w:sz w:val="24"/>
          <w:szCs w:val="24"/>
          <w:highlight w:val="none"/>
        </w:rPr>
      </w:pPr>
    </w:p>
    <w:p w14:paraId="0DE2A465">
      <w:pPr>
        <w:pStyle w:val="307"/>
        <w:keepNext w:val="0"/>
        <w:keepLines w:val="0"/>
        <w:pageBreakBefore w:val="0"/>
        <w:widowControl w:val="0"/>
        <w:numPr>
          <w:ilvl w:val="1"/>
          <w:numId w:val="9"/>
        </w:numPr>
        <w:tabs>
          <w:tab w:val="left" w:pos="1980"/>
          <w:tab w:val="left" w:pos="2035"/>
          <w:tab w:val="left" w:pos="2977"/>
        </w:tabs>
        <w:spacing w:line="360" w:lineRule="auto"/>
        <w:outlineLvl w:val="9"/>
        <w:rPr>
          <w:rFonts w:hint="eastAsia" w:ascii="宋体" w:hAnsi="宋体" w:eastAsia="宋体" w:cs="宋体"/>
          <w:vanish/>
          <w:color w:val="auto"/>
          <w:sz w:val="24"/>
          <w:szCs w:val="24"/>
          <w:highlight w:val="none"/>
        </w:rPr>
      </w:pPr>
    </w:p>
    <w:p w14:paraId="3EB539A9">
      <w:pPr>
        <w:pStyle w:val="307"/>
        <w:keepNext w:val="0"/>
        <w:keepLines w:val="0"/>
        <w:pageBreakBefore w:val="0"/>
        <w:widowControl w:val="0"/>
        <w:numPr>
          <w:ilvl w:val="2"/>
          <w:numId w:val="9"/>
        </w:numPr>
        <w:tabs>
          <w:tab w:val="left" w:pos="2035"/>
          <w:tab w:val="left" w:pos="2977"/>
        </w:tabs>
        <w:spacing w:line="360" w:lineRule="auto"/>
        <w:outlineLvl w:val="9"/>
        <w:rPr>
          <w:rFonts w:hint="eastAsia" w:ascii="宋体" w:hAnsi="宋体" w:eastAsia="宋体" w:cs="宋体"/>
          <w:vanish/>
          <w:color w:val="auto"/>
          <w:sz w:val="24"/>
          <w:szCs w:val="24"/>
          <w:highlight w:val="none"/>
        </w:rPr>
      </w:pPr>
    </w:p>
    <w:p w14:paraId="55036D10">
      <w:pPr>
        <w:keepNext w:val="0"/>
        <w:keepLines w:val="0"/>
        <w:pageBreakBefore w:val="0"/>
        <w:widowControl w:val="0"/>
        <w:numPr>
          <w:ilvl w:val="3"/>
          <w:numId w:val="9"/>
        </w:numPr>
        <w:tabs>
          <w:tab w:val="left" w:pos="1980"/>
          <w:tab w:val="left" w:pos="2035"/>
          <w:tab w:val="left" w:pos="2885"/>
          <w:tab w:val="left" w:pos="2977"/>
        </w:tabs>
        <w:spacing w:line="360" w:lineRule="auto"/>
        <w:ind w:left="288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5FD5A41C">
      <w:pPr>
        <w:keepNext w:val="0"/>
        <w:keepLines w:val="0"/>
        <w:pageBreakBefore w:val="0"/>
        <w:widowControl w:val="0"/>
        <w:numPr>
          <w:ilvl w:val="3"/>
          <w:numId w:val="9"/>
        </w:numPr>
        <w:tabs>
          <w:tab w:val="left" w:pos="1980"/>
          <w:tab w:val="left" w:pos="2035"/>
          <w:tab w:val="left" w:pos="2885"/>
          <w:tab w:val="left" w:pos="2977"/>
        </w:tabs>
        <w:spacing w:line="360" w:lineRule="auto"/>
        <w:ind w:left="288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供应商提供的货物、工程或者服务符合下列情形的，享受中小企业扶持政策：</w:t>
      </w:r>
    </w:p>
    <w:p w14:paraId="2B35FD84">
      <w:pPr>
        <w:keepNext w:val="0"/>
        <w:keepLines w:val="0"/>
        <w:pageBreakBefore w:val="0"/>
        <w:widowControl w:val="0"/>
        <w:tabs>
          <w:tab w:val="left" w:pos="1980"/>
        </w:tabs>
        <w:spacing w:line="360" w:lineRule="auto"/>
        <w:ind w:left="283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（1）在货物采购项目中，货物由中小企业制造，即货物由中小企业生产且使用该中小企业商号或者注册商标；</w:t>
      </w:r>
    </w:p>
    <w:p w14:paraId="24E2A383">
      <w:pPr>
        <w:keepNext w:val="0"/>
        <w:keepLines w:val="0"/>
        <w:pageBreakBefore w:val="0"/>
        <w:widowControl w:val="0"/>
        <w:tabs>
          <w:tab w:val="left" w:pos="1980"/>
        </w:tabs>
        <w:spacing w:line="360" w:lineRule="auto"/>
        <w:ind w:left="283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（2）在工程采购项目中，工程由中小企业承建，即工程施工单位为中小企业；</w:t>
      </w:r>
    </w:p>
    <w:p w14:paraId="6D89223E">
      <w:pPr>
        <w:keepNext w:val="0"/>
        <w:keepLines w:val="0"/>
        <w:pageBreakBefore w:val="0"/>
        <w:widowControl w:val="0"/>
        <w:tabs>
          <w:tab w:val="left" w:pos="1980"/>
        </w:tabs>
        <w:spacing w:line="360" w:lineRule="auto"/>
        <w:ind w:left="283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（3）在服务采购项目中，服务由中小企业承接，即提供服务的人员为中小企业依照《中华人民共和国劳动合同法》订立劳动合同的从业人员。</w:t>
      </w:r>
    </w:p>
    <w:p w14:paraId="74AA00B5">
      <w:pPr>
        <w:keepNext w:val="0"/>
        <w:keepLines w:val="0"/>
        <w:pageBreakBefore w:val="0"/>
        <w:widowControl w:val="0"/>
        <w:numPr>
          <w:ilvl w:val="3"/>
          <w:numId w:val="9"/>
        </w:numPr>
        <w:tabs>
          <w:tab w:val="left" w:pos="1980"/>
          <w:tab w:val="left" w:pos="2035"/>
          <w:tab w:val="left" w:pos="2885"/>
          <w:tab w:val="left" w:pos="2977"/>
        </w:tabs>
        <w:spacing w:line="360" w:lineRule="auto"/>
        <w:ind w:left="288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在货物采购项目中，供应商提供的货物既有中小企业制造货物，也有大型企业制造货物的，不享受中小企业扶持政策。</w:t>
      </w:r>
    </w:p>
    <w:p w14:paraId="162CF1D3">
      <w:pPr>
        <w:keepNext w:val="0"/>
        <w:keepLines w:val="0"/>
        <w:pageBreakBefore w:val="0"/>
        <w:widowControl w:val="0"/>
        <w:numPr>
          <w:ilvl w:val="3"/>
          <w:numId w:val="9"/>
        </w:numPr>
        <w:tabs>
          <w:tab w:val="left" w:pos="1980"/>
          <w:tab w:val="left" w:pos="2035"/>
          <w:tab w:val="left" w:pos="2885"/>
          <w:tab w:val="left" w:pos="2977"/>
        </w:tabs>
        <w:spacing w:line="360" w:lineRule="auto"/>
        <w:ind w:left="288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6709ECAF">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BAE12EF">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残疾人福利单位定义：享受政府采购支持政策的残疾人福利性单位应当同时满足以下条件：</w:t>
      </w:r>
    </w:p>
    <w:p w14:paraId="0A04724C">
      <w:pPr>
        <w:pStyle w:val="307"/>
        <w:keepNext w:val="0"/>
        <w:keepLines w:val="0"/>
        <w:pageBreakBefore w:val="0"/>
        <w:widowControl w:val="0"/>
        <w:numPr>
          <w:ilvl w:val="2"/>
          <w:numId w:val="9"/>
        </w:numPr>
        <w:tabs>
          <w:tab w:val="left" w:pos="2035"/>
          <w:tab w:val="left" w:pos="2977"/>
        </w:tabs>
        <w:spacing w:line="360" w:lineRule="auto"/>
        <w:outlineLvl w:val="9"/>
        <w:rPr>
          <w:rFonts w:hint="eastAsia" w:ascii="宋体" w:hAnsi="宋体" w:eastAsia="宋体" w:cs="宋体"/>
          <w:vanish/>
          <w:color w:val="auto"/>
          <w:sz w:val="24"/>
          <w:szCs w:val="24"/>
          <w:highlight w:val="none"/>
        </w:rPr>
      </w:pPr>
    </w:p>
    <w:p w14:paraId="0DC15F67">
      <w:pPr>
        <w:pStyle w:val="307"/>
        <w:keepNext w:val="0"/>
        <w:keepLines w:val="0"/>
        <w:pageBreakBefore w:val="0"/>
        <w:widowControl w:val="0"/>
        <w:numPr>
          <w:ilvl w:val="2"/>
          <w:numId w:val="9"/>
        </w:numPr>
        <w:tabs>
          <w:tab w:val="left" w:pos="2035"/>
          <w:tab w:val="left" w:pos="2977"/>
        </w:tabs>
        <w:spacing w:line="360" w:lineRule="auto"/>
        <w:outlineLvl w:val="9"/>
        <w:rPr>
          <w:rFonts w:hint="eastAsia" w:ascii="宋体" w:hAnsi="宋体" w:eastAsia="宋体" w:cs="宋体"/>
          <w:vanish/>
          <w:color w:val="auto"/>
          <w:sz w:val="24"/>
          <w:szCs w:val="24"/>
          <w:highlight w:val="none"/>
        </w:rPr>
      </w:pPr>
    </w:p>
    <w:p w14:paraId="3DBEDE5D">
      <w:pPr>
        <w:keepNext w:val="0"/>
        <w:keepLines w:val="0"/>
        <w:pageBreakBefore w:val="0"/>
        <w:widowControl w:val="0"/>
        <w:numPr>
          <w:ilvl w:val="3"/>
          <w:numId w:val="9"/>
        </w:numPr>
        <w:tabs>
          <w:tab w:val="left" w:pos="1980"/>
          <w:tab w:val="left" w:pos="2035"/>
          <w:tab w:val="left" w:pos="2885"/>
          <w:tab w:val="left" w:pos="2977"/>
        </w:tabs>
        <w:spacing w:line="360" w:lineRule="auto"/>
        <w:ind w:left="288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安置的残疾人占本单位在职职工人数的比例不低于25%（含25%），并且安置的残疾人人数不少于10 人（含10 人）；</w:t>
      </w:r>
    </w:p>
    <w:p w14:paraId="2DF6294F">
      <w:pPr>
        <w:keepNext w:val="0"/>
        <w:keepLines w:val="0"/>
        <w:pageBreakBefore w:val="0"/>
        <w:widowControl w:val="0"/>
        <w:numPr>
          <w:ilvl w:val="3"/>
          <w:numId w:val="9"/>
        </w:numPr>
        <w:tabs>
          <w:tab w:val="left" w:pos="1980"/>
          <w:tab w:val="left" w:pos="2035"/>
          <w:tab w:val="left" w:pos="2885"/>
          <w:tab w:val="left" w:pos="2977"/>
        </w:tabs>
        <w:spacing w:line="360" w:lineRule="auto"/>
        <w:ind w:left="288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依法与安置的每位残疾人签订了一年以上（含一年）的劳动合同或服务协议；</w:t>
      </w:r>
    </w:p>
    <w:p w14:paraId="1DAA7DC9">
      <w:pPr>
        <w:keepNext w:val="0"/>
        <w:keepLines w:val="0"/>
        <w:pageBreakBefore w:val="0"/>
        <w:widowControl w:val="0"/>
        <w:numPr>
          <w:ilvl w:val="3"/>
          <w:numId w:val="9"/>
        </w:numPr>
        <w:tabs>
          <w:tab w:val="left" w:pos="1980"/>
          <w:tab w:val="left" w:pos="2035"/>
          <w:tab w:val="left" w:pos="2885"/>
          <w:tab w:val="left" w:pos="2977"/>
        </w:tabs>
        <w:spacing w:line="360" w:lineRule="auto"/>
        <w:ind w:left="288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为安置的每位残疾人按月足额缴纳了基本养老保险、基本医疗保险、失业保险、工伤保险和生育保险等社会保险费；</w:t>
      </w:r>
    </w:p>
    <w:p w14:paraId="1242424A">
      <w:pPr>
        <w:keepNext w:val="0"/>
        <w:keepLines w:val="0"/>
        <w:pageBreakBefore w:val="0"/>
        <w:widowControl w:val="0"/>
        <w:numPr>
          <w:ilvl w:val="3"/>
          <w:numId w:val="9"/>
        </w:numPr>
        <w:tabs>
          <w:tab w:val="left" w:pos="1980"/>
          <w:tab w:val="left" w:pos="2035"/>
          <w:tab w:val="left" w:pos="2885"/>
          <w:tab w:val="left" w:pos="2977"/>
        </w:tabs>
        <w:spacing w:line="360" w:lineRule="auto"/>
        <w:ind w:left="288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通过银行等金融机构向安置的每位残疾人，按月支付了不低于单位所在区县适用的经省级人民政府批准的月最低工资标准的工资；</w:t>
      </w:r>
    </w:p>
    <w:p w14:paraId="70BDC1B6">
      <w:pPr>
        <w:keepNext w:val="0"/>
        <w:keepLines w:val="0"/>
        <w:pageBreakBefore w:val="0"/>
        <w:widowControl w:val="0"/>
        <w:numPr>
          <w:ilvl w:val="3"/>
          <w:numId w:val="9"/>
        </w:numPr>
        <w:tabs>
          <w:tab w:val="left" w:pos="1980"/>
          <w:tab w:val="left" w:pos="2035"/>
          <w:tab w:val="left" w:pos="2885"/>
          <w:tab w:val="left" w:pos="2977"/>
        </w:tabs>
        <w:spacing w:line="360" w:lineRule="auto"/>
        <w:ind w:left="288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提供本单位制造的货物、承担的工程或者服务（以下简称产品），或者提供其他残疾人福利性单位制造的货物（不包括使用非残疾人福利性单位注册商标的货物）；</w:t>
      </w:r>
    </w:p>
    <w:p w14:paraId="0BB49902">
      <w:pPr>
        <w:keepNext w:val="0"/>
        <w:keepLines w:val="0"/>
        <w:pageBreakBefore w:val="0"/>
        <w:widowControl w:val="0"/>
        <w:numPr>
          <w:ilvl w:val="3"/>
          <w:numId w:val="9"/>
        </w:numPr>
        <w:tabs>
          <w:tab w:val="left" w:pos="1980"/>
          <w:tab w:val="left" w:pos="2035"/>
          <w:tab w:val="left" w:pos="2885"/>
          <w:tab w:val="left" w:pos="2977"/>
        </w:tabs>
        <w:spacing w:line="360" w:lineRule="auto"/>
        <w:ind w:left="288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1D3CD20">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本项目是否专门面向中小企业预留采购份额见第一章《采购邀请》。</w:t>
      </w:r>
    </w:p>
    <w:p w14:paraId="77E4D85D">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采购标的对应的中小企业划分标准所属行业见《供应商须知资料表》。</w:t>
      </w:r>
    </w:p>
    <w:p w14:paraId="2DBE1049">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小微企业价格评审优惠的政策调整：见第三章《评审方法和评审标准》。</w:t>
      </w:r>
    </w:p>
    <w:p w14:paraId="0461E66E">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政府采购节能产品、环境标志产品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本项目不涉及</w:t>
      </w:r>
      <w:r>
        <w:rPr>
          <w:rFonts w:hint="eastAsia" w:ascii="宋体" w:hAnsi="宋体" w:eastAsia="宋体" w:cs="宋体"/>
          <w:color w:val="auto"/>
          <w:sz w:val="24"/>
          <w:szCs w:val="24"/>
          <w:highlight w:val="none"/>
          <w:lang w:eastAsia="zh-CN"/>
        </w:rPr>
        <w:t>）</w:t>
      </w:r>
    </w:p>
    <w:p w14:paraId="483A415E">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6DF6091">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F0C77DE">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702EACDA">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非政府强制采购的节能产品或环境标志产品，依据品目清单和认证证书实施政府优先采购。优先采购的具体规定见第三章《评审方法和评审标准》。</w:t>
      </w:r>
    </w:p>
    <w:p w14:paraId="5F09548B">
      <w:pPr>
        <w:keepNext w:val="0"/>
        <w:keepLines w:val="0"/>
        <w:pageBreakBefore w:val="0"/>
        <w:widowControl w:val="0"/>
        <w:numPr>
          <w:ilvl w:val="2"/>
          <w:numId w:val="8"/>
        </w:numPr>
        <w:tabs>
          <w:tab w:val="left" w:pos="2014"/>
        </w:tabs>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依据《关于印发〈商品包装政府采购需求标准（试行）〉、〈快递包装政府采购需求标准（试行）〉的通知》（财办库〔2020〕123号）</w:t>
      </w:r>
      <w:r>
        <w:rPr>
          <w:rFonts w:hint="eastAsia" w:ascii="宋体" w:hAnsi="宋体" w:cs="宋体"/>
          <w:color w:val="auto"/>
          <w:sz w:val="24"/>
          <w:szCs w:val="24"/>
          <w:highlight w:val="none"/>
          <w:lang w:eastAsia="zh-CN"/>
        </w:rPr>
        <w:t>、财政部 生态环境部 工业和信息化部关于印发《绿色数据中心政府采购需求标准(试行)"的通知》(财库</w:t>
      </w:r>
      <w:r>
        <w:rPr>
          <w:rFonts w:hint="eastAsia" w:ascii="仿宋_GB2312" w:hAnsi="仿宋_GB2312" w:eastAsia="仿宋_GB2312" w:cs="仿宋_GB2312"/>
          <w:color w:val="auto"/>
          <w:sz w:val="24"/>
          <w:szCs w:val="24"/>
          <w:highlight w:val="none"/>
          <w:lang w:eastAsia="zh-CN"/>
        </w:rPr>
        <w:t>〔</w:t>
      </w:r>
      <w:r>
        <w:rPr>
          <w:rFonts w:hint="eastAsia" w:ascii="宋体" w:hAnsi="宋体" w:cs="宋体"/>
          <w:color w:val="auto"/>
          <w:sz w:val="24"/>
          <w:szCs w:val="24"/>
          <w:highlight w:val="none"/>
          <w:lang w:eastAsia="zh-CN"/>
        </w:rPr>
        <w:t>2023</w:t>
      </w:r>
      <w:r>
        <w:rPr>
          <w:rFonts w:hint="eastAsia" w:ascii="仿宋_GB2312" w:hAnsi="仿宋_GB2312" w:eastAsia="仿宋_GB2312" w:cs="仿宋_GB2312"/>
          <w:color w:val="auto"/>
          <w:sz w:val="24"/>
          <w:szCs w:val="24"/>
          <w:highlight w:val="none"/>
          <w:lang w:eastAsia="zh-CN"/>
        </w:rPr>
        <w:t>〕</w:t>
      </w:r>
      <w:r>
        <w:rPr>
          <w:rFonts w:hint="eastAsia" w:ascii="宋体" w:hAnsi="宋体" w:cs="宋体"/>
          <w:color w:val="auto"/>
          <w:sz w:val="24"/>
          <w:szCs w:val="24"/>
          <w:highlight w:val="none"/>
          <w:lang w:eastAsia="zh-CN"/>
        </w:rPr>
        <w:t>7号)》</w:t>
      </w:r>
      <w:r>
        <w:rPr>
          <w:rFonts w:hint="eastAsia" w:ascii="宋体" w:hAnsi="宋体" w:eastAsia="宋体" w:cs="宋体"/>
          <w:color w:val="auto"/>
          <w:sz w:val="24"/>
          <w:szCs w:val="24"/>
          <w:highlight w:val="none"/>
        </w:rPr>
        <w:t>文件精神，采购人在采购文件中明确政府采购供应商提供产品及相关快递服务的具体包装要求的，在政府采购合同中载明对政府采购供应商提供产品及相关快递服务的具体包装要求和履约验收相关条款的，成交供应商必须严格执行，必要时应按照要求在履约验收环节出具检测报告。</w:t>
      </w:r>
    </w:p>
    <w:p w14:paraId="6F2BBEBA">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支持乡村产业振兴管理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本项目不涉及</w:t>
      </w:r>
      <w:r>
        <w:rPr>
          <w:rFonts w:hint="eastAsia" w:ascii="宋体" w:hAnsi="宋体" w:eastAsia="宋体" w:cs="宋体"/>
          <w:color w:val="auto"/>
          <w:sz w:val="24"/>
          <w:szCs w:val="24"/>
          <w:highlight w:val="none"/>
          <w:lang w:eastAsia="zh-CN"/>
        </w:rPr>
        <w:t>）</w:t>
      </w:r>
    </w:p>
    <w:p w14:paraId="5BCE7A05">
      <w:pPr>
        <w:keepNext w:val="0"/>
        <w:keepLines w:val="0"/>
        <w:pageBreakBefore w:val="0"/>
        <w:widowControl w:val="0"/>
        <w:numPr>
          <w:ilvl w:val="2"/>
          <w:numId w:val="8"/>
        </w:numPr>
        <w:tabs>
          <w:tab w:val="left" w:pos="2014"/>
        </w:tabs>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为落实《关于运用政府采购政策支持乡村产业振兴的通知》（财库〔2021〕19号）有关要求，做好支持脱贫攻坚工作，本项目采购活动中对于支持乡村振兴管理的相关要求见第四章《采购需求》。</w:t>
      </w:r>
    </w:p>
    <w:p w14:paraId="60F35260">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正版软件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本项目不涉及</w:t>
      </w:r>
      <w:r>
        <w:rPr>
          <w:rFonts w:hint="eastAsia" w:ascii="宋体" w:hAnsi="宋体" w:eastAsia="宋体" w:cs="宋体"/>
          <w:color w:val="auto"/>
          <w:sz w:val="24"/>
          <w:szCs w:val="24"/>
          <w:highlight w:val="none"/>
          <w:lang w:eastAsia="zh-CN"/>
        </w:rPr>
        <w:t>）</w:t>
      </w:r>
    </w:p>
    <w:p w14:paraId="38F6FA1E">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15629.11/1102）并通过国家产品认证的产品，否则</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BED179B">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BF528FE">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政府采购创新产品政策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本项目不涉及</w:t>
      </w:r>
      <w:r>
        <w:rPr>
          <w:rFonts w:hint="eastAsia" w:ascii="宋体" w:hAnsi="宋体" w:eastAsia="宋体" w:cs="宋体"/>
          <w:color w:val="auto"/>
          <w:sz w:val="24"/>
          <w:szCs w:val="24"/>
          <w:highlight w:val="none"/>
          <w:lang w:eastAsia="zh-CN"/>
        </w:rPr>
        <w:t>）</w:t>
      </w:r>
    </w:p>
    <w:p w14:paraId="25E17E8B">
      <w:pPr>
        <w:keepNext w:val="0"/>
        <w:keepLines w:val="0"/>
        <w:pageBreakBefore w:val="0"/>
        <w:widowControl w:val="0"/>
        <w:numPr>
          <w:ilvl w:val="2"/>
          <w:numId w:val="8"/>
        </w:numPr>
        <w:tabs>
          <w:tab w:val="left" w:pos="2014"/>
        </w:tabs>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要将创新要求嵌入采购项目需求，可在采购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14:paraId="7BE0878E">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绿色采购政策</w:t>
      </w:r>
    </w:p>
    <w:p w14:paraId="790AFF6B">
      <w:pPr>
        <w:keepNext w:val="0"/>
        <w:keepLines w:val="0"/>
        <w:pageBreakBefore w:val="0"/>
        <w:widowControl w:val="0"/>
        <w:numPr>
          <w:ilvl w:val="2"/>
          <w:numId w:val="8"/>
        </w:numPr>
        <w:tabs>
          <w:tab w:val="left" w:pos="2014"/>
        </w:tabs>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绿色数据中心政策 </w:t>
      </w:r>
    </w:p>
    <w:p w14:paraId="609986CE">
      <w:pPr>
        <w:keepNext w:val="0"/>
        <w:keepLines w:val="0"/>
        <w:pageBreakBefore w:val="0"/>
        <w:widowControl w:val="0"/>
        <w:numPr>
          <w:ilvl w:val="0"/>
          <w:numId w:val="0"/>
        </w:numPr>
        <w:tabs>
          <w:tab w:val="left" w:pos="1980"/>
          <w:tab w:val="left" w:pos="2520"/>
        </w:tabs>
        <w:spacing w:line="360" w:lineRule="auto"/>
        <w:ind w:left="144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依据《绿色数据中心政府采购需求标准（试行）》（财办库〔2023〕7 号）文件精神，采购人在采购数据中心相关设备、运维服务，应当有利于节约能源、环境保护和资源循环利用，按照《需求标准》实施相关采购活动。采购人应当加强采购需求管理，根据《需求标准》提出的指标编制数据中心相关设备、运维服务政府采购项目的采购文件，并在合同中明确对相关指标的验收方式和违约责任。采购人应当在履约验收中对供应商提供的产品或服务进行抽查检测，必要时可委托取得相关资质的第三方机构对其进行检测、认证。因检测、认证涉及生产过程或检测时间长等原因，不能在验收过程中开展检测、认证的，可要求供应商在验收阶段提供相关检测报告、认证报告。</w:t>
      </w:r>
    </w:p>
    <w:p w14:paraId="6268B6ED">
      <w:pPr>
        <w:keepNext w:val="0"/>
        <w:keepLines w:val="0"/>
        <w:pageBreakBefore w:val="0"/>
        <w:widowControl w:val="0"/>
        <w:numPr>
          <w:ilvl w:val="2"/>
          <w:numId w:val="8"/>
        </w:numPr>
        <w:tabs>
          <w:tab w:val="left" w:pos="2014"/>
        </w:tabs>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推广应用绿色建材</w:t>
      </w:r>
    </w:p>
    <w:p w14:paraId="6EB4B99F">
      <w:pPr>
        <w:keepNext w:val="0"/>
        <w:keepLines w:val="0"/>
        <w:pageBreakBefore w:val="0"/>
        <w:widowControl w:val="0"/>
        <w:numPr>
          <w:ilvl w:val="0"/>
          <w:numId w:val="0"/>
        </w:numPr>
        <w:tabs>
          <w:tab w:val="left" w:pos="1980"/>
          <w:tab w:val="left" w:pos="2520"/>
        </w:tabs>
        <w:spacing w:line="360" w:lineRule="auto"/>
        <w:ind w:left="144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采购人实施政府采购工程项目，要按照《常州市政府采购支持绿色建材促进建筑品质提升试点工作方案》（常财购〔2023〕18 号）总体要求，落实《绿色建筑和绿色建材政府采购需求标准》（财库〔2022〕35 号）和《政府采购支持绿色建材促进建筑品质提升政策项目实施指南》（财办库〔2023〕52 号）,依据相关需求标准确定采购需求，在采购文件和采购合同中载明具体需求、履约验收条款和违约责任。</w:t>
      </w:r>
    </w:p>
    <w:p w14:paraId="2D7F6246">
      <w:pPr>
        <w:keepNext w:val="0"/>
        <w:keepLines w:val="0"/>
        <w:pageBreakBefore w:val="0"/>
        <w:widowControl w:val="0"/>
        <w:numPr>
          <w:ilvl w:val="2"/>
          <w:numId w:val="8"/>
        </w:numPr>
        <w:tabs>
          <w:tab w:val="left" w:pos="2014"/>
        </w:tabs>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优先使用低挥发性有机化合物产品</w:t>
      </w:r>
    </w:p>
    <w:p w14:paraId="1DA891F8">
      <w:pPr>
        <w:keepNext w:val="0"/>
        <w:keepLines w:val="0"/>
        <w:pageBreakBefore w:val="0"/>
        <w:widowControl w:val="0"/>
        <w:numPr>
          <w:ilvl w:val="0"/>
          <w:numId w:val="0"/>
        </w:numPr>
        <w:tabs>
          <w:tab w:val="left" w:pos="1980"/>
          <w:tab w:val="left" w:pos="2520"/>
        </w:tabs>
        <w:spacing w:line="360" w:lineRule="auto"/>
        <w:ind w:left="144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采购人要落实挥发性有机化合物（VOCs）治理要求，若本项目中涉及涂料、胶黏剂、油墨、清洗剂等挥发性有机物产品的，属于强制性标准的，</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rPr>
        <w:t>应当提供符合国家和江苏省相关VOCs 含量限制标准的产品；属于推荐性标准的，应当在采购文件中载明低VOCs的优惠幅度、评审标准等，以体现优先采购。</w:t>
      </w:r>
    </w:p>
    <w:p w14:paraId="0BC736F7">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响应费用</w:t>
      </w:r>
    </w:p>
    <w:p w14:paraId="00D16E17">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供应商应自行承担所有与准备和参加磋商有关的费用，无论磋商的结果如何，采购人或采购代理机构在任何情况下均无承担这些费用的义务和责任。</w:t>
      </w:r>
    </w:p>
    <w:p w14:paraId="66F3DA28">
      <w:pPr>
        <w:keepNext w:val="0"/>
        <w:keepLines w:val="0"/>
        <w:pageBreakBefore w:val="0"/>
        <w:widowControl w:val="0"/>
        <w:spacing w:line="360" w:lineRule="auto"/>
        <w:jc w:val="center"/>
        <w:outlineLvl w:val="9"/>
        <w:rPr>
          <w:rFonts w:hint="eastAsia" w:ascii="宋体" w:hAnsi="宋体" w:eastAsia="宋体" w:cs="Times New Roman"/>
          <w:b/>
          <w:bCs/>
          <w:color w:val="auto"/>
          <w:sz w:val="28"/>
          <w:szCs w:val="28"/>
          <w:highlight w:val="none"/>
          <w:lang w:val="en-US" w:eastAsia="zh-CN"/>
        </w:rPr>
      </w:pPr>
      <w:bookmarkStart w:id="147" w:name="_1.8_计量单位"/>
      <w:bookmarkEnd w:id="147"/>
    </w:p>
    <w:p w14:paraId="05D09197">
      <w:pPr>
        <w:keepNext w:val="0"/>
        <w:keepLines w:val="0"/>
        <w:pageBreakBefore w:val="0"/>
        <w:widowControl w:val="0"/>
        <w:spacing w:line="360" w:lineRule="auto"/>
        <w:jc w:val="center"/>
        <w:outlineLvl w:val="9"/>
        <w:rPr>
          <w:rFonts w:hint="eastAsia" w:ascii="宋体" w:hAnsi="宋体" w:eastAsia="宋体" w:cs="Times New Roman"/>
          <w:b/>
          <w:bCs/>
          <w:color w:val="auto"/>
          <w:sz w:val="28"/>
          <w:szCs w:val="28"/>
          <w:highlight w:val="none"/>
          <w:lang w:val="en-US" w:eastAsia="zh-CN"/>
        </w:rPr>
      </w:pPr>
      <w:r>
        <w:rPr>
          <w:rFonts w:hint="eastAsia" w:ascii="宋体" w:hAnsi="宋体" w:eastAsia="宋体" w:cs="Times New Roman"/>
          <w:b/>
          <w:bCs/>
          <w:color w:val="auto"/>
          <w:sz w:val="28"/>
          <w:szCs w:val="28"/>
          <w:highlight w:val="none"/>
          <w:lang w:val="en-US" w:eastAsia="zh-CN"/>
        </w:rPr>
        <w:t>二   竞争性磋商文件</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7F02EF8E">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szCs w:val="24"/>
          <w:highlight w:val="none"/>
        </w:rPr>
      </w:pPr>
      <w:bookmarkStart w:id="148" w:name="_Toc265228361"/>
      <w:bookmarkStart w:id="149" w:name="_Toc226309767"/>
      <w:bookmarkStart w:id="150" w:name="_Toc305158865"/>
      <w:bookmarkStart w:id="151" w:name="_Toc305158791"/>
      <w:bookmarkStart w:id="152" w:name="_Toc226965713"/>
      <w:bookmarkStart w:id="153" w:name="_Toc151193911"/>
      <w:bookmarkStart w:id="154" w:name="_Toc164351617"/>
      <w:bookmarkStart w:id="155" w:name="_Toc151193693"/>
      <w:bookmarkStart w:id="156" w:name="_Toc149720816"/>
      <w:bookmarkStart w:id="157" w:name="_Toc164229218"/>
      <w:bookmarkStart w:id="158" w:name="_Toc164608792"/>
      <w:bookmarkStart w:id="159" w:name="_Toc226965796"/>
      <w:bookmarkStart w:id="160" w:name="_Toc164608637"/>
      <w:bookmarkStart w:id="161" w:name="_Toc520356147"/>
      <w:bookmarkStart w:id="162" w:name="_Toc142311025"/>
      <w:bookmarkStart w:id="163" w:name="_Toc195842888"/>
      <w:bookmarkStart w:id="164" w:name="_Toc127151724"/>
      <w:bookmarkStart w:id="165" w:name="_Toc151190150"/>
      <w:bookmarkStart w:id="166" w:name="_Toc164229364"/>
      <w:bookmarkStart w:id="167" w:name="_Toc226337219"/>
      <w:bookmarkStart w:id="168" w:name="_Toc150774728"/>
      <w:bookmarkStart w:id="169" w:name="_Toc150509274"/>
      <w:bookmarkStart w:id="170" w:name="_Toc150774623"/>
      <w:bookmarkStart w:id="171" w:name="_Toc127161437"/>
      <w:bookmarkStart w:id="172" w:name="_Toc151193765"/>
      <w:bookmarkStart w:id="173" w:name="_Toc264969213"/>
      <w:bookmarkStart w:id="174" w:name="_Toc150480761"/>
      <w:bookmarkStart w:id="175" w:name="_Toc151193621"/>
      <w:bookmarkStart w:id="176" w:name="_Toc127151523"/>
      <w:bookmarkStart w:id="177" w:name="_Toc151193837"/>
      <w:r>
        <w:rPr>
          <w:rFonts w:hint="eastAsia" w:ascii="宋体" w:hAnsi="宋体" w:eastAsia="宋体" w:cs="宋体"/>
          <w:color w:val="auto"/>
          <w:sz w:val="24"/>
          <w:szCs w:val="24"/>
          <w:highlight w:val="none"/>
        </w:rPr>
        <w:t>竞争性磋商文件构</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Pr>
          <w:rFonts w:hint="eastAsia" w:ascii="宋体" w:hAnsi="宋体" w:eastAsia="宋体" w:cs="宋体"/>
          <w:color w:val="auto"/>
          <w:sz w:val="24"/>
          <w:szCs w:val="24"/>
          <w:highlight w:val="none"/>
        </w:rPr>
        <w:t>成</w:t>
      </w:r>
    </w:p>
    <w:p w14:paraId="480EECE7">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竞争性磋商文件包括以下部分：</w:t>
      </w:r>
    </w:p>
    <w:p w14:paraId="3F030BBB">
      <w:pPr>
        <w:keepNext w:val="0"/>
        <w:keepLines w:val="0"/>
        <w:pageBreakBefore w:val="0"/>
        <w:widowControl w:val="0"/>
        <w:numPr>
          <w:ilvl w:val="0"/>
          <w:numId w:val="10"/>
        </w:numPr>
        <w:tabs>
          <w:tab w:val="left" w:pos="1980"/>
          <w:tab w:val="left" w:pos="2520"/>
        </w:tabs>
        <w:spacing w:line="360" w:lineRule="auto"/>
        <w:ind w:left="1440" w:firstLine="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采购邀请</w:t>
      </w:r>
    </w:p>
    <w:p w14:paraId="48C65B01">
      <w:pPr>
        <w:keepNext w:val="0"/>
        <w:keepLines w:val="0"/>
        <w:pageBreakBefore w:val="0"/>
        <w:widowControl w:val="0"/>
        <w:numPr>
          <w:ilvl w:val="0"/>
          <w:numId w:val="10"/>
        </w:numPr>
        <w:tabs>
          <w:tab w:val="left" w:pos="1980"/>
          <w:tab w:val="left" w:pos="2520"/>
        </w:tabs>
        <w:spacing w:line="360" w:lineRule="auto"/>
        <w:ind w:left="1440" w:firstLine="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供应商须知</w:t>
      </w:r>
    </w:p>
    <w:p w14:paraId="20C54AC1">
      <w:pPr>
        <w:keepNext w:val="0"/>
        <w:keepLines w:val="0"/>
        <w:pageBreakBefore w:val="0"/>
        <w:widowControl w:val="0"/>
        <w:numPr>
          <w:ilvl w:val="0"/>
          <w:numId w:val="10"/>
        </w:numPr>
        <w:tabs>
          <w:tab w:val="left" w:pos="1980"/>
          <w:tab w:val="left" w:pos="2520"/>
        </w:tabs>
        <w:spacing w:line="360" w:lineRule="auto"/>
        <w:ind w:left="1440" w:firstLine="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评审程序、评审方法和评审标准</w:t>
      </w:r>
    </w:p>
    <w:p w14:paraId="52131649">
      <w:pPr>
        <w:keepNext w:val="0"/>
        <w:keepLines w:val="0"/>
        <w:pageBreakBefore w:val="0"/>
        <w:widowControl w:val="0"/>
        <w:numPr>
          <w:ilvl w:val="0"/>
          <w:numId w:val="10"/>
        </w:numPr>
        <w:tabs>
          <w:tab w:val="left" w:pos="1980"/>
          <w:tab w:val="left" w:pos="2520"/>
        </w:tabs>
        <w:spacing w:line="360" w:lineRule="auto"/>
        <w:ind w:left="1440" w:firstLine="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14:paraId="155A8370">
      <w:pPr>
        <w:keepNext w:val="0"/>
        <w:keepLines w:val="0"/>
        <w:pageBreakBefore w:val="0"/>
        <w:widowControl w:val="0"/>
        <w:numPr>
          <w:ilvl w:val="0"/>
          <w:numId w:val="10"/>
        </w:numPr>
        <w:tabs>
          <w:tab w:val="left" w:pos="1980"/>
          <w:tab w:val="left" w:pos="2520"/>
        </w:tabs>
        <w:spacing w:line="360" w:lineRule="auto"/>
        <w:ind w:left="1440" w:firstLine="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合同草案条款</w:t>
      </w:r>
    </w:p>
    <w:p w14:paraId="4C722BEC">
      <w:pPr>
        <w:keepNext w:val="0"/>
        <w:keepLines w:val="0"/>
        <w:pageBreakBefore w:val="0"/>
        <w:widowControl w:val="0"/>
        <w:numPr>
          <w:ilvl w:val="0"/>
          <w:numId w:val="10"/>
        </w:numPr>
        <w:tabs>
          <w:tab w:val="left" w:pos="1980"/>
          <w:tab w:val="left" w:pos="2520"/>
        </w:tabs>
        <w:spacing w:line="360" w:lineRule="auto"/>
        <w:ind w:left="1440" w:firstLine="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响应文件格式</w:t>
      </w:r>
    </w:p>
    <w:p w14:paraId="7A3F707E">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2DCA9380">
      <w:pPr>
        <w:keepNext w:val="0"/>
        <w:keepLines w:val="0"/>
        <w:pageBreakBefore w:val="0"/>
        <w:widowControl w:val="0"/>
        <w:numPr>
          <w:ilvl w:val="0"/>
          <w:numId w:val="8"/>
        </w:numPr>
        <w:tabs>
          <w:tab w:val="left" w:pos="1080"/>
          <w:tab w:val="left" w:pos="2014"/>
        </w:tabs>
        <w:spacing w:line="360" w:lineRule="auto"/>
        <w:ind w:left="357" w:hanging="357"/>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对竞争性磋商文件的澄清或修改</w:t>
      </w:r>
    </w:p>
    <w:p w14:paraId="61F2A3A1">
      <w:pPr>
        <w:keepNext w:val="0"/>
        <w:keepLines w:val="0"/>
        <w:pageBreakBefore w:val="0"/>
        <w:widowControl w:val="0"/>
        <w:numPr>
          <w:ilvl w:val="1"/>
          <w:numId w:val="8"/>
        </w:numPr>
        <w:tabs>
          <w:tab w:val="left" w:pos="1080"/>
          <w:tab w:val="left" w:pos="1561"/>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采购人或采购代理机构对已发出的竞争性磋商文件进行必要澄清或者修改的，将在原公告发布媒体上以发布更正公告的形式通知所有获取磋商文件的供应商。</w:t>
      </w:r>
    </w:p>
    <w:p w14:paraId="5DE3D522">
      <w:pPr>
        <w:keepNext w:val="0"/>
        <w:keepLines w:val="0"/>
        <w:pageBreakBefore w:val="0"/>
        <w:widowControl w:val="0"/>
        <w:numPr>
          <w:ilvl w:val="1"/>
          <w:numId w:val="8"/>
        </w:numPr>
        <w:tabs>
          <w:tab w:val="left" w:pos="1080"/>
          <w:tab w:val="left" w:pos="1561"/>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澄清或者修改的内容为竞争性磋商文件的组成部分，并对所有获取竞争性磋商文件的潜在供应商具有约束力。澄清或者修改的内容可能影响响应文件编制的，将在提交首次响应文件截止之日5日前，以更正公告形式通知所有获取磋商文件的潜在供应商；不足上述时间的，将顺延提交响应文件的截止时间。</w:t>
      </w:r>
    </w:p>
    <w:p w14:paraId="3E7EEBB0">
      <w:pPr>
        <w:keepNext w:val="0"/>
        <w:keepLines w:val="0"/>
        <w:pageBreakBefore w:val="0"/>
        <w:widowControl w:val="0"/>
        <w:spacing w:line="360" w:lineRule="auto"/>
        <w:jc w:val="center"/>
        <w:outlineLvl w:val="9"/>
        <w:rPr>
          <w:rFonts w:hint="eastAsia" w:ascii="宋体" w:hAnsi="宋体" w:eastAsia="宋体" w:cs="Times New Roman"/>
          <w:b/>
          <w:bCs/>
          <w:color w:val="auto"/>
          <w:sz w:val="28"/>
          <w:szCs w:val="28"/>
          <w:highlight w:val="none"/>
          <w:lang w:val="en-US" w:eastAsia="zh-CN"/>
        </w:rPr>
      </w:pPr>
      <w:bookmarkStart w:id="178" w:name="_Toc516367020"/>
      <w:bookmarkStart w:id="179" w:name="_Toc142311028"/>
      <w:bookmarkStart w:id="180" w:name="_Toc150774626"/>
      <w:bookmarkStart w:id="181" w:name="_Toc226965799"/>
      <w:bookmarkStart w:id="182" w:name="_Toc151193624"/>
      <w:bookmarkStart w:id="183" w:name="_Toc150480764"/>
      <w:bookmarkStart w:id="184" w:name="_Toc127151526"/>
      <w:bookmarkStart w:id="185" w:name="_Toc151193840"/>
      <w:bookmarkStart w:id="186" w:name="_Toc151193914"/>
      <w:bookmarkStart w:id="187" w:name="_Toc150774731"/>
      <w:bookmarkStart w:id="188" w:name="_Toc265228364"/>
      <w:bookmarkStart w:id="189" w:name="_Toc305158794"/>
      <w:bookmarkStart w:id="190" w:name="_Toc151190153"/>
      <w:bookmarkStart w:id="191" w:name="_Toc520356150"/>
      <w:bookmarkStart w:id="192" w:name="_Toc226337222"/>
      <w:bookmarkStart w:id="193" w:name="_Toc151193768"/>
      <w:bookmarkStart w:id="194" w:name="_Toc226309770"/>
      <w:bookmarkStart w:id="195" w:name="_Toc305158868"/>
      <w:bookmarkStart w:id="196" w:name="_Toc151193696"/>
      <w:bookmarkStart w:id="197" w:name="_Toc150509277"/>
      <w:bookmarkStart w:id="198" w:name="_Toc226965716"/>
      <w:bookmarkStart w:id="199" w:name="_Toc264969216"/>
      <w:bookmarkStart w:id="200" w:name="_Toc195842891"/>
    </w:p>
    <w:p w14:paraId="132C554F">
      <w:pPr>
        <w:keepNext w:val="0"/>
        <w:keepLines w:val="0"/>
        <w:pageBreakBefore w:val="0"/>
        <w:widowControl w:val="0"/>
        <w:spacing w:line="360" w:lineRule="auto"/>
        <w:jc w:val="center"/>
        <w:outlineLvl w:val="9"/>
        <w:rPr>
          <w:rFonts w:hint="eastAsia" w:ascii="宋体" w:hAnsi="宋体" w:eastAsia="宋体" w:cs="Times New Roman"/>
          <w:b/>
          <w:bCs/>
          <w:color w:val="auto"/>
          <w:sz w:val="28"/>
          <w:szCs w:val="28"/>
          <w:highlight w:val="none"/>
          <w:lang w:val="en-US" w:eastAsia="zh-CN"/>
        </w:rPr>
      </w:pPr>
      <w:r>
        <w:rPr>
          <w:rFonts w:hint="eastAsia" w:ascii="宋体" w:hAnsi="宋体" w:eastAsia="宋体" w:cs="Times New Roman"/>
          <w:b/>
          <w:bCs/>
          <w:color w:val="auto"/>
          <w:sz w:val="28"/>
          <w:szCs w:val="28"/>
          <w:highlight w:val="none"/>
          <w:lang w:val="en-US" w:eastAsia="zh-CN"/>
        </w:rPr>
        <w:t>三   响应文件</w:t>
      </w:r>
      <w:bookmarkEnd w:id="178"/>
      <w:r>
        <w:rPr>
          <w:rFonts w:hint="eastAsia" w:ascii="宋体" w:hAnsi="宋体" w:eastAsia="宋体" w:cs="Times New Roman"/>
          <w:b/>
          <w:bCs/>
          <w:color w:val="auto"/>
          <w:sz w:val="28"/>
          <w:szCs w:val="28"/>
          <w:highlight w:val="none"/>
          <w:lang w:val="en-US" w:eastAsia="zh-CN"/>
        </w:rPr>
        <w:t>的编制</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6DD9F48E">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highlight w:val="none"/>
        </w:rPr>
      </w:pPr>
      <w:bookmarkStart w:id="201" w:name="_Toc151193841"/>
      <w:bookmarkStart w:id="202" w:name="_Toc150509278"/>
      <w:bookmarkStart w:id="203" w:name="_Toc164229368"/>
      <w:bookmarkStart w:id="204" w:name="_Toc520356151"/>
      <w:bookmarkStart w:id="205" w:name="_Toc150774732"/>
      <w:bookmarkStart w:id="206" w:name="_Toc164608641"/>
      <w:bookmarkStart w:id="207" w:name="_Toc151193769"/>
      <w:bookmarkStart w:id="208" w:name="_Toc151193697"/>
      <w:bookmarkStart w:id="209" w:name="_Toc127151527"/>
      <w:bookmarkStart w:id="210" w:name="_Toc127161441"/>
      <w:bookmarkStart w:id="211" w:name="_Toc151190154"/>
      <w:bookmarkStart w:id="212" w:name="_Toc264969217"/>
      <w:bookmarkStart w:id="213" w:name="_Toc149720820"/>
      <w:bookmarkStart w:id="214" w:name="_Toc226965800"/>
      <w:bookmarkStart w:id="215" w:name="_Toc164608796"/>
      <w:bookmarkStart w:id="216" w:name="_Toc305158795"/>
      <w:bookmarkStart w:id="217" w:name="_Toc164229222"/>
      <w:bookmarkStart w:id="218" w:name="_Toc226337223"/>
      <w:bookmarkStart w:id="219" w:name="_Toc150480765"/>
      <w:bookmarkStart w:id="220" w:name="_Toc127151728"/>
      <w:bookmarkStart w:id="221" w:name="_Toc151193915"/>
      <w:bookmarkStart w:id="222" w:name="_Toc226965717"/>
      <w:bookmarkStart w:id="223" w:name="_Toc150774627"/>
      <w:bookmarkStart w:id="224" w:name="_Toc142311029"/>
      <w:bookmarkStart w:id="225" w:name="_Toc164351621"/>
      <w:bookmarkStart w:id="226" w:name="_Toc305158869"/>
      <w:bookmarkStart w:id="227" w:name="_Toc516367021"/>
      <w:bookmarkStart w:id="228" w:name="_Toc151193625"/>
      <w:bookmarkStart w:id="229" w:name="_Toc195842892"/>
      <w:bookmarkStart w:id="230" w:name="_Toc226309771"/>
      <w:bookmarkStart w:id="231" w:name="_Toc265228365"/>
      <w:r>
        <w:rPr>
          <w:rFonts w:hint="eastAsia" w:ascii="宋体" w:hAnsi="宋体" w:eastAsia="宋体" w:cs="宋体"/>
          <w:color w:val="auto"/>
          <w:sz w:val="24"/>
          <w:highlight w:val="none"/>
        </w:rPr>
        <w:t>响应范围、竞争性磋商文件中计量单位的使用</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Pr>
          <w:rFonts w:hint="eastAsia" w:ascii="宋体" w:hAnsi="宋体" w:eastAsia="宋体" w:cs="宋体"/>
          <w:color w:val="auto"/>
          <w:sz w:val="24"/>
          <w:highlight w:val="none"/>
        </w:rPr>
        <w:t>及磋商语言</w:t>
      </w:r>
    </w:p>
    <w:p w14:paraId="4D0E504F">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02D5404E">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除竞争性磋商文件有特殊要求外，本项目磋商所使用的计量单位，应采用中华人民共和国法定计量单位。</w:t>
      </w:r>
    </w:p>
    <w:p w14:paraId="719F66FC">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67503EB">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highlight w:val="none"/>
        </w:rPr>
      </w:pPr>
      <w:bookmarkStart w:id="232" w:name="_Ref467306676"/>
      <w:bookmarkStart w:id="233" w:name="_Ref467306195"/>
      <w:bookmarkStart w:id="234" w:name="_Toc516367022"/>
      <w:bookmarkStart w:id="235" w:name="_Toc127151729"/>
      <w:bookmarkStart w:id="236" w:name="_Toc226309772"/>
      <w:bookmarkStart w:id="237" w:name="_Toc520356152"/>
      <w:bookmarkStart w:id="238" w:name="_Toc226337224"/>
      <w:bookmarkStart w:id="239" w:name="_Toc127151528"/>
      <w:bookmarkStart w:id="240" w:name="_Toc264969218"/>
      <w:bookmarkStart w:id="241" w:name="_Toc151193626"/>
      <w:bookmarkStart w:id="242" w:name="_Toc305158796"/>
      <w:bookmarkStart w:id="243" w:name="_Toc164229369"/>
      <w:bookmarkStart w:id="244" w:name="_Toc164608797"/>
      <w:bookmarkStart w:id="245" w:name="_Toc164351622"/>
      <w:bookmarkStart w:id="246" w:name="_Toc226965801"/>
      <w:bookmarkStart w:id="247" w:name="_Toc150774628"/>
      <w:bookmarkStart w:id="248" w:name="_Toc150480766"/>
      <w:bookmarkStart w:id="249" w:name="_Toc151193842"/>
      <w:bookmarkStart w:id="250" w:name="_Toc305158870"/>
      <w:bookmarkStart w:id="251" w:name="_Toc164608642"/>
      <w:bookmarkStart w:id="252" w:name="_Toc151193916"/>
      <w:bookmarkStart w:id="253" w:name="_Toc164229223"/>
      <w:bookmarkStart w:id="254" w:name="_Toc149720821"/>
      <w:bookmarkStart w:id="255" w:name="_Toc151193698"/>
      <w:bookmarkStart w:id="256" w:name="_Toc142311030"/>
      <w:bookmarkStart w:id="257" w:name="_Toc150509279"/>
      <w:bookmarkStart w:id="258" w:name="_Toc195842893"/>
      <w:bookmarkStart w:id="259" w:name="_Toc226965718"/>
      <w:bookmarkStart w:id="260" w:name="_Toc150774733"/>
      <w:bookmarkStart w:id="261" w:name="_Toc151190155"/>
      <w:bookmarkStart w:id="262" w:name="_Toc151193770"/>
      <w:bookmarkStart w:id="263" w:name="_Toc265228366"/>
      <w:bookmarkStart w:id="264" w:name="_Toc127161442"/>
      <w:r>
        <w:rPr>
          <w:rFonts w:hint="eastAsia" w:ascii="宋体" w:hAnsi="宋体" w:eastAsia="宋体" w:cs="宋体"/>
          <w:color w:val="auto"/>
          <w:sz w:val="24"/>
          <w:highlight w:val="none"/>
        </w:rPr>
        <w:t>响应文件</w:t>
      </w:r>
      <w:bookmarkEnd w:id="232"/>
      <w:bookmarkEnd w:id="233"/>
      <w:bookmarkEnd w:id="234"/>
      <w:r>
        <w:rPr>
          <w:rFonts w:hint="eastAsia" w:ascii="宋体" w:hAnsi="宋体" w:eastAsia="宋体" w:cs="宋体"/>
          <w:color w:val="auto"/>
          <w:sz w:val="24"/>
          <w:highlight w:val="none"/>
        </w:rPr>
        <w:t>构成</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01F8679C">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highlight w:val="none"/>
        </w:rPr>
      </w:pPr>
      <w:bookmarkStart w:id="265" w:name="_Ref467052588"/>
      <w:r>
        <w:rPr>
          <w:rFonts w:hint="eastAsia" w:ascii="宋体" w:hAnsi="宋体" w:eastAsia="宋体" w:cs="宋体"/>
          <w:color w:val="auto"/>
          <w:sz w:val="24"/>
          <w:highlight w:val="none"/>
        </w:rPr>
        <w:t>供应商应当按照竞争性磋商文件的要求编制响应文件，并对其提交的响应文件的真实性、合法性承担法律责任。响应文件的部分格式要求，见第六章《响应文件格式》。</w:t>
      </w:r>
    </w:p>
    <w:p w14:paraId="67C6EEB9">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color w:val="auto"/>
          <w:sz w:val="24"/>
          <w:highlight w:val="none"/>
        </w:rPr>
        <w:t>否则响应无效</w:t>
      </w:r>
      <w:r>
        <w:rPr>
          <w:rFonts w:hint="eastAsia" w:ascii="宋体" w:hAnsi="宋体" w:eastAsia="宋体" w:cs="宋体"/>
          <w:color w:val="auto"/>
          <w:sz w:val="24"/>
          <w:highlight w:val="none"/>
        </w:rPr>
        <w:t>。未标记“实质性格式”的文件和竞争性磋商文件未提供格式的内容，可由供应商自行编写。</w:t>
      </w:r>
    </w:p>
    <w:p w14:paraId="62A3BE06">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第三章《评审方法和评审标准》中涉及的证明文件。</w:t>
      </w:r>
    </w:p>
    <w:p w14:paraId="77322829">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7A7D1EE">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供应商认为应附的其他材料。</w:t>
      </w:r>
      <w:bookmarkEnd w:id="265"/>
    </w:p>
    <w:p w14:paraId="580BADD6">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highlight w:val="none"/>
        </w:rPr>
      </w:pPr>
      <w:bookmarkStart w:id="266" w:name="_Toc150774735"/>
      <w:bookmarkStart w:id="267" w:name="_Toc520356155"/>
      <w:bookmarkStart w:id="268" w:name="_Toc127161444"/>
      <w:bookmarkStart w:id="269" w:name="_Toc151193700"/>
      <w:bookmarkStart w:id="270" w:name="_Toc164351624"/>
      <w:bookmarkStart w:id="271" w:name="_Toc164608644"/>
      <w:bookmarkStart w:id="272" w:name="_Toc151193844"/>
      <w:bookmarkStart w:id="273" w:name="_Toc151193918"/>
      <w:bookmarkStart w:id="274" w:name="_Toc150774630"/>
      <w:bookmarkStart w:id="275" w:name="_Toc127151731"/>
      <w:bookmarkStart w:id="276" w:name="_Toc151193772"/>
      <w:bookmarkStart w:id="277" w:name="_Toc164229371"/>
      <w:bookmarkStart w:id="278" w:name="_Toc127151530"/>
      <w:bookmarkStart w:id="279" w:name="_Toc151190157"/>
      <w:bookmarkStart w:id="280" w:name="_Toc150509281"/>
      <w:bookmarkStart w:id="281" w:name="_Toc151193628"/>
      <w:bookmarkStart w:id="282" w:name="_Toc195842895"/>
      <w:bookmarkStart w:id="283" w:name="_Toc164229225"/>
      <w:bookmarkStart w:id="284" w:name="_Toc149720823"/>
      <w:bookmarkStart w:id="285" w:name="_Toc150480768"/>
      <w:bookmarkStart w:id="286" w:name="_Toc164608799"/>
      <w:bookmarkStart w:id="287" w:name="_Toc142311032"/>
      <w:r>
        <w:rPr>
          <w:rFonts w:hint="eastAsia" w:ascii="宋体" w:hAnsi="宋体" w:eastAsia="宋体" w:cs="宋体"/>
          <w:color w:val="auto"/>
          <w:sz w:val="24"/>
          <w:highlight w:val="none"/>
        </w:rPr>
        <w:t>报价</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181E2218">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所有响应均以人民币报价。</w:t>
      </w:r>
    </w:p>
    <w:p w14:paraId="0435A22C">
      <w:pPr>
        <w:keepNext w:val="0"/>
        <w:keepLines w:val="0"/>
        <w:pageBreakBefore w:val="0"/>
        <w:widowControl w:val="0"/>
        <w:numPr>
          <w:ilvl w:val="1"/>
          <w:numId w:val="8"/>
        </w:numPr>
        <w:tabs>
          <w:tab w:val="left" w:pos="1080"/>
        </w:tabs>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772F3C73">
      <w:pPr>
        <w:keepNext w:val="0"/>
        <w:keepLines w:val="0"/>
        <w:pageBreakBefore w:val="0"/>
        <w:widowControl w:val="0"/>
        <w:numPr>
          <w:ilvl w:val="2"/>
          <w:numId w:val="8"/>
        </w:num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报价应包括竞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3E64C187">
      <w:pPr>
        <w:keepNext w:val="0"/>
        <w:keepLines w:val="0"/>
        <w:pageBreakBefore w:val="0"/>
        <w:widowControl w:val="0"/>
        <w:numPr>
          <w:ilvl w:val="2"/>
          <w:numId w:val="8"/>
        </w:num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按照竞争性磋商文件要求完成本项目的全部相关服务费用。</w:t>
      </w:r>
    </w:p>
    <w:p w14:paraId="16036EDF">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采购人不得向供应商索要或者接受其给予的赠品、回扣或者与采购无关的其他商品、服务。</w:t>
      </w:r>
    </w:p>
    <w:p w14:paraId="2CCC8243">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供应商不能提供任何有选择性或可调整的最终报价（竞争性磋商文件另有规定的除外），否则其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26F7067C">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w:t>
      </w:r>
    </w:p>
    <w:p w14:paraId="2509E694">
      <w:pPr>
        <w:keepNext w:val="0"/>
        <w:keepLines w:val="0"/>
        <w:pageBreakBefore w:val="0"/>
        <w:widowControl w:val="0"/>
        <w:tabs>
          <w:tab w:val="left" w:pos="360"/>
        </w:tabs>
        <w:spacing w:line="360" w:lineRule="auto"/>
        <w:ind w:firstLine="36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根据江苏省和常州市的相关文件规定，免收保证金。</w:t>
      </w:r>
    </w:p>
    <w:p w14:paraId="7BC894B2">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响应有效期</w:t>
      </w:r>
    </w:p>
    <w:p w14:paraId="778AA98D">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响应文件应在本竞争性磋商文件《供应商须知资料表》中规定的响应有效期内保持有效，响应有效期少于竞争性磋商文件规定期限的，其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0C01479E">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highlight w:val="none"/>
        </w:rPr>
      </w:pPr>
      <w:bookmarkStart w:id="288" w:name="_Toc150480771"/>
      <w:bookmarkStart w:id="289" w:name="_Toc305158875"/>
      <w:bookmarkStart w:id="290" w:name="_Toc151193921"/>
      <w:bookmarkStart w:id="291" w:name="_Toc195842898"/>
      <w:bookmarkStart w:id="292" w:name="_Toc265228371"/>
      <w:bookmarkStart w:id="293" w:name="_Toc127151734"/>
      <w:bookmarkStart w:id="294" w:name="_Toc149720826"/>
      <w:bookmarkStart w:id="295" w:name="_Toc151193775"/>
      <w:bookmarkStart w:id="296" w:name="_Toc226337229"/>
      <w:bookmarkStart w:id="297" w:name="_Toc151190160"/>
      <w:bookmarkStart w:id="298" w:name="_Toc151193631"/>
      <w:bookmarkStart w:id="299" w:name="_Toc164608802"/>
      <w:bookmarkStart w:id="300" w:name="_Toc151193703"/>
      <w:bookmarkStart w:id="301" w:name="_Toc226309777"/>
      <w:bookmarkStart w:id="302" w:name="_Toc164229374"/>
      <w:bookmarkStart w:id="303" w:name="_Toc150774633"/>
      <w:bookmarkStart w:id="304" w:name="_Toc127161447"/>
      <w:bookmarkStart w:id="305" w:name="_Toc520356158"/>
      <w:bookmarkStart w:id="306" w:name="_Toc226965806"/>
      <w:bookmarkStart w:id="307" w:name="_Toc226965723"/>
      <w:bookmarkStart w:id="308" w:name="_Toc127151533"/>
      <w:bookmarkStart w:id="309" w:name="_Toc150774738"/>
      <w:bookmarkStart w:id="310" w:name="_Toc164351627"/>
      <w:bookmarkStart w:id="311" w:name="_Toc305158801"/>
      <w:bookmarkStart w:id="312" w:name="_Toc151193847"/>
      <w:bookmarkStart w:id="313" w:name="_Toc164608647"/>
      <w:bookmarkStart w:id="314" w:name="_Toc164229228"/>
      <w:bookmarkStart w:id="315" w:name="_Toc264969223"/>
      <w:bookmarkStart w:id="316" w:name="_Toc142311035"/>
      <w:bookmarkStart w:id="317" w:name="_Toc150509284"/>
      <w:r>
        <w:rPr>
          <w:rFonts w:hint="eastAsia" w:ascii="宋体" w:hAnsi="宋体" w:eastAsia="宋体" w:cs="宋体"/>
          <w:color w:val="auto"/>
          <w:sz w:val="24"/>
          <w:highlight w:val="none"/>
        </w:rPr>
        <w:t>响应文件的签署</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Pr>
          <w:rFonts w:hint="eastAsia" w:ascii="宋体" w:hAnsi="宋体" w:eastAsia="宋体" w:cs="宋体"/>
          <w:color w:val="auto"/>
          <w:sz w:val="24"/>
          <w:highlight w:val="none"/>
        </w:rPr>
        <w:t>、盖章</w:t>
      </w:r>
    </w:p>
    <w:p w14:paraId="108A4833">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14:paraId="6E5873AD">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竞争性磋商文件要求盖章的内容，一般通过</w:t>
      </w:r>
      <w:r>
        <w:rPr>
          <w:rFonts w:hint="eastAsia" w:ascii="宋体" w:hAnsi="宋体" w:eastAsia="宋体" w:cs="宋体"/>
          <w:color w:val="auto"/>
          <w:sz w:val="24"/>
          <w:highlight w:val="none"/>
          <w:lang w:val="en-US" w:eastAsia="zh-CN"/>
        </w:rPr>
        <w:t>磋商响应文件</w:t>
      </w:r>
      <w:r>
        <w:rPr>
          <w:rFonts w:hint="eastAsia" w:ascii="宋体" w:hAnsi="宋体" w:eastAsia="宋体" w:cs="宋体"/>
          <w:color w:val="auto"/>
          <w:sz w:val="24"/>
          <w:highlight w:val="none"/>
        </w:rPr>
        <w:t>编制工具加盖电子签章。</w:t>
      </w:r>
    </w:p>
    <w:p w14:paraId="2FEB38D4">
      <w:pPr>
        <w:keepNext w:val="0"/>
        <w:keepLines w:val="0"/>
        <w:pageBreakBefore w:val="0"/>
        <w:widowControl w:val="0"/>
        <w:spacing w:line="360" w:lineRule="auto"/>
        <w:jc w:val="center"/>
        <w:outlineLvl w:val="9"/>
        <w:rPr>
          <w:rFonts w:hint="eastAsia" w:ascii="宋体" w:hAnsi="宋体" w:eastAsia="宋体" w:cs="Times New Roman"/>
          <w:b/>
          <w:bCs/>
          <w:color w:val="auto"/>
          <w:sz w:val="28"/>
          <w:szCs w:val="28"/>
          <w:highlight w:val="none"/>
          <w:lang w:val="en-US" w:eastAsia="zh-CN"/>
        </w:rPr>
      </w:pPr>
      <w:bookmarkStart w:id="318" w:name="_Toc151193922"/>
      <w:bookmarkStart w:id="319" w:name="_Toc226337230"/>
      <w:bookmarkStart w:id="320" w:name="_Toc195842899"/>
      <w:bookmarkStart w:id="321" w:name="_Toc150774739"/>
      <w:bookmarkStart w:id="322" w:name="_Toc226965807"/>
      <w:bookmarkStart w:id="323" w:name="_Toc151190161"/>
      <w:bookmarkStart w:id="324" w:name="_Toc151193848"/>
      <w:bookmarkStart w:id="325" w:name="_Toc520356159"/>
      <w:bookmarkStart w:id="326" w:name="_Toc142311036"/>
      <w:bookmarkStart w:id="327" w:name="_Toc151193776"/>
      <w:bookmarkStart w:id="328" w:name="_Toc226965724"/>
      <w:bookmarkStart w:id="329" w:name="_Toc127151534"/>
      <w:bookmarkStart w:id="330" w:name="_Toc264969224"/>
      <w:bookmarkStart w:id="331" w:name="_Toc150509285"/>
      <w:bookmarkStart w:id="332" w:name="_Toc151193704"/>
      <w:bookmarkStart w:id="333" w:name="_Toc226309778"/>
      <w:bookmarkStart w:id="334" w:name="_Toc150480772"/>
      <w:bookmarkStart w:id="335" w:name="_Toc150774634"/>
      <w:bookmarkStart w:id="336" w:name="_Toc151193632"/>
      <w:bookmarkStart w:id="337" w:name="_Toc265228372"/>
      <w:bookmarkStart w:id="338" w:name="_Toc305158802"/>
      <w:bookmarkStart w:id="339" w:name="_Toc305158876"/>
    </w:p>
    <w:p w14:paraId="0DEF19F3">
      <w:pPr>
        <w:keepNext w:val="0"/>
        <w:keepLines w:val="0"/>
        <w:pageBreakBefore w:val="0"/>
        <w:widowControl w:val="0"/>
        <w:spacing w:line="360" w:lineRule="auto"/>
        <w:jc w:val="center"/>
        <w:outlineLvl w:val="9"/>
        <w:rPr>
          <w:rFonts w:hint="eastAsia" w:ascii="宋体" w:hAnsi="宋体" w:eastAsia="宋体" w:cs="Times New Roman"/>
          <w:b/>
          <w:bCs/>
          <w:color w:val="auto"/>
          <w:sz w:val="28"/>
          <w:szCs w:val="28"/>
          <w:highlight w:val="none"/>
          <w:lang w:val="en-US" w:eastAsia="zh-CN"/>
        </w:rPr>
      </w:pPr>
      <w:r>
        <w:rPr>
          <w:rFonts w:hint="eastAsia" w:ascii="宋体" w:hAnsi="宋体" w:eastAsia="宋体" w:cs="Times New Roman"/>
          <w:b/>
          <w:bCs/>
          <w:color w:val="auto"/>
          <w:sz w:val="28"/>
          <w:szCs w:val="28"/>
          <w:highlight w:val="none"/>
          <w:lang w:val="en-US" w:eastAsia="zh-CN"/>
        </w:rPr>
        <w:t>四   响应文件的提交</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7AC01046">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highlight w:val="none"/>
        </w:rPr>
      </w:pPr>
      <w:bookmarkStart w:id="340" w:name="_Toc150480773"/>
      <w:bookmarkStart w:id="341" w:name="_Toc149720828"/>
      <w:bookmarkStart w:id="342" w:name="_Toc150774740"/>
      <w:bookmarkStart w:id="343" w:name="_Toc151193705"/>
      <w:bookmarkStart w:id="344" w:name="_Toc127161449"/>
      <w:bookmarkStart w:id="345" w:name="_Toc520356160"/>
      <w:bookmarkStart w:id="346" w:name="_Toc127151736"/>
      <w:bookmarkStart w:id="347" w:name="_Toc195842900"/>
      <w:bookmarkStart w:id="348" w:name="_Toc151193849"/>
      <w:bookmarkStart w:id="349" w:name="_Toc305158877"/>
      <w:bookmarkStart w:id="350" w:name="_Toc226965725"/>
      <w:bookmarkStart w:id="351" w:name="_Toc226965808"/>
      <w:bookmarkStart w:id="352" w:name="_Toc305158803"/>
      <w:bookmarkStart w:id="353" w:name="_Toc150774635"/>
      <w:bookmarkStart w:id="354" w:name="_Toc142311037"/>
      <w:bookmarkStart w:id="355" w:name="_Toc150509286"/>
      <w:bookmarkStart w:id="356" w:name="_Toc164229376"/>
      <w:bookmarkStart w:id="357" w:name="_Toc164608804"/>
      <w:bookmarkStart w:id="358" w:name="_Toc151193633"/>
      <w:bookmarkStart w:id="359" w:name="_Toc127151535"/>
      <w:bookmarkStart w:id="360" w:name="_Toc151193777"/>
      <w:bookmarkStart w:id="361" w:name="_Toc264969225"/>
      <w:bookmarkStart w:id="362" w:name="_Toc226337231"/>
      <w:bookmarkStart w:id="363" w:name="_Toc151193923"/>
      <w:bookmarkStart w:id="364" w:name="_Toc265228373"/>
      <w:bookmarkStart w:id="365" w:name="_Toc226309779"/>
      <w:bookmarkStart w:id="366" w:name="_Toc164229230"/>
      <w:bookmarkStart w:id="367" w:name="_Toc151190162"/>
      <w:bookmarkStart w:id="368" w:name="_Toc164351629"/>
      <w:bookmarkStart w:id="369" w:name="_Toc164608649"/>
      <w:r>
        <w:rPr>
          <w:rFonts w:hint="eastAsia" w:ascii="宋体" w:hAnsi="宋体" w:eastAsia="宋体" w:cs="宋体"/>
          <w:color w:val="auto"/>
          <w:sz w:val="24"/>
          <w:highlight w:val="none"/>
        </w:rPr>
        <w:t>响应文件的提交</w:t>
      </w:r>
    </w:p>
    <w:p w14:paraId="077C78D6">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本项目使用</w:t>
      </w:r>
      <w:r>
        <w:rPr>
          <w:rFonts w:hint="eastAsia" w:ascii="宋体" w:hAnsi="宋体" w:eastAsia="宋体" w:cs="宋体"/>
          <w:color w:val="auto"/>
          <w:sz w:val="24"/>
          <w:highlight w:val="none"/>
          <w:lang w:eastAsia="zh-CN"/>
        </w:rPr>
        <w:t>“苏采云”政府采购一体化平台</w:t>
      </w:r>
      <w:r>
        <w:rPr>
          <w:rFonts w:hint="eastAsia" w:ascii="宋体" w:hAnsi="宋体" w:eastAsia="宋体" w:cs="宋体"/>
          <w:color w:val="auto"/>
          <w:sz w:val="24"/>
          <w:highlight w:val="none"/>
        </w:rPr>
        <w:t>。供应商根据竞争性磋商文件及</w:t>
      </w:r>
      <w:r>
        <w:rPr>
          <w:rFonts w:hint="eastAsia" w:ascii="宋体" w:hAnsi="宋体" w:eastAsia="宋体" w:cs="宋体"/>
          <w:color w:val="auto"/>
          <w:sz w:val="24"/>
          <w:highlight w:val="none"/>
          <w:lang w:eastAsia="zh-CN"/>
        </w:rPr>
        <w:t>“苏采云”政府采购一体化平台</w:t>
      </w:r>
      <w:r>
        <w:rPr>
          <w:rFonts w:hint="eastAsia" w:ascii="宋体" w:hAnsi="宋体" w:eastAsia="宋体" w:cs="宋体"/>
          <w:color w:val="auto"/>
          <w:sz w:val="24"/>
          <w:highlight w:val="none"/>
        </w:rPr>
        <w:t>供应商操作手册要求编制、生成并提交电子响应文件。</w:t>
      </w:r>
    </w:p>
    <w:p w14:paraId="1BA4A786">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采购人及采购代理机构拒绝接受通过电子交易平台以外任何形式提交的响应文件。</w:t>
      </w:r>
    </w:p>
    <w:p w14:paraId="00D3193F">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响应文件截止时间</w:t>
      </w:r>
    </w:p>
    <w:p w14:paraId="133E3C8C">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供应商应在竞争性磋商文件要求提交响应文件截止时间前，将电子响应文件提交至</w:t>
      </w:r>
      <w:r>
        <w:rPr>
          <w:rFonts w:hint="eastAsia" w:ascii="宋体" w:hAnsi="宋体" w:eastAsia="宋体" w:cs="宋体"/>
          <w:color w:val="auto"/>
          <w:sz w:val="24"/>
          <w:highlight w:val="none"/>
          <w:lang w:eastAsia="zh-CN"/>
        </w:rPr>
        <w:t>“苏采云”政府采购一体化平台</w:t>
      </w:r>
      <w:r>
        <w:rPr>
          <w:rFonts w:hint="eastAsia" w:ascii="宋体" w:hAnsi="宋体" w:eastAsia="宋体" w:cs="宋体"/>
          <w:color w:val="auto"/>
          <w:sz w:val="24"/>
          <w:highlight w:val="none"/>
        </w:rPr>
        <w:t>。</w:t>
      </w:r>
    </w:p>
    <w:p w14:paraId="6D54A505">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响应文件的修改与撤回</w:t>
      </w:r>
    </w:p>
    <w:p w14:paraId="7C88CB40">
      <w:pPr>
        <w:keepNext w:val="0"/>
        <w:keepLines w:val="0"/>
        <w:pageBreakBefore w:val="0"/>
        <w:widowControl w:val="0"/>
        <w:numPr>
          <w:ilvl w:val="1"/>
          <w:numId w:val="8"/>
        </w:numPr>
        <w:tabs>
          <w:tab w:val="left" w:pos="1080"/>
          <w:tab w:val="left" w:pos="2014"/>
        </w:tabs>
        <w:spacing w:line="360" w:lineRule="auto"/>
        <w:ind w:left="1077" w:hanging="720"/>
        <w:outlineLvl w:val="9"/>
        <w:rPr>
          <w:color w:val="auto"/>
          <w:sz w:val="24"/>
          <w:highlight w:val="none"/>
        </w:rPr>
      </w:pPr>
      <w:r>
        <w:rPr>
          <w:rFonts w:hint="eastAsia" w:ascii="宋体" w:hAnsi="宋体" w:eastAsia="宋体" w:cs="宋体"/>
          <w:color w:val="auto"/>
          <w:sz w:val="24"/>
          <w:highlight w:val="none"/>
        </w:rPr>
        <w:t>提交响应文件截止时间前，供应商可以通过电子交易平台对所提交的响应文件进行补充、修改或者撤回。</w:t>
      </w:r>
    </w:p>
    <w:p w14:paraId="7CC763EB">
      <w:pPr>
        <w:keepNext w:val="0"/>
        <w:keepLines w:val="0"/>
        <w:pageBreakBefore w:val="0"/>
        <w:widowControl w:val="0"/>
        <w:numPr>
          <w:ilvl w:val="1"/>
          <w:numId w:val="8"/>
        </w:numPr>
        <w:tabs>
          <w:tab w:val="left" w:pos="1080"/>
          <w:tab w:val="left" w:pos="2014"/>
        </w:tabs>
        <w:spacing w:line="360" w:lineRule="auto"/>
        <w:ind w:left="1077" w:hanging="720"/>
        <w:outlineLvl w:val="9"/>
        <w:rPr>
          <w:color w:val="auto"/>
          <w:sz w:val="24"/>
          <w:highlight w:val="none"/>
        </w:rPr>
      </w:pPr>
      <w:r>
        <w:rPr>
          <w:rFonts w:hint="eastAsia" w:ascii="宋体" w:hAnsi="宋体" w:eastAsia="宋体" w:cs="宋体"/>
          <w:color w:val="auto"/>
          <w:sz w:val="24"/>
          <w:highlight w:val="none"/>
        </w:rPr>
        <w:t>供应商对响应文件的补充、修改的内容应当按照竞争性磋商文件要求签署、盖章，作为响应文件的组成部分。补充、修改的内容与响应文件不一致的，以补</w:t>
      </w:r>
      <w:r>
        <w:rPr>
          <w:color w:val="auto"/>
          <w:sz w:val="24"/>
          <w:highlight w:val="none"/>
        </w:rPr>
        <w:t>充、修改的内容为准。</w:t>
      </w:r>
    </w:p>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14:paraId="23CABCDF">
      <w:pPr>
        <w:keepNext w:val="0"/>
        <w:keepLines w:val="0"/>
        <w:pageBreakBefore w:val="0"/>
        <w:widowControl w:val="0"/>
        <w:spacing w:line="360" w:lineRule="auto"/>
        <w:jc w:val="center"/>
        <w:outlineLvl w:val="9"/>
        <w:rPr>
          <w:rFonts w:hint="eastAsia" w:ascii="宋体" w:hAnsi="宋体" w:eastAsia="宋体" w:cs="Times New Roman"/>
          <w:b/>
          <w:bCs/>
          <w:color w:val="auto"/>
          <w:sz w:val="28"/>
          <w:szCs w:val="28"/>
          <w:highlight w:val="none"/>
          <w:lang w:val="en-US" w:eastAsia="zh-CN"/>
        </w:rPr>
      </w:pPr>
    </w:p>
    <w:p w14:paraId="06856630">
      <w:pPr>
        <w:keepNext w:val="0"/>
        <w:keepLines w:val="0"/>
        <w:pageBreakBefore w:val="0"/>
        <w:widowControl w:val="0"/>
        <w:spacing w:line="360" w:lineRule="auto"/>
        <w:jc w:val="center"/>
        <w:outlineLvl w:val="9"/>
        <w:rPr>
          <w:rFonts w:hint="eastAsia" w:ascii="宋体" w:hAnsi="宋体" w:eastAsia="宋体" w:cs="Times New Roman"/>
          <w:b/>
          <w:bCs/>
          <w:color w:val="auto"/>
          <w:sz w:val="28"/>
          <w:szCs w:val="28"/>
          <w:highlight w:val="none"/>
          <w:lang w:val="en-US" w:eastAsia="zh-CN"/>
        </w:rPr>
      </w:pPr>
      <w:bookmarkStart w:id="370" w:name="_Toc151193926"/>
      <w:bookmarkStart w:id="371" w:name="_Toc151193708"/>
      <w:bookmarkStart w:id="372" w:name="_Toc150774638"/>
      <w:bookmarkStart w:id="373" w:name="_Toc265228376"/>
      <w:bookmarkStart w:id="374" w:name="_Toc520356163"/>
      <w:bookmarkStart w:id="375" w:name="_Toc195842903"/>
      <w:bookmarkStart w:id="376" w:name="_Toc150509289"/>
      <w:bookmarkStart w:id="377" w:name="_Toc226337234"/>
      <w:bookmarkStart w:id="378" w:name="_Toc151193636"/>
      <w:bookmarkStart w:id="379" w:name="_Toc226965811"/>
      <w:bookmarkStart w:id="380" w:name="_Toc226965728"/>
      <w:bookmarkStart w:id="381" w:name="_Toc150774743"/>
      <w:bookmarkStart w:id="382" w:name="_Toc127151538"/>
      <w:bookmarkStart w:id="383" w:name="_Toc226309782"/>
      <w:bookmarkStart w:id="384" w:name="_Toc151193780"/>
      <w:bookmarkStart w:id="385" w:name="_Toc151193852"/>
      <w:bookmarkStart w:id="386" w:name="_Toc150480776"/>
      <w:bookmarkStart w:id="387" w:name="_Toc142311040"/>
      <w:bookmarkStart w:id="388" w:name="_Toc305158880"/>
      <w:bookmarkStart w:id="389" w:name="_Toc264969228"/>
      <w:bookmarkStart w:id="390" w:name="_Toc305158806"/>
      <w:bookmarkStart w:id="391" w:name="_Toc151190165"/>
      <w:r>
        <w:rPr>
          <w:rFonts w:hint="eastAsia" w:ascii="宋体" w:hAnsi="宋体" w:eastAsia="宋体" w:cs="Times New Roman"/>
          <w:b/>
          <w:bCs/>
          <w:color w:val="auto"/>
          <w:sz w:val="28"/>
          <w:szCs w:val="28"/>
          <w:highlight w:val="none"/>
          <w:lang w:val="en-US" w:eastAsia="zh-CN"/>
        </w:rPr>
        <w:t xml:space="preserve">五   </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Pr>
          <w:rFonts w:hint="eastAsia" w:ascii="宋体" w:hAnsi="宋体" w:eastAsia="宋体" w:cs="Times New Roman"/>
          <w:b/>
          <w:bCs/>
          <w:color w:val="auto"/>
          <w:sz w:val="28"/>
          <w:szCs w:val="28"/>
          <w:highlight w:val="none"/>
          <w:lang w:val="en-US" w:eastAsia="zh-CN"/>
        </w:rPr>
        <w:t>评审</w:t>
      </w:r>
    </w:p>
    <w:p w14:paraId="104889F3">
      <w:pPr>
        <w:numPr>
          <w:ilvl w:val="0"/>
          <w:numId w:val="8"/>
        </w:numPr>
        <w:tabs>
          <w:tab w:val="left" w:pos="360"/>
        </w:tabs>
        <w:spacing w:line="360" w:lineRule="auto"/>
        <w:ind w:left="357" w:hanging="357"/>
        <w:outlineLvl w:val="1"/>
        <w:rPr>
          <w:color w:val="auto"/>
          <w:sz w:val="24"/>
          <w:highlight w:val="none"/>
        </w:rPr>
      </w:pPr>
      <w:bookmarkStart w:id="392" w:name="_Toc520356169"/>
      <w:r>
        <w:rPr>
          <w:color w:val="auto"/>
          <w:sz w:val="24"/>
          <w:highlight w:val="none"/>
        </w:rPr>
        <w:t>响应文件的</w:t>
      </w:r>
      <w:r>
        <w:rPr>
          <w:rFonts w:hint="eastAsia"/>
          <w:color w:val="auto"/>
          <w:sz w:val="24"/>
          <w:highlight w:val="none"/>
        </w:rPr>
        <w:t>解密与</w:t>
      </w:r>
      <w:r>
        <w:rPr>
          <w:color w:val="auto"/>
          <w:sz w:val="24"/>
          <w:highlight w:val="none"/>
        </w:rPr>
        <w:t>开启</w:t>
      </w:r>
    </w:p>
    <w:p w14:paraId="020769DA">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采购人或采购代理机构将按竞争性磋商文件的规定，在响应文件提交截止时间的同一时间和竞争性磋商文件预先确定的地点开启响应文件。</w:t>
      </w:r>
    </w:p>
    <w:p w14:paraId="077E9B27">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本项目</w:t>
      </w:r>
      <w:r>
        <w:rPr>
          <w:rFonts w:ascii="宋体" w:hAnsi="宋体"/>
          <w:color w:val="auto"/>
          <w:sz w:val="24"/>
          <w:highlight w:val="none"/>
        </w:rPr>
        <w:t>采用不见面招</w:t>
      </w:r>
      <w:r>
        <w:rPr>
          <w:rFonts w:hint="eastAsia" w:ascii="宋体" w:hAnsi="宋体"/>
          <w:color w:val="auto"/>
          <w:sz w:val="24"/>
          <w:highlight w:val="none"/>
        </w:rPr>
        <w:t>交易</w:t>
      </w:r>
      <w:r>
        <w:rPr>
          <w:rFonts w:ascii="宋体" w:hAnsi="宋体"/>
          <w:color w:val="auto"/>
          <w:sz w:val="24"/>
          <w:highlight w:val="none"/>
        </w:rPr>
        <w:t>模式</w:t>
      </w:r>
      <w:r>
        <w:rPr>
          <w:rFonts w:hint="eastAsia" w:ascii="宋体" w:hAnsi="宋体"/>
          <w:color w:val="auto"/>
          <w:sz w:val="24"/>
          <w:highlight w:val="none"/>
        </w:rPr>
        <w:t>，</w:t>
      </w:r>
      <w:r>
        <w:rPr>
          <w:color w:val="auto"/>
          <w:sz w:val="24"/>
          <w:highlight w:val="none"/>
        </w:rPr>
        <w:t>使用</w:t>
      </w:r>
      <w:r>
        <w:rPr>
          <w:rFonts w:hint="eastAsia"/>
          <w:color w:val="auto"/>
          <w:sz w:val="24"/>
          <w:highlight w:val="none"/>
          <w:lang w:eastAsia="zh-CN"/>
        </w:rPr>
        <w:t>“苏采云”政府采购一体化平台</w:t>
      </w:r>
      <w:r>
        <w:rPr>
          <w:rFonts w:hint="eastAsia"/>
          <w:color w:val="auto"/>
          <w:sz w:val="24"/>
          <w:highlight w:val="none"/>
        </w:rPr>
        <w:t>在线进行</w:t>
      </w:r>
      <w:r>
        <w:rPr>
          <w:color w:val="auto"/>
          <w:sz w:val="24"/>
          <w:highlight w:val="none"/>
        </w:rPr>
        <w:t>解密。供应商应在规定的时间内对</w:t>
      </w:r>
      <w:r>
        <w:rPr>
          <w:rFonts w:hint="eastAsia"/>
          <w:color w:val="auto"/>
          <w:sz w:val="24"/>
          <w:highlight w:val="none"/>
        </w:rPr>
        <w:t>响应</w:t>
      </w:r>
      <w:r>
        <w:rPr>
          <w:color w:val="auto"/>
          <w:sz w:val="24"/>
          <w:highlight w:val="none"/>
        </w:rPr>
        <w:t>文件进行解密，因非系统原因导致的解密失败，视为</w:t>
      </w:r>
      <w:r>
        <w:rPr>
          <w:b/>
          <w:color w:val="auto"/>
          <w:sz w:val="24"/>
          <w:highlight w:val="none"/>
        </w:rPr>
        <w:t>响应无效</w:t>
      </w:r>
      <w:r>
        <w:rPr>
          <w:color w:val="auto"/>
          <w:sz w:val="24"/>
          <w:highlight w:val="none"/>
        </w:rPr>
        <w:t>。</w:t>
      </w:r>
    </w:p>
    <w:p w14:paraId="6A848DF5">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供应商不足3家的，不予解密。</w:t>
      </w:r>
    </w:p>
    <w:p w14:paraId="5E28CDCC">
      <w:pPr>
        <w:numPr>
          <w:ilvl w:val="1"/>
          <w:numId w:val="8"/>
        </w:numPr>
        <w:tabs>
          <w:tab w:val="left" w:pos="1080"/>
          <w:tab w:val="left" w:pos="2014"/>
        </w:tabs>
        <w:spacing w:line="360" w:lineRule="auto"/>
        <w:ind w:left="1077" w:hanging="720"/>
        <w:rPr>
          <w:rFonts w:hint="eastAsia"/>
          <w:color w:val="auto"/>
          <w:sz w:val="24"/>
          <w:highlight w:val="none"/>
        </w:rPr>
      </w:pPr>
      <w:bookmarkStart w:id="393" w:name="_Toc520356165"/>
      <w:r>
        <w:rPr>
          <w:color w:val="auto"/>
          <w:sz w:val="24"/>
          <w:highlight w:val="none"/>
        </w:rPr>
        <w:t>本项目不公开报价。</w:t>
      </w:r>
    </w:p>
    <w:p w14:paraId="43BFBC7C">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供应商须在开标前使用“验证CA”功能验证本地计算机的控件环境是否正常，并且在</w:t>
      </w:r>
      <w:r>
        <w:rPr>
          <w:rFonts w:hint="eastAsia"/>
          <w:color w:val="auto"/>
          <w:sz w:val="24"/>
          <w:highlight w:val="none"/>
        </w:rPr>
        <w:t>解密、评审</w:t>
      </w:r>
      <w:r>
        <w:rPr>
          <w:color w:val="auto"/>
          <w:sz w:val="24"/>
          <w:highlight w:val="none"/>
        </w:rPr>
        <w:t>过程中不可随意更换</w:t>
      </w:r>
      <w:r>
        <w:rPr>
          <w:rFonts w:hint="eastAsia"/>
          <w:color w:val="auto"/>
          <w:sz w:val="24"/>
          <w:highlight w:val="none"/>
        </w:rPr>
        <w:t>计算机</w:t>
      </w:r>
      <w:r>
        <w:rPr>
          <w:color w:val="auto"/>
          <w:sz w:val="24"/>
          <w:highlight w:val="none"/>
        </w:rPr>
        <w:t>，必须使用验证成功的计算机进行操作，否则造成相应后果由供应商自行承担。本地计算机</w:t>
      </w:r>
      <w:r>
        <w:rPr>
          <w:rFonts w:hint="eastAsia"/>
          <w:color w:val="auto"/>
          <w:sz w:val="24"/>
          <w:highlight w:val="none"/>
        </w:rPr>
        <w:t>要求安装摄像头、麦克风和音箱，保持网络通畅。</w:t>
      </w:r>
    </w:p>
    <w:p w14:paraId="05A4D26F">
      <w:pPr>
        <w:numPr>
          <w:ilvl w:val="1"/>
          <w:numId w:val="8"/>
        </w:numPr>
        <w:tabs>
          <w:tab w:val="left" w:pos="1080"/>
          <w:tab w:val="left" w:pos="2014"/>
        </w:tabs>
        <w:spacing w:line="360" w:lineRule="auto"/>
        <w:ind w:left="1077" w:hanging="720"/>
        <w:rPr>
          <w:rFonts w:hint="eastAsia"/>
          <w:color w:val="auto"/>
          <w:sz w:val="24"/>
          <w:highlight w:val="none"/>
        </w:rPr>
      </w:pPr>
      <w:r>
        <w:rPr>
          <w:rFonts w:hint="eastAsia"/>
          <w:color w:val="auto"/>
          <w:sz w:val="24"/>
          <w:highlight w:val="none"/>
        </w:rPr>
        <w:t>因本项目</w:t>
      </w:r>
      <w:r>
        <w:rPr>
          <w:color w:val="auto"/>
          <w:sz w:val="24"/>
          <w:highlight w:val="none"/>
        </w:rPr>
        <w:t>采用不见面交易的</w:t>
      </w:r>
      <w:r>
        <w:rPr>
          <w:rFonts w:hint="eastAsia"/>
          <w:color w:val="auto"/>
          <w:sz w:val="24"/>
          <w:highlight w:val="none"/>
        </w:rPr>
        <w:t>方式</w:t>
      </w:r>
      <w:r>
        <w:rPr>
          <w:color w:val="auto"/>
          <w:sz w:val="24"/>
          <w:highlight w:val="none"/>
        </w:rPr>
        <w:t>，在</w:t>
      </w:r>
      <w:r>
        <w:rPr>
          <w:rFonts w:hint="eastAsia"/>
          <w:color w:val="auto"/>
          <w:sz w:val="24"/>
          <w:highlight w:val="none"/>
        </w:rPr>
        <w:t>解密、评审</w:t>
      </w:r>
      <w:r>
        <w:rPr>
          <w:color w:val="auto"/>
          <w:sz w:val="24"/>
          <w:highlight w:val="none"/>
        </w:rPr>
        <w:t>过程中，</w:t>
      </w:r>
      <w:r>
        <w:rPr>
          <w:rFonts w:hint="eastAsia"/>
          <w:color w:val="auto"/>
          <w:sz w:val="24"/>
          <w:highlight w:val="none"/>
        </w:rPr>
        <w:t>供应商</w:t>
      </w:r>
      <w:r>
        <w:rPr>
          <w:color w:val="auto"/>
          <w:sz w:val="24"/>
          <w:highlight w:val="none"/>
        </w:rPr>
        <w:t>需</w:t>
      </w:r>
      <w:r>
        <w:rPr>
          <w:rFonts w:hint="eastAsia"/>
          <w:color w:val="auto"/>
          <w:sz w:val="24"/>
          <w:highlight w:val="none"/>
        </w:rPr>
        <w:t>要</w:t>
      </w:r>
      <w:r>
        <w:rPr>
          <w:color w:val="auto"/>
          <w:sz w:val="24"/>
          <w:highlight w:val="none"/>
        </w:rPr>
        <w:t>保持操作计算机前有相关责任人</w:t>
      </w:r>
      <w:r>
        <w:rPr>
          <w:rFonts w:hint="eastAsia"/>
          <w:color w:val="auto"/>
          <w:sz w:val="24"/>
          <w:highlight w:val="none"/>
        </w:rPr>
        <w:t>值守，及时对于系统或者磋商小组发出的指令和要求进行响应操作。如果因为无人值守造成不能及时回应系统或者磋商小组指令和要求从而导致影响开标、评审结果的，责任由供应商承担</w:t>
      </w:r>
      <w:r>
        <w:rPr>
          <w:color w:val="auto"/>
          <w:sz w:val="24"/>
          <w:highlight w:val="none"/>
        </w:rPr>
        <w:t>。</w:t>
      </w:r>
    </w:p>
    <w:p w14:paraId="57E12F9F">
      <w:pPr>
        <w:numPr>
          <w:ilvl w:val="1"/>
          <w:numId w:val="8"/>
        </w:numPr>
        <w:tabs>
          <w:tab w:val="left" w:pos="1080"/>
          <w:tab w:val="left" w:pos="2014"/>
        </w:tabs>
        <w:spacing w:line="360" w:lineRule="auto"/>
        <w:ind w:left="1077" w:hanging="720"/>
        <w:rPr>
          <w:color w:val="auto"/>
          <w:sz w:val="24"/>
          <w:highlight w:val="none"/>
        </w:rPr>
      </w:pPr>
      <w:r>
        <w:rPr>
          <w:rFonts w:hint="eastAsia"/>
          <w:color w:val="auto"/>
          <w:sz w:val="24"/>
          <w:highlight w:val="none"/>
        </w:rPr>
        <w:t>如果在</w:t>
      </w:r>
      <w:r>
        <w:rPr>
          <w:color w:val="auto"/>
          <w:sz w:val="24"/>
          <w:highlight w:val="none"/>
        </w:rPr>
        <w:t>采购</w:t>
      </w:r>
      <w:r>
        <w:rPr>
          <w:rFonts w:hint="eastAsia"/>
          <w:color w:val="auto"/>
          <w:sz w:val="24"/>
          <w:highlight w:val="none"/>
        </w:rPr>
        <w:t>活动</w:t>
      </w:r>
      <w:r>
        <w:rPr>
          <w:color w:val="auto"/>
          <w:sz w:val="24"/>
          <w:highlight w:val="none"/>
        </w:rPr>
        <w:t>过程中出现以下情形，导致</w:t>
      </w:r>
      <w:r>
        <w:rPr>
          <w:rFonts w:hint="eastAsia"/>
          <w:color w:val="auto"/>
          <w:sz w:val="24"/>
          <w:highlight w:val="none"/>
        </w:rPr>
        <w:t>“</w:t>
      </w:r>
      <w:r>
        <w:rPr>
          <w:rFonts w:hint="eastAsia"/>
          <w:color w:val="auto"/>
          <w:sz w:val="24"/>
          <w:highlight w:val="none"/>
          <w:lang w:eastAsia="zh-CN" w:bidi="ar"/>
        </w:rPr>
        <w:t>“苏采云”政府采购一体化平台</w:t>
      </w:r>
      <w:r>
        <w:rPr>
          <w:rFonts w:hint="eastAsia"/>
          <w:color w:val="auto"/>
          <w:sz w:val="24"/>
          <w:highlight w:val="none"/>
        </w:rPr>
        <w:t>”系统</w:t>
      </w:r>
      <w:r>
        <w:rPr>
          <w:color w:val="auto"/>
          <w:sz w:val="24"/>
          <w:highlight w:val="none"/>
        </w:rPr>
        <w:t>无法正常运行，或者无法保证</w:t>
      </w:r>
      <w:r>
        <w:rPr>
          <w:rFonts w:hint="eastAsia"/>
          <w:color w:val="auto"/>
          <w:sz w:val="24"/>
          <w:highlight w:val="none"/>
        </w:rPr>
        <w:t>本项目采购活动</w:t>
      </w:r>
      <w:r>
        <w:rPr>
          <w:color w:val="auto"/>
          <w:sz w:val="24"/>
          <w:highlight w:val="none"/>
        </w:rPr>
        <w:t>的公平、公正和安全时，</w:t>
      </w:r>
      <w:r>
        <w:rPr>
          <w:rFonts w:hint="eastAsia"/>
          <w:color w:val="auto"/>
          <w:sz w:val="24"/>
          <w:highlight w:val="none"/>
        </w:rPr>
        <w:t>代理机构</w:t>
      </w:r>
      <w:r>
        <w:rPr>
          <w:color w:val="auto"/>
          <w:sz w:val="24"/>
          <w:highlight w:val="none"/>
        </w:rPr>
        <w:t>可</w:t>
      </w:r>
      <w:r>
        <w:rPr>
          <w:rFonts w:hint="eastAsia"/>
          <w:color w:val="auto"/>
          <w:sz w:val="24"/>
          <w:highlight w:val="none"/>
        </w:rPr>
        <w:t>以延缓或者暂停采购活动，情况严重的可以终止采购</w:t>
      </w:r>
      <w:r>
        <w:rPr>
          <w:color w:val="auto"/>
          <w:sz w:val="24"/>
          <w:highlight w:val="none"/>
        </w:rPr>
        <w:t>活动：</w:t>
      </w:r>
    </w:p>
    <w:p w14:paraId="52093C79">
      <w:pPr>
        <w:numPr>
          <w:ilvl w:val="1"/>
          <w:numId w:val="8"/>
        </w:numPr>
        <w:tabs>
          <w:tab w:val="left" w:pos="1080"/>
          <w:tab w:val="left" w:pos="2014"/>
        </w:tabs>
        <w:spacing w:line="360" w:lineRule="auto"/>
        <w:ind w:left="1077" w:hanging="720"/>
        <w:rPr>
          <w:color w:val="auto"/>
          <w:sz w:val="24"/>
          <w:highlight w:val="none"/>
        </w:rPr>
      </w:pPr>
      <w:r>
        <w:rPr>
          <w:rFonts w:hint="eastAsia"/>
          <w:color w:val="auto"/>
          <w:sz w:val="24"/>
          <w:highlight w:val="none"/>
        </w:rPr>
        <w:t xml:space="preserve"> 1)</w:t>
      </w:r>
      <w:r>
        <w:rPr>
          <w:color w:val="auto"/>
          <w:sz w:val="24"/>
          <w:highlight w:val="none"/>
        </w:rPr>
        <w:t>平台</w:t>
      </w:r>
      <w:r>
        <w:rPr>
          <w:rFonts w:hint="eastAsia"/>
          <w:color w:val="auto"/>
          <w:sz w:val="24"/>
          <w:highlight w:val="none"/>
        </w:rPr>
        <w:t>系统</w:t>
      </w:r>
      <w:r>
        <w:rPr>
          <w:color w:val="auto"/>
          <w:sz w:val="24"/>
          <w:highlight w:val="none"/>
        </w:rPr>
        <w:t>发生故障而无法登录访问的；</w:t>
      </w:r>
    </w:p>
    <w:p w14:paraId="31D515D0">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2)</w:t>
      </w:r>
      <w:r>
        <w:rPr>
          <w:color w:val="auto"/>
          <w:sz w:val="24"/>
          <w:highlight w:val="none"/>
        </w:rPr>
        <w:t>平台</w:t>
      </w:r>
      <w:r>
        <w:rPr>
          <w:rFonts w:hint="eastAsia"/>
          <w:color w:val="auto"/>
          <w:sz w:val="24"/>
          <w:highlight w:val="none"/>
        </w:rPr>
        <w:t>系统</w:t>
      </w:r>
      <w:r>
        <w:rPr>
          <w:color w:val="auto"/>
          <w:sz w:val="24"/>
          <w:highlight w:val="none"/>
        </w:rPr>
        <w:t>应用或数据库出现错误，不能进行正常操作的；</w:t>
      </w:r>
    </w:p>
    <w:p w14:paraId="4A1A565B">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3)</w:t>
      </w:r>
      <w:r>
        <w:rPr>
          <w:color w:val="auto"/>
          <w:sz w:val="24"/>
          <w:highlight w:val="none"/>
        </w:rPr>
        <w:t>平台</w:t>
      </w:r>
      <w:r>
        <w:rPr>
          <w:rFonts w:hint="eastAsia"/>
          <w:color w:val="auto"/>
          <w:sz w:val="24"/>
          <w:highlight w:val="none"/>
        </w:rPr>
        <w:t>系统</w:t>
      </w:r>
      <w:r>
        <w:rPr>
          <w:color w:val="auto"/>
          <w:sz w:val="24"/>
          <w:highlight w:val="none"/>
        </w:rPr>
        <w:t>发现严重安全漏洞，有潜在泄密危险的；</w:t>
      </w:r>
    </w:p>
    <w:p w14:paraId="39DC037D">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4)</w:t>
      </w:r>
      <w:r>
        <w:rPr>
          <w:color w:val="auto"/>
          <w:sz w:val="24"/>
          <w:highlight w:val="none"/>
        </w:rPr>
        <w:t>病毒发作导致平台</w:t>
      </w:r>
      <w:r>
        <w:rPr>
          <w:rFonts w:hint="eastAsia"/>
          <w:color w:val="auto"/>
          <w:sz w:val="24"/>
          <w:highlight w:val="none"/>
        </w:rPr>
        <w:t>系统</w:t>
      </w:r>
      <w:r>
        <w:rPr>
          <w:color w:val="auto"/>
          <w:sz w:val="24"/>
          <w:highlight w:val="none"/>
        </w:rPr>
        <w:t>不能进行正常操作的；</w:t>
      </w:r>
    </w:p>
    <w:p w14:paraId="0A7727F3">
      <w:pPr>
        <w:tabs>
          <w:tab w:val="left" w:pos="1080"/>
          <w:tab w:val="left" w:pos="1589"/>
          <w:tab w:val="left" w:pos="2014"/>
        </w:tabs>
        <w:spacing w:line="360" w:lineRule="auto"/>
        <w:ind w:left="357" w:firstLine="840"/>
        <w:rPr>
          <w:rFonts w:hint="eastAsia"/>
          <w:color w:val="auto"/>
          <w:sz w:val="24"/>
          <w:highlight w:val="none"/>
        </w:rPr>
      </w:pPr>
      <w:r>
        <w:rPr>
          <w:rFonts w:hint="eastAsia"/>
          <w:color w:val="auto"/>
          <w:sz w:val="24"/>
          <w:highlight w:val="none"/>
        </w:rPr>
        <w:t>5)</w:t>
      </w:r>
      <w:r>
        <w:rPr>
          <w:color w:val="auto"/>
          <w:sz w:val="24"/>
          <w:highlight w:val="none"/>
        </w:rPr>
        <w:t>其他无法保证</w:t>
      </w:r>
      <w:r>
        <w:rPr>
          <w:rFonts w:hint="eastAsia"/>
          <w:color w:val="auto"/>
          <w:sz w:val="24"/>
          <w:highlight w:val="none"/>
        </w:rPr>
        <w:t>本次采购活动</w:t>
      </w:r>
      <w:r>
        <w:rPr>
          <w:color w:val="auto"/>
          <w:sz w:val="24"/>
          <w:highlight w:val="none"/>
        </w:rPr>
        <w:t>的公平、公正和安全的情况。</w:t>
      </w:r>
    </w:p>
    <w:p w14:paraId="7BDC16BC">
      <w:pPr>
        <w:tabs>
          <w:tab w:val="left" w:pos="993"/>
          <w:tab w:val="left" w:pos="1589"/>
          <w:tab w:val="left" w:pos="2014"/>
        </w:tabs>
        <w:spacing w:line="360" w:lineRule="auto"/>
        <w:ind w:firstLine="480"/>
        <w:rPr>
          <w:color w:val="auto"/>
          <w:sz w:val="24"/>
          <w:highlight w:val="none"/>
        </w:rPr>
      </w:pPr>
      <w:r>
        <w:rPr>
          <w:color w:val="auto"/>
          <w:sz w:val="24"/>
          <w:highlight w:val="none"/>
        </w:rPr>
        <w:t>出现</w:t>
      </w:r>
      <w:r>
        <w:rPr>
          <w:rFonts w:hint="eastAsia"/>
          <w:color w:val="auto"/>
          <w:sz w:val="24"/>
          <w:highlight w:val="none"/>
        </w:rPr>
        <w:t>上述</w:t>
      </w:r>
      <w:r>
        <w:rPr>
          <w:color w:val="auto"/>
          <w:sz w:val="24"/>
          <w:highlight w:val="none"/>
        </w:rPr>
        <w:t>情形，不影响采购</w:t>
      </w:r>
      <w:r>
        <w:rPr>
          <w:rFonts w:hint="eastAsia"/>
          <w:color w:val="auto"/>
          <w:sz w:val="24"/>
          <w:highlight w:val="none"/>
        </w:rPr>
        <w:t>活动</w:t>
      </w:r>
      <w:r>
        <w:rPr>
          <w:color w:val="auto"/>
          <w:sz w:val="24"/>
          <w:highlight w:val="none"/>
        </w:rPr>
        <w:t>公平、公正性的，</w:t>
      </w:r>
      <w:r>
        <w:rPr>
          <w:rFonts w:hint="eastAsia"/>
          <w:color w:val="auto"/>
          <w:sz w:val="24"/>
          <w:highlight w:val="none"/>
        </w:rPr>
        <w:t>代理机构</w:t>
      </w:r>
      <w:r>
        <w:rPr>
          <w:color w:val="auto"/>
          <w:sz w:val="24"/>
          <w:highlight w:val="none"/>
        </w:rPr>
        <w:t>可以待上述情形消除后继续组织</w:t>
      </w:r>
      <w:r>
        <w:rPr>
          <w:rFonts w:hint="eastAsia"/>
          <w:color w:val="auto"/>
          <w:sz w:val="24"/>
          <w:highlight w:val="none"/>
        </w:rPr>
        <w:t>不见面</w:t>
      </w:r>
      <w:r>
        <w:rPr>
          <w:color w:val="auto"/>
          <w:sz w:val="24"/>
          <w:highlight w:val="none"/>
        </w:rPr>
        <w:t>交易</w:t>
      </w:r>
      <w:r>
        <w:rPr>
          <w:rFonts w:hint="eastAsia"/>
          <w:color w:val="auto"/>
          <w:sz w:val="24"/>
          <w:highlight w:val="none"/>
        </w:rPr>
        <w:t>采购</w:t>
      </w:r>
      <w:r>
        <w:rPr>
          <w:color w:val="auto"/>
          <w:sz w:val="24"/>
          <w:highlight w:val="none"/>
        </w:rPr>
        <w:t>活动，也可以决定某些环节以纸质形式进行；影响或可能影响采购</w:t>
      </w:r>
      <w:r>
        <w:rPr>
          <w:rFonts w:hint="eastAsia"/>
          <w:color w:val="auto"/>
          <w:sz w:val="24"/>
          <w:highlight w:val="none"/>
        </w:rPr>
        <w:t>活动</w:t>
      </w:r>
      <w:r>
        <w:rPr>
          <w:color w:val="auto"/>
          <w:sz w:val="24"/>
          <w:highlight w:val="none"/>
        </w:rPr>
        <w:t>公平、公正性的，应当</w:t>
      </w:r>
      <w:r>
        <w:rPr>
          <w:rFonts w:hint="eastAsia"/>
          <w:color w:val="auto"/>
          <w:sz w:val="24"/>
          <w:highlight w:val="none"/>
        </w:rPr>
        <w:t>终止本次项目，</w:t>
      </w:r>
      <w:r>
        <w:rPr>
          <w:color w:val="auto"/>
          <w:sz w:val="24"/>
          <w:highlight w:val="none"/>
        </w:rPr>
        <w:t>重新</w:t>
      </w:r>
      <w:r>
        <w:rPr>
          <w:rFonts w:hint="eastAsia"/>
          <w:color w:val="auto"/>
          <w:sz w:val="24"/>
          <w:highlight w:val="none"/>
        </w:rPr>
        <w:t>组织</w:t>
      </w:r>
      <w:r>
        <w:rPr>
          <w:color w:val="auto"/>
          <w:sz w:val="24"/>
          <w:highlight w:val="none"/>
        </w:rPr>
        <w:t>采购。</w:t>
      </w:r>
    </w:p>
    <w:bookmarkEnd w:id="393"/>
    <w:p w14:paraId="6287B72E">
      <w:pPr>
        <w:numPr>
          <w:ilvl w:val="0"/>
          <w:numId w:val="8"/>
        </w:numPr>
        <w:tabs>
          <w:tab w:val="left" w:pos="360"/>
        </w:tabs>
        <w:spacing w:line="360" w:lineRule="auto"/>
        <w:ind w:left="357" w:hanging="357"/>
        <w:outlineLvl w:val="1"/>
        <w:rPr>
          <w:color w:val="auto"/>
          <w:sz w:val="24"/>
          <w:highlight w:val="none"/>
        </w:rPr>
      </w:pPr>
      <w:r>
        <w:rPr>
          <w:color w:val="auto"/>
          <w:sz w:val="24"/>
          <w:highlight w:val="none"/>
        </w:rPr>
        <w:t>磋商小组</w:t>
      </w:r>
    </w:p>
    <w:p w14:paraId="06042690">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磋商小组根据政府采购有关规定和本次采购项目的特点进行组建，并负责具体评审事务，独立履行职责。</w:t>
      </w:r>
      <w:bookmarkStart w:id="394" w:name="_Toc520356166"/>
    </w:p>
    <w:p w14:paraId="22AFE075">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评审专家须符合</w:t>
      </w:r>
      <w:r>
        <w:rPr>
          <w:rFonts w:hint="eastAsia"/>
          <w:color w:val="auto"/>
          <w:sz w:val="24"/>
          <w:highlight w:val="none"/>
        </w:rPr>
        <w:t>相关</w:t>
      </w:r>
      <w:r>
        <w:rPr>
          <w:color w:val="auto"/>
          <w:sz w:val="24"/>
          <w:highlight w:val="none"/>
        </w:rPr>
        <w:t>规定。依法自行选定评审专家的，采购人和采购代理机构将查询有关信用记录，对具有行贿、受贿、欺诈等不良信用记录的人员，拒绝其参与政府采购活动。</w:t>
      </w:r>
      <w:bookmarkEnd w:id="394"/>
    </w:p>
    <w:p w14:paraId="154B50FB">
      <w:pPr>
        <w:numPr>
          <w:ilvl w:val="0"/>
          <w:numId w:val="8"/>
        </w:numPr>
        <w:tabs>
          <w:tab w:val="left" w:pos="360"/>
        </w:tabs>
        <w:spacing w:line="360" w:lineRule="auto"/>
        <w:outlineLvl w:val="1"/>
        <w:rPr>
          <w:color w:val="auto"/>
          <w:sz w:val="24"/>
          <w:highlight w:val="none"/>
        </w:rPr>
      </w:pPr>
      <w:r>
        <w:rPr>
          <w:color w:val="auto"/>
          <w:sz w:val="24"/>
          <w:highlight w:val="none"/>
        </w:rPr>
        <w:t>评审方法和评审标准</w:t>
      </w:r>
    </w:p>
    <w:p w14:paraId="1AB89B46">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见第三章《评审方法和评审标准》。</w:t>
      </w:r>
    </w:p>
    <w:p w14:paraId="63CB6B68">
      <w:pPr>
        <w:keepNext w:val="0"/>
        <w:keepLines w:val="0"/>
        <w:pageBreakBefore w:val="0"/>
        <w:widowControl w:val="0"/>
        <w:spacing w:line="360" w:lineRule="auto"/>
        <w:jc w:val="center"/>
        <w:outlineLvl w:val="9"/>
        <w:rPr>
          <w:rFonts w:hint="eastAsia" w:ascii="宋体" w:hAnsi="宋体" w:eastAsia="宋体" w:cs="Times New Roman"/>
          <w:b/>
          <w:bCs/>
          <w:color w:val="auto"/>
          <w:sz w:val="28"/>
          <w:szCs w:val="28"/>
          <w:highlight w:val="none"/>
          <w:lang w:val="en-US" w:eastAsia="zh-CN"/>
        </w:rPr>
      </w:pPr>
    </w:p>
    <w:p w14:paraId="44FAC21D">
      <w:pPr>
        <w:keepNext w:val="0"/>
        <w:keepLines w:val="0"/>
        <w:pageBreakBefore w:val="0"/>
        <w:widowControl w:val="0"/>
        <w:spacing w:line="360" w:lineRule="auto"/>
        <w:jc w:val="center"/>
        <w:outlineLvl w:val="9"/>
        <w:rPr>
          <w:rFonts w:hint="eastAsia" w:ascii="宋体" w:hAnsi="宋体" w:eastAsia="宋体" w:cs="Times New Roman"/>
          <w:b/>
          <w:bCs/>
          <w:color w:val="auto"/>
          <w:sz w:val="28"/>
          <w:szCs w:val="28"/>
          <w:highlight w:val="none"/>
          <w:lang w:val="en-US" w:eastAsia="zh-CN"/>
        </w:rPr>
      </w:pPr>
      <w:bookmarkStart w:id="395" w:name="_Toc151193787"/>
      <w:bookmarkStart w:id="396" w:name="_Toc150480783"/>
      <w:bookmarkStart w:id="397" w:name="_Toc151193859"/>
      <w:bookmarkStart w:id="398" w:name="_Toc142311047"/>
      <w:bookmarkStart w:id="399" w:name="_Toc264969235"/>
      <w:bookmarkStart w:id="400" w:name="_Toc305158813"/>
      <w:bookmarkStart w:id="401" w:name="_Toc151190172"/>
      <w:bookmarkStart w:id="402" w:name="_Toc150774750"/>
      <w:bookmarkStart w:id="403" w:name="_Toc226965818"/>
      <w:bookmarkStart w:id="404" w:name="_Toc127151545"/>
      <w:bookmarkStart w:id="405" w:name="_Toc226965735"/>
      <w:bookmarkStart w:id="406" w:name="_Toc151193933"/>
      <w:bookmarkStart w:id="407" w:name="_Toc150509296"/>
      <w:bookmarkStart w:id="408" w:name="_Toc265228383"/>
      <w:bookmarkStart w:id="409" w:name="_Toc151193643"/>
      <w:bookmarkStart w:id="410" w:name="_Toc150774645"/>
      <w:bookmarkStart w:id="411" w:name="_Toc305158887"/>
      <w:bookmarkStart w:id="412" w:name="_Toc151193715"/>
      <w:bookmarkStart w:id="413" w:name="_Toc226337241"/>
      <w:bookmarkStart w:id="414" w:name="_Toc226309789"/>
      <w:bookmarkStart w:id="415" w:name="_Toc195842910"/>
      <w:r>
        <w:rPr>
          <w:rFonts w:hint="eastAsia" w:ascii="宋体" w:hAnsi="宋体" w:eastAsia="宋体" w:cs="Times New Roman"/>
          <w:b/>
          <w:bCs/>
          <w:color w:val="auto"/>
          <w:sz w:val="28"/>
          <w:szCs w:val="28"/>
          <w:highlight w:val="none"/>
          <w:lang w:val="en-US" w:eastAsia="zh-CN"/>
        </w:rPr>
        <w:t xml:space="preserve">六   </w:t>
      </w:r>
      <w:bookmarkEnd w:id="392"/>
      <w:r>
        <w:rPr>
          <w:rFonts w:hint="eastAsia" w:ascii="宋体" w:hAnsi="宋体" w:eastAsia="宋体" w:cs="Times New Roman"/>
          <w:b/>
          <w:bCs/>
          <w:color w:val="auto"/>
          <w:sz w:val="28"/>
          <w:szCs w:val="28"/>
          <w:highlight w:val="none"/>
          <w:lang w:val="en-US" w:eastAsia="zh-CN"/>
        </w:rPr>
        <w:t>确定</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rFonts w:hint="eastAsia" w:ascii="宋体" w:hAnsi="宋体" w:eastAsia="宋体" w:cs="Times New Roman"/>
          <w:b/>
          <w:bCs/>
          <w:color w:val="auto"/>
          <w:sz w:val="28"/>
          <w:szCs w:val="28"/>
          <w:highlight w:val="none"/>
          <w:lang w:val="en-US" w:eastAsia="zh-CN"/>
        </w:rPr>
        <w:t>成交</w:t>
      </w:r>
    </w:p>
    <w:p w14:paraId="315574D4">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szCs w:val="24"/>
          <w:highlight w:val="none"/>
        </w:rPr>
      </w:pPr>
      <w:bookmarkStart w:id="416" w:name="_Toc127151547"/>
      <w:bookmarkStart w:id="417" w:name="_Toc151193717"/>
      <w:bookmarkStart w:id="418" w:name="_Toc151190174"/>
      <w:bookmarkStart w:id="419" w:name="_Toc151193935"/>
      <w:bookmarkStart w:id="420" w:name="_Toc151193645"/>
      <w:bookmarkStart w:id="421" w:name="_Toc142311049"/>
      <w:bookmarkStart w:id="422" w:name="_Toc150774647"/>
      <w:bookmarkStart w:id="423" w:name="_Toc226337243"/>
      <w:bookmarkStart w:id="424" w:name="_Toc164229388"/>
      <w:bookmarkStart w:id="425" w:name="_Toc149720840"/>
      <w:bookmarkStart w:id="426" w:name="_Toc150480785"/>
      <w:bookmarkStart w:id="427" w:name="_Toc151193789"/>
      <w:bookmarkStart w:id="428" w:name="_Toc164608816"/>
      <w:bookmarkStart w:id="429" w:name="_Toc150509298"/>
      <w:bookmarkStart w:id="430" w:name="_Toc195842912"/>
      <w:bookmarkStart w:id="431" w:name="_Toc226965737"/>
      <w:bookmarkStart w:id="432" w:name="_Toc264969237"/>
      <w:bookmarkStart w:id="433" w:name="_Toc226309791"/>
      <w:bookmarkStart w:id="434" w:name="_Toc127161461"/>
      <w:bookmarkStart w:id="435" w:name="_Toc150774752"/>
      <w:bookmarkStart w:id="436" w:name="_Toc305158815"/>
      <w:bookmarkStart w:id="437" w:name="_Toc226965820"/>
      <w:bookmarkStart w:id="438" w:name="_Toc164229242"/>
      <w:bookmarkStart w:id="439" w:name="_Toc164351641"/>
      <w:bookmarkStart w:id="440" w:name="_Toc265228385"/>
      <w:bookmarkStart w:id="441" w:name="_Toc151193861"/>
      <w:bookmarkStart w:id="442" w:name="_Toc305158889"/>
      <w:bookmarkStart w:id="443" w:name="_Toc127151748"/>
      <w:bookmarkStart w:id="444" w:name="_Toc164608661"/>
      <w:r>
        <w:rPr>
          <w:rFonts w:hint="eastAsia" w:ascii="宋体" w:hAnsi="宋体" w:eastAsia="宋体" w:cs="宋体"/>
          <w:color w:val="auto"/>
          <w:sz w:val="24"/>
          <w:szCs w:val="24"/>
          <w:highlight w:val="none"/>
        </w:rPr>
        <w:t>确定成交供应商</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28687A25">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采购人将在收到评审报告后，从评审报告提出的成交候选供应商中，按照排序由高到低的原则确定成交供应商。成交候选人并列的，由采购人依法确定。</w:t>
      </w:r>
    </w:p>
    <w:p w14:paraId="12CD66D1">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szCs w:val="24"/>
          <w:highlight w:val="none"/>
        </w:rPr>
      </w:pPr>
      <w:bookmarkStart w:id="445" w:name="_Toc305158891"/>
      <w:bookmarkStart w:id="446" w:name="_Toc305158817"/>
      <w:bookmarkStart w:id="447" w:name="_Toc265228387"/>
      <w:bookmarkStart w:id="448" w:name="_Toc226965822"/>
      <w:bookmarkStart w:id="449" w:name="_Toc164229244"/>
      <w:bookmarkStart w:id="450" w:name="_Toc164351643"/>
      <w:bookmarkStart w:id="451" w:name="_Toc164229390"/>
      <w:bookmarkStart w:id="452" w:name="_Toc151193647"/>
      <w:bookmarkStart w:id="453" w:name="_Toc151193719"/>
      <w:bookmarkStart w:id="454" w:name="_Toc226309793"/>
      <w:bookmarkStart w:id="455" w:name="_Toc226337245"/>
      <w:bookmarkStart w:id="456" w:name="_Toc264969239"/>
      <w:bookmarkStart w:id="457" w:name="_Toc195842914"/>
      <w:bookmarkStart w:id="458" w:name="_Toc151193937"/>
      <w:bookmarkStart w:id="459" w:name="_Toc127151549"/>
      <w:bookmarkStart w:id="460" w:name="_Toc164608663"/>
      <w:bookmarkStart w:id="461" w:name="_Toc150480787"/>
      <w:bookmarkStart w:id="462" w:name="_Toc149720842"/>
      <w:bookmarkStart w:id="463" w:name="_Toc151190176"/>
      <w:bookmarkStart w:id="464" w:name="_Toc150774649"/>
      <w:bookmarkStart w:id="465" w:name="_Toc150774754"/>
      <w:bookmarkStart w:id="466" w:name="_Toc127161463"/>
      <w:bookmarkStart w:id="467" w:name="_Toc226965739"/>
      <w:bookmarkStart w:id="468" w:name="_Toc127151750"/>
      <w:bookmarkStart w:id="469" w:name="_Toc164608818"/>
      <w:bookmarkStart w:id="470" w:name="_Toc151193791"/>
      <w:bookmarkStart w:id="471" w:name="_Toc150509300"/>
      <w:bookmarkStart w:id="472" w:name="_Toc151193863"/>
      <w:bookmarkStart w:id="473" w:name="_Toc142311051"/>
      <w:bookmarkStart w:id="474" w:name="_Toc520356176"/>
      <w:bookmarkStart w:id="475" w:name="_Ref467306425"/>
      <w:bookmarkStart w:id="476" w:name="_Ref467307090"/>
      <w:r>
        <w:rPr>
          <w:rFonts w:hint="eastAsia" w:ascii="宋体" w:hAnsi="宋体" w:eastAsia="宋体" w:cs="宋体"/>
          <w:color w:val="auto"/>
          <w:sz w:val="24"/>
          <w:szCs w:val="24"/>
          <w:highlight w:val="none"/>
        </w:rPr>
        <w:t>成交公告与成交通知书</w:t>
      </w:r>
      <w:bookmarkEnd w:id="445"/>
      <w:bookmarkEnd w:id="446"/>
    </w:p>
    <w:p w14:paraId="4B178484">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采购人或采购代理机构将在成交供应商确定后2个工作日内，在</w:t>
      </w:r>
      <w:r>
        <w:rPr>
          <w:rFonts w:hint="eastAsia" w:ascii="宋体" w:hAnsi="宋体" w:eastAsia="宋体" w:cs="宋体"/>
          <w:color w:val="auto"/>
          <w:sz w:val="24"/>
          <w:szCs w:val="24"/>
          <w:highlight w:val="none"/>
          <w:lang w:val="en-US" w:eastAsia="zh-CN"/>
        </w:rPr>
        <w:t>江苏政府采购网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常州市政府采购网和</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网公告成交结果，同时向成交供应商发出成交通知书，成交公告期限为1个工作日。</w:t>
      </w:r>
    </w:p>
    <w:p w14:paraId="15DD2E9E">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成交通知书是合同的组成部分，对采购人和成交供应商具有同等法律效力。成交通知书发出后，采购人改变成交结果的，或者成交供应商放弃成交项目的，将依法承担法律责任。</w:t>
      </w:r>
    </w:p>
    <w:p w14:paraId="3D0B0EA3">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终止</w:t>
      </w:r>
    </w:p>
    <w:p w14:paraId="156E5148">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在采购中，出现下列情形之一的，采购人或采购代理机构将终止竞争性磋商采购活动，发布项目终止公告并说明原因，重新开展采购活动：</w:t>
      </w:r>
    </w:p>
    <w:p w14:paraId="56F81672">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因情况变化，不再符合规定的竞争性磋商采购方式适用情形的；</w:t>
      </w:r>
    </w:p>
    <w:p w14:paraId="46D60871">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出现影响采购公正的违法、违规行为的；</w:t>
      </w:r>
    </w:p>
    <w:p w14:paraId="63FB8DEE">
      <w:pPr>
        <w:numPr>
          <w:ilvl w:val="2"/>
          <w:numId w:val="8"/>
        </w:numPr>
        <w:spacing w:line="360" w:lineRule="auto"/>
        <w:rPr>
          <w:color w:val="auto"/>
          <w:sz w:val="24"/>
          <w:highlight w:val="none"/>
        </w:rPr>
      </w:pPr>
      <w:r>
        <w:rPr>
          <w:rFonts w:hint="eastAsia" w:ascii="宋体" w:hAnsi="宋体" w:eastAsia="宋体" w:cs="宋体"/>
          <w:color w:val="auto"/>
          <w:sz w:val="24"/>
          <w:szCs w:val="24"/>
          <w:highlight w:val="none"/>
        </w:rPr>
        <w:t>除了“市场竞争不充分的科研项目，以及需要扶持的科技成果转化项目，提交最终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6106928D">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color w:val="auto"/>
          <w:spacing w:val="2"/>
          <w:sz w:val="24"/>
          <w:highlight w:val="none"/>
        </w:rPr>
        <w:t>平台系统</w:t>
      </w:r>
      <w:r>
        <w:rPr>
          <w:rFonts w:ascii="宋体" w:hAnsi="宋体"/>
          <w:color w:val="auto"/>
          <w:sz w:val="24"/>
          <w:highlight w:val="none"/>
        </w:rPr>
        <w:t>出现</w:t>
      </w:r>
      <w:r>
        <w:rPr>
          <w:rFonts w:hint="eastAsia" w:ascii="宋体" w:hAnsi="宋体"/>
          <w:color w:val="auto"/>
          <w:sz w:val="24"/>
          <w:highlight w:val="none"/>
        </w:rPr>
        <w:t>序号17.7的所述</w:t>
      </w:r>
      <w:r>
        <w:rPr>
          <w:rFonts w:ascii="宋体" w:hAnsi="宋体"/>
          <w:color w:val="auto"/>
          <w:sz w:val="24"/>
          <w:highlight w:val="none"/>
        </w:rPr>
        <w:t>情形，</w:t>
      </w:r>
      <w:r>
        <w:rPr>
          <w:rFonts w:hint="eastAsia" w:ascii="宋体" w:hAnsi="宋体"/>
          <w:color w:val="auto"/>
          <w:sz w:val="24"/>
          <w:highlight w:val="none"/>
        </w:rPr>
        <w:t>情况严重且</w:t>
      </w:r>
      <w:r>
        <w:rPr>
          <w:rFonts w:ascii="宋体" w:hAnsi="宋体"/>
          <w:color w:val="auto"/>
          <w:sz w:val="24"/>
          <w:highlight w:val="none"/>
        </w:rPr>
        <w:t>影响采购</w:t>
      </w:r>
      <w:r>
        <w:rPr>
          <w:rFonts w:hint="eastAsia" w:ascii="宋体" w:hAnsi="宋体"/>
          <w:color w:val="auto"/>
          <w:sz w:val="24"/>
          <w:highlight w:val="none"/>
        </w:rPr>
        <w:t>活动</w:t>
      </w:r>
      <w:r>
        <w:rPr>
          <w:rFonts w:ascii="宋体" w:hAnsi="宋体"/>
          <w:color w:val="auto"/>
          <w:sz w:val="24"/>
          <w:highlight w:val="none"/>
        </w:rPr>
        <w:t>公平、公正性的</w:t>
      </w:r>
      <w:r>
        <w:rPr>
          <w:rFonts w:hint="eastAsia" w:ascii="宋体" w:hAnsi="宋体"/>
          <w:color w:val="auto"/>
          <w:sz w:val="24"/>
          <w:highlight w:val="none"/>
        </w:rPr>
        <w:t>。</w:t>
      </w:r>
    </w:p>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14:paraId="51773BB3">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szCs w:val="24"/>
          <w:highlight w:val="none"/>
        </w:rPr>
      </w:pPr>
      <w:bookmarkStart w:id="477" w:name="_Toc151193792"/>
      <w:bookmarkStart w:id="478" w:name="_Toc151193938"/>
      <w:bookmarkStart w:id="479" w:name="_Toc150774650"/>
      <w:bookmarkStart w:id="480" w:name="_Toc127161464"/>
      <w:bookmarkStart w:id="481" w:name="_Toc164608819"/>
      <w:bookmarkStart w:id="482" w:name="_Ref467306978"/>
      <w:bookmarkStart w:id="483" w:name="_Toc164608664"/>
      <w:bookmarkStart w:id="484" w:name="_Toc264969240"/>
      <w:bookmarkStart w:id="485" w:name="_Toc305158818"/>
      <w:bookmarkStart w:id="486" w:name="_Toc151193720"/>
      <w:bookmarkStart w:id="487" w:name="_Toc127151550"/>
      <w:bookmarkStart w:id="488" w:name="_Toc164351644"/>
      <w:bookmarkStart w:id="489" w:name="_Toc226337246"/>
      <w:bookmarkStart w:id="490" w:name="_Toc520356175"/>
      <w:bookmarkStart w:id="491" w:name="_Toc142311052"/>
      <w:bookmarkStart w:id="492" w:name="_Toc151193648"/>
      <w:bookmarkStart w:id="493" w:name="_Toc127151751"/>
      <w:bookmarkStart w:id="494" w:name="_Ref467306377"/>
      <w:bookmarkStart w:id="495" w:name="_Toc151193864"/>
      <w:bookmarkStart w:id="496" w:name="_Toc151190177"/>
      <w:bookmarkStart w:id="497" w:name="_Toc150480788"/>
      <w:bookmarkStart w:id="498" w:name="_Ref467307204"/>
      <w:bookmarkStart w:id="499" w:name="_Toc150509301"/>
      <w:bookmarkStart w:id="500" w:name="_Toc226309794"/>
      <w:bookmarkStart w:id="501" w:name="_Toc305158892"/>
      <w:bookmarkStart w:id="502" w:name="_Ref467307062"/>
      <w:bookmarkStart w:id="503" w:name="_Toc226965823"/>
      <w:bookmarkStart w:id="504" w:name="_Toc164229245"/>
      <w:bookmarkStart w:id="505" w:name="_Toc150774755"/>
      <w:bookmarkStart w:id="506" w:name="_Toc164229391"/>
      <w:bookmarkStart w:id="507" w:name="_Toc149720843"/>
      <w:bookmarkStart w:id="508" w:name="_Toc226965740"/>
      <w:bookmarkStart w:id="509" w:name="_Toc265228388"/>
      <w:bookmarkStart w:id="510" w:name="_Toc195842915"/>
      <w:r>
        <w:rPr>
          <w:rFonts w:hint="eastAsia" w:ascii="宋体" w:hAnsi="宋体" w:eastAsia="宋体" w:cs="宋体"/>
          <w:color w:val="auto"/>
          <w:sz w:val="24"/>
          <w:szCs w:val="24"/>
          <w:highlight w:val="none"/>
        </w:rPr>
        <w:t>签订合同</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8FC8105">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采购人与成交供应商将在成交通知书发出之日起30日内，按照磋商文件确定的合同文本以及采购标的、采购金额、采购数量、技术和服务要求等事项签订政府采购合同。</w:t>
      </w:r>
    </w:p>
    <w:p w14:paraId="5035878A">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D5A3DF5">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联合体获得成交资格的，联合体各方应当共同与采购人签订合同，就成交项目向采购人承担连带责任。</w:t>
      </w:r>
    </w:p>
    <w:p w14:paraId="2E0F609A">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政府采购合同不能转包。</w:t>
      </w:r>
    </w:p>
    <w:p w14:paraId="4F194210">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本项目是否允许分包，见《供应商须知资料表》。</w:t>
      </w:r>
    </w:p>
    <w:bookmarkEnd w:id="474"/>
    <w:bookmarkEnd w:id="475"/>
    <w:bookmarkEnd w:id="476"/>
    <w:p w14:paraId="27A0D985">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询问与质疑</w:t>
      </w:r>
    </w:p>
    <w:p w14:paraId="7ECEE3E7">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w:t>
      </w:r>
    </w:p>
    <w:p w14:paraId="64FAFBC2">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供应商对政府采购活动事项有疑问的，可依法提出询问，并按《供应商须知资料表》载明的形式送达采购人或采购代理机构。</w:t>
      </w:r>
    </w:p>
    <w:p w14:paraId="1BA156C9">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采购人或采购代理机构对供应商依法提出的询问，在3个工作日内作出答复，但答复的内容不得涉及商业秘密。</w:t>
      </w:r>
    </w:p>
    <w:p w14:paraId="60245E84">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w:t>
      </w:r>
    </w:p>
    <w:p w14:paraId="144F91A4">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6E478F99">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磋商文件中采购需求以及相关部分（第四章、第五章以及供应商资格要求）由采购人负责制定和管理，对该部分内容有询问或者质疑的，供应商应当向采购人书面提出，由采购人负责接收和回复。</w:t>
      </w:r>
    </w:p>
    <w:p w14:paraId="13BE1433">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质疑函须使用财政部制定的范本文件。（下载网址：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"http://gks.mof.gov.cn/ztztz/zhengfucaigouguanli/201802/t20180201_2804589.htm" </w:instrText>
      </w:r>
      <w:r>
        <w:rPr>
          <w:rFonts w:hint="eastAsia" w:ascii="宋体" w:hAnsi="宋体" w:eastAsia="宋体" w:cs="宋体"/>
          <w:color w:val="auto"/>
          <w:sz w:val="24"/>
          <w:szCs w:val="24"/>
          <w:highlight w:val="none"/>
        </w:rPr>
        <w:fldChar w:fldCharType="separate"/>
      </w:r>
      <w:r>
        <w:rPr>
          <w:rStyle w:val="268"/>
          <w:rFonts w:hint="eastAsia" w:ascii="宋体" w:hAnsi="宋体" w:eastAsia="宋体" w:cs="宋体"/>
          <w:color w:val="auto"/>
          <w:sz w:val="24"/>
          <w:szCs w:val="24"/>
          <w:highlight w:val="none"/>
        </w:rPr>
        <w:t>http://gk</w:t>
      </w:r>
      <w:bookmarkStart w:id="511" w:name="_Hlt100654014"/>
      <w:r>
        <w:rPr>
          <w:rStyle w:val="268"/>
          <w:rFonts w:hint="eastAsia" w:ascii="宋体" w:hAnsi="宋体" w:eastAsia="宋体" w:cs="宋体"/>
          <w:color w:val="auto"/>
          <w:sz w:val="24"/>
          <w:szCs w:val="24"/>
          <w:highlight w:val="none"/>
        </w:rPr>
        <w:t>s</w:t>
      </w:r>
      <w:bookmarkEnd w:id="511"/>
      <w:r>
        <w:rPr>
          <w:rStyle w:val="268"/>
          <w:rFonts w:hint="eastAsia" w:ascii="宋体" w:hAnsi="宋体" w:eastAsia="宋体" w:cs="宋体"/>
          <w:color w:val="auto"/>
          <w:sz w:val="24"/>
          <w:szCs w:val="24"/>
          <w:highlight w:val="none"/>
        </w:rPr>
        <w:t>.m</w:t>
      </w:r>
      <w:bookmarkStart w:id="512" w:name="_Hlt100653994"/>
      <w:bookmarkStart w:id="513" w:name="_Hlt100653993"/>
      <w:r>
        <w:rPr>
          <w:rStyle w:val="268"/>
          <w:rFonts w:hint="eastAsia" w:ascii="宋体" w:hAnsi="宋体" w:eastAsia="宋体" w:cs="宋体"/>
          <w:color w:val="auto"/>
          <w:sz w:val="24"/>
          <w:szCs w:val="24"/>
          <w:highlight w:val="none"/>
        </w:rPr>
        <w:t>o</w:t>
      </w:r>
      <w:bookmarkEnd w:id="512"/>
      <w:bookmarkEnd w:id="513"/>
      <w:bookmarkStart w:id="514" w:name="_Hlt101169156"/>
      <w:r>
        <w:rPr>
          <w:rStyle w:val="268"/>
          <w:rFonts w:hint="eastAsia" w:ascii="宋体" w:hAnsi="宋体" w:eastAsia="宋体" w:cs="宋体"/>
          <w:color w:val="auto"/>
          <w:sz w:val="24"/>
          <w:szCs w:val="24"/>
          <w:highlight w:val="none"/>
        </w:rPr>
        <w:t>f</w:t>
      </w:r>
      <w:bookmarkEnd w:id="514"/>
      <w:r>
        <w:rPr>
          <w:rStyle w:val="268"/>
          <w:rFonts w:hint="eastAsia" w:ascii="宋体" w:hAnsi="宋体" w:eastAsia="宋体" w:cs="宋体"/>
          <w:color w:val="auto"/>
          <w:sz w:val="24"/>
          <w:szCs w:val="24"/>
          <w:highlight w:val="none"/>
        </w:rPr>
        <w:t>.gov.cn/ztztz/zhengfucaigouguanli/201802/t20180201_2804589.htm</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14:paraId="11E36694">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14:paraId="000E8A5B">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供应商应在法定质疑期内一次性提出针对同一采购程序环节的质疑，法定质疑期内针对同一采购程序环节再次提出的质疑，采购人、采购代理机构有权不予答复。</w:t>
      </w:r>
    </w:p>
    <w:p w14:paraId="675561B7">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接收询问和质疑的联系部门、联系电话和通讯地址见《供应商须知资料表》。</w:t>
      </w:r>
    </w:p>
    <w:p w14:paraId="108D96C6">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w:t>
      </w:r>
    </w:p>
    <w:p w14:paraId="599476A8">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收费对象、收费标准及缴纳时间见《供应商须知资料表》。由成交供应商支付的，成交供应商须一次性向采购代理机构缴纳代理费，报价应包含代理费用。</w:t>
      </w:r>
    </w:p>
    <w:p w14:paraId="63D9E011">
      <w:pPr>
        <w:keepNext w:val="0"/>
        <w:keepLines w:val="0"/>
        <w:pageBreakBefore w:val="0"/>
        <w:widowControl w:val="0"/>
        <w:numPr>
          <w:ilvl w:val="0"/>
          <w:numId w:val="0"/>
        </w:numPr>
        <w:tabs>
          <w:tab w:val="left" w:pos="1080"/>
          <w:tab w:val="left" w:pos="1589"/>
          <w:tab w:val="left" w:pos="2014"/>
        </w:tabs>
        <w:spacing w:line="360" w:lineRule="auto"/>
        <w:jc w:val="both"/>
        <w:outlineLvl w:val="9"/>
        <w:rPr>
          <w:rFonts w:hint="eastAsia" w:ascii="宋体" w:hAnsi="宋体" w:eastAsia="宋体" w:cs="宋体"/>
          <w:color w:val="auto"/>
          <w:sz w:val="24"/>
          <w:szCs w:val="24"/>
          <w:highlight w:val="none"/>
        </w:rPr>
      </w:pPr>
      <w:bookmarkStart w:id="515" w:name="_Toc127151554"/>
      <w:bookmarkStart w:id="516" w:name="_Toc226337250"/>
      <w:bookmarkStart w:id="517" w:name="_Toc264969244"/>
      <w:bookmarkStart w:id="518" w:name="_Toc150774759"/>
      <w:bookmarkStart w:id="519" w:name="_Toc226965827"/>
      <w:bookmarkStart w:id="520" w:name="_Toc265228392"/>
      <w:bookmarkStart w:id="521" w:name="_Toc353825544"/>
      <w:bookmarkStart w:id="522" w:name="_Toc142311056"/>
      <w:bookmarkStart w:id="523" w:name="_Toc305158896"/>
      <w:bookmarkStart w:id="524" w:name="_Toc353873934"/>
      <w:bookmarkStart w:id="525" w:name="_Toc150480792"/>
      <w:bookmarkStart w:id="526" w:name="_Toc353873664"/>
      <w:bookmarkStart w:id="527" w:name="_Toc305158822"/>
    </w:p>
    <w:p w14:paraId="49F5FC2C">
      <w:pPr>
        <w:keepNext w:val="0"/>
        <w:keepLines w:val="0"/>
        <w:pageBreakBefore w:val="0"/>
        <w:widowControl w:val="0"/>
        <w:spacing w:line="360" w:lineRule="auto"/>
        <w:jc w:val="center"/>
        <w:outlineLvl w:val="0"/>
        <w:rPr>
          <w:b/>
          <w:color w:val="auto"/>
          <w:sz w:val="36"/>
          <w:szCs w:val="36"/>
          <w:highlight w:val="none"/>
        </w:rPr>
        <w:sectPr>
          <w:pgSz w:w="11906" w:h="16838"/>
          <w:pgMar w:top="1440" w:right="1800" w:bottom="1440" w:left="1800" w:header="851" w:footer="992" w:gutter="0"/>
          <w:pgNumType w:fmt="decimal"/>
          <w:cols w:space="1701" w:num="1"/>
          <w:docGrid w:linePitch="360" w:charSpace="0"/>
        </w:sectPr>
      </w:pPr>
      <w:bookmarkStart w:id="528" w:name="_Toc17685"/>
      <w:bookmarkStart w:id="529" w:name="_Toc104818927"/>
    </w:p>
    <w:p w14:paraId="60A11FD6">
      <w:pPr>
        <w:keepNext w:val="0"/>
        <w:keepLines w:val="0"/>
        <w:pageBreakBefore w:val="0"/>
        <w:widowControl w:val="0"/>
        <w:spacing w:line="360" w:lineRule="auto"/>
        <w:jc w:val="center"/>
        <w:outlineLvl w:val="0"/>
        <w:rPr>
          <w:b/>
          <w:color w:val="auto"/>
          <w:sz w:val="36"/>
          <w:szCs w:val="36"/>
          <w:highlight w:val="none"/>
        </w:rPr>
      </w:pPr>
      <w:r>
        <w:rPr>
          <w:b/>
          <w:color w:val="auto"/>
          <w:sz w:val="36"/>
          <w:szCs w:val="36"/>
          <w:highlight w:val="none"/>
        </w:rPr>
        <w:t xml:space="preserve">第三章   </w:t>
      </w:r>
      <w:bookmarkEnd w:id="515"/>
      <w:bookmarkEnd w:id="516"/>
      <w:bookmarkEnd w:id="517"/>
      <w:bookmarkEnd w:id="518"/>
      <w:bookmarkEnd w:id="519"/>
      <w:bookmarkEnd w:id="520"/>
      <w:bookmarkEnd w:id="521"/>
      <w:bookmarkEnd w:id="522"/>
      <w:bookmarkEnd w:id="523"/>
      <w:bookmarkEnd w:id="524"/>
      <w:bookmarkEnd w:id="525"/>
      <w:bookmarkEnd w:id="526"/>
      <w:bookmarkEnd w:id="527"/>
      <w:r>
        <w:rPr>
          <w:b/>
          <w:color w:val="auto"/>
          <w:sz w:val="36"/>
          <w:szCs w:val="36"/>
          <w:highlight w:val="none"/>
        </w:rPr>
        <w:t>评审</w:t>
      </w:r>
      <w:r>
        <w:rPr>
          <w:rFonts w:hint="eastAsia"/>
          <w:b/>
          <w:color w:val="auto"/>
          <w:sz w:val="36"/>
          <w:szCs w:val="36"/>
          <w:highlight w:val="none"/>
        </w:rPr>
        <w:t>程序、评审</w:t>
      </w:r>
      <w:r>
        <w:rPr>
          <w:b/>
          <w:color w:val="auto"/>
          <w:sz w:val="36"/>
          <w:szCs w:val="36"/>
          <w:highlight w:val="none"/>
        </w:rPr>
        <w:t>方法和评审标准</w:t>
      </w:r>
      <w:bookmarkEnd w:id="528"/>
      <w:bookmarkEnd w:id="529"/>
      <w:bookmarkStart w:id="530" w:name="_Toc487900382"/>
    </w:p>
    <w:p w14:paraId="7A89BCC7">
      <w:pPr>
        <w:keepNext w:val="0"/>
        <w:keepLines w:val="0"/>
        <w:pageBreakBefore w:val="0"/>
        <w:widowControl w:val="0"/>
        <w:spacing w:line="360" w:lineRule="auto"/>
        <w:jc w:val="center"/>
        <w:outlineLvl w:val="9"/>
        <w:rPr>
          <w:rFonts w:hint="eastAsia" w:ascii="宋体" w:hAnsi="宋体" w:eastAsia="宋体" w:cs="Times New Roman"/>
          <w:b/>
          <w:bCs/>
          <w:color w:val="auto"/>
          <w:sz w:val="28"/>
          <w:szCs w:val="28"/>
          <w:highlight w:val="none"/>
          <w:lang w:val="en-US" w:eastAsia="zh-CN"/>
        </w:rPr>
      </w:pPr>
      <w:r>
        <w:rPr>
          <w:rFonts w:hint="eastAsia" w:ascii="宋体" w:hAnsi="宋体" w:eastAsia="宋体" w:cs="Times New Roman"/>
          <w:b/>
          <w:bCs/>
          <w:color w:val="auto"/>
          <w:sz w:val="28"/>
          <w:szCs w:val="28"/>
          <w:highlight w:val="none"/>
          <w:lang w:val="en-US" w:eastAsia="zh-CN"/>
        </w:rPr>
        <w:t>一、评审程序</w:t>
      </w:r>
    </w:p>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530"/>
    <w:p w14:paraId="261D3C6E">
      <w:pPr>
        <w:keepNext w:val="0"/>
        <w:keepLines w:val="0"/>
        <w:pageBreakBefore w:val="0"/>
        <w:widowControl w:val="0"/>
        <w:numPr>
          <w:ilvl w:val="0"/>
          <w:numId w:val="11"/>
        </w:numPr>
        <w:tabs>
          <w:tab w:val="left" w:pos="360"/>
        </w:tabs>
        <w:spacing w:line="360" w:lineRule="auto"/>
        <w:outlineLvl w:val="9"/>
        <w:rPr>
          <w:rFonts w:hint="eastAsia" w:ascii="宋体" w:hAnsi="宋体" w:eastAsia="宋体" w:cs="宋体"/>
          <w:color w:val="auto"/>
          <w:sz w:val="24"/>
          <w:highlight w:val="none"/>
        </w:rPr>
      </w:pPr>
      <w:bookmarkStart w:id="531" w:name="_Toc151193711"/>
      <w:bookmarkStart w:id="532" w:name="_Toc151193639"/>
      <w:bookmarkStart w:id="533" w:name="_Toc151193929"/>
      <w:bookmarkStart w:id="534" w:name="_Toc305158809"/>
      <w:bookmarkStart w:id="535" w:name="_Toc150480779"/>
      <w:bookmarkStart w:id="536" w:name="_Toc226965814"/>
      <w:bookmarkStart w:id="537" w:name="_Toc226337237"/>
      <w:bookmarkStart w:id="538" w:name="_Toc127151541"/>
      <w:bookmarkStart w:id="539" w:name="_Toc142311043"/>
      <w:bookmarkStart w:id="540" w:name="_Toc150774641"/>
      <w:bookmarkStart w:id="541" w:name="_Toc264969231"/>
      <w:bookmarkStart w:id="542" w:name="_Toc164608655"/>
      <w:bookmarkStart w:id="543" w:name="_Toc226309785"/>
      <w:bookmarkStart w:id="544" w:name="_Toc164229236"/>
      <w:bookmarkStart w:id="545" w:name="_Toc150509292"/>
      <w:bookmarkStart w:id="546" w:name="_Toc305158883"/>
      <w:bookmarkStart w:id="547" w:name="_Toc150774746"/>
      <w:bookmarkStart w:id="548" w:name="_Toc195842906"/>
      <w:bookmarkStart w:id="549" w:name="_Toc151193855"/>
      <w:bookmarkStart w:id="550" w:name="_Toc151190168"/>
      <w:bookmarkStart w:id="551" w:name="_Toc164351635"/>
      <w:bookmarkStart w:id="552" w:name="_Toc164608810"/>
      <w:bookmarkStart w:id="553" w:name="_Toc164229382"/>
      <w:bookmarkStart w:id="554" w:name="_Toc127151742"/>
      <w:bookmarkStart w:id="555" w:name="_Toc151193783"/>
      <w:bookmarkStart w:id="556" w:name="_Toc226965731"/>
      <w:bookmarkStart w:id="557" w:name="_Toc265228379"/>
      <w:bookmarkStart w:id="558" w:name="_Toc149720834"/>
      <w:bookmarkStart w:id="559" w:name="_Toc127161455"/>
      <w:bookmarkStart w:id="560" w:name="_Toc353873941"/>
      <w:bookmarkStart w:id="561" w:name="_Toc353825551"/>
      <w:bookmarkStart w:id="562" w:name="_Toc265228393"/>
      <w:bookmarkStart w:id="563" w:name="_Toc305158897"/>
      <w:bookmarkStart w:id="564" w:name="_Toc353825545"/>
      <w:bookmarkStart w:id="565" w:name="_Toc226965828"/>
      <w:bookmarkStart w:id="566" w:name="_Toc195842920"/>
      <w:bookmarkStart w:id="567" w:name="_Toc127151555"/>
      <w:bookmarkStart w:id="568" w:name="_Toc353873665"/>
      <w:bookmarkStart w:id="569" w:name="_Toc353873935"/>
      <w:bookmarkStart w:id="570" w:name="_Toc226337251"/>
      <w:bookmarkStart w:id="571" w:name="_Toc305158823"/>
      <w:bookmarkStart w:id="572" w:name="_Toc264969245"/>
      <w:bookmarkStart w:id="573" w:name="_Toc150774760"/>
      <w:bookmarkStart w:id="574" w:name="_Toc142311057"/>
      <w:bookmarkStart w:id="575" w:name="_Toc150480793"/>
      <w:r>
        <w:rPr>
          <w:rFonts w:hint="eastAsia" w:ascii="宋体" w:hAnsi="宋体" w:eastAsia="宋体" w:cs="宋体"/>
          <w:color w:val="auto"/>
          <w:sz w:val="24"/>
          <w:highlight w:val="none"/>
        </w:rPr>
        <w:t>响应文件的</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Pr>
          <w:rFonts w:hint="eastAsia" w:ascii="宋体" w:hAnsi="宋体" w:eastAsia="宋体" w:cs="宋体"/>
          <w:color w:val="auto"/>
          <w:sz w:val="24"/>
          <w:highlight w:val="none"/>
        </w:rPr>
        <w:t>资格性检查和符合性审查</w:t>
      </w:r>
    </w:p>
    <w:p w14:paraId="178A9877">
      <w:pPr>
        <w:keepNext w:val="0"/>
        <w:keepLines w:val="0"/>
        <w:pageBreakBefore w:val="0"/>
        <w:widowControl w:val="0"/>
        <w:numPr>
          <w:ilvl w:val="1"/>
          <w:numId w:val="11"/>
        </w:numPr>
        <w:tabs>
          <w:tab w:val="left" w:pos="1080"/>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hint="eastAsia" w:ascii="宋体" w:hAnsi="宋体" w:eastAsia="宋体" w:cs="宋体"/>
          <w:b/>
          <w:color w:val="auto"/>
          <w:sz w:val="24"/>
          <w:highlight w:val="none"/>
        </w:rPr>
        <w:t>无效响应</w:t>
      </w:r>
      <w:r>
        <w:rPr>
          <w:rFonts w:hint="eastAsia" w:ascii="宋体" w:hAnsi="宋体" w:eastAsia="宋体" w:cs="宋体"/>
          <w:color w:val="auto"/>
          <w:sz w:val="24"/>
          <w:highlight w:val="none"/>
        </w:rPr>
        <w:t>处理，磋商小组应当告知提交响应文件的供应商。</w:t>
      </w:r>
    </w:p>
    <w:p w14:paraId="57835155">
      <w:pPr>
        <w:keepNext w:val="0"/>
        <w:keepLines w:val="0"/>
        <w:pageBreakBefore w:val="0"/>
        <w:widowControl w:val="0"/>
        <w:numPr>
          <w:ilvl w:val="1"/>
          <w:numId w:val="11"/>
        </w:numPr>
        <w:tabs>
          <w:tab w:val="left" w:pos="1080"/>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《资格性检查要求》中对格式有要求的，除竞争性磋商文件另有规定外，均为“实质性格式”文件。</w:t>
      </w:r>
    </w:p>
    <w:p w14:paraId="21717FBE">
      <w:pPr>
        <w:keepNext w:val="0"/>
        <w:keepLines w:val="0"/>
        <w:pageBreakBefore w:val="0"/>
        <w:widowControl w:val="0"/>
        <w:numPr>
          <w:ilvl w:val="1"/>
          <w:numId w:val="11"/>
        </w:numPr>
        <w:tabs>
          <w:tab w:val="left" w:pos="1080"/>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《资格性检查要求》见下表：</w:t>
      </w:r>
    </w:p>
    <w:p w14:paraId="790CF99B">
      <w:pPr>
        <w:tabs>
          <w:tab w:val="left" w:pos="900"/>
          <w:tab w:val="left" w:pos="1080"/>
          <w:tab w:val="left" w:pos="1447"/>
        </w:tabs>
        <w:spacing w:line="360" w:lineRule="auto"/>
        <w:jc w:val="center"/>
        <w:outlineLvl w:val="9"/>
        <w:rPr>
          <w:b/>
          <w:color w:val="auto"/>
          <w:sz w:val="24"/>
          <w:highlight w:val="none"/>
        </w:rPr>
      </w:pPr>
      <w:r>
        <w:rPr>
          <w:b/>
          <w:color w:val="auto"/>
          <w:sz w:val="24"/>
          <w:highlight w:val="none"/>
        </w:rPr>
        <w:t>资格性检查要求</w:t>
      </w:r>
    </w:p>
    <w:tbl>
      <w:tblPr>
        <w:tblStyle w:val="3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0"/>
        <w:gridCol w:w="1728"/>
        <w:gridCol w:w="4494"/>
        <w:gridCol w:w="1660"/>
      </w:tblGrid>
      <w:tr w14:paraId="7DA44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trPr>
        <w:tc>
          <w:tcPr>
            <w:tcW w:w="640" w:type="dxa"/>
            <w:noWrap w:val="0"/>
            <w:vAlign w:val="center"/>
          </w:tcPr>
          <w:p w14:paraId="7B1D20B5">
            <w:pPr>
              <w:keepNext w:val="0"/>
              <w:keepLines w:val="0"/>
              <w:pageBreakBefore w:val="0"/>
              <w:widowControl w:val="0"/>
              <w:tabs>
                <w:tab w:val="left" w:pos="1080"/>
              </w:tabs>
              <w:jc w:val="center"/>
              <w:outlineLvl w:val="9"/>
              <w:rPr>
                <w:rFonts w:hint="eastAsia" w:ascii="宋体" w:hAnsi="宋体" w:eastAsia="宋体" w:cs="宋体"/>
                <w:b/>
                <w:color w:val="auto"/>
                <w:sz w:val="24"/>
                <w:highlight w:val="none"/>
              </w:rPr>
            </w:pPr>
            <w:bookmarkStart w:id="576" w:name="_Hlt487972895"/>
            <w:bookmarkEnd w:id="576"/>
            <w:r>
              <w:rPr>
                <w:rFonts w:hint="eastAsia" w:ascii="宋体" w:hAnsi="宋体" w:eastAsia="宋体" w:cs="宋体"/>
                <w:b/>
                <w:color w:val="auto"/>
                <w:sz w:val="24"/>
                <w:highlight w:val="none"/>
              </w:rPr>
              <w:t>序号</w:t>
            </w:r>
          </w:p>
        </w:tc>
        <w:tc>
          <w:tcPr>
            <w:tcW w:w="1728" w:type="dxa"/>
            <w:noWrap w:val="0"/>
            <w:vAlign w:val="center"/>
          </w:tcPr>
          <w:p w14:paraId="06BC8994">
            <w:pPr>
              <w:keepNext w:val="0"/>
              <w:keepLines w:val="0"/>
              <w:pageBreakBefore w:val="0"/>
              <w:widowControl w:val="0"/>
              <w:tabs>
                <w:tab w:val="left" w:pos="1080"/>
              </w:tabs>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审查因素</w:t>
            </w:r>
          </w:p>
        </w:tc>
        <w:tc>
          <w:tcPr>
            <w:tcW w:w="4494" w:type="dxa"/>
            <w:noWrap w:val="0"/>
            <w:vAlign w:val="center"/>
          </w:tcPr>
          <w:p w14:paraId="5FF84DBA">
            <w:pPr>
              <w:keepNext w:val="0"/>
              <w:keepLines w:val="0"/>
              <w:pageBreakBefore w:val="0"/>
              <w:widowControl w:val="0"/>
              <w:tabs>
                <w:tab w:val="left" w:pos="1080"/>
              </w:tabs>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审查内容</w:t>
            </w:r>
          </w:p>
        </w:tc>
        <w:tc>
          <w:tcPr>
            <w:tcW w:w="1660" w:type="dxa"/>
            <w:noWrap w:val="0"/>
            <w:vAlign w:val="center"/>
          </w:tcPr>
          <w:p w14:paraId="28616733">
            <w:pPr>
              <w:keepNext w:val="0"/>
              <w:keepLines w:val="0"/>
              <w:pageBreakBefore w:val="0"/>
              <w:widowControl w:val="0"/>
              <w:tabs>
                <w:tab w:val="left" w:pos="1080"/>
              </w:tabs>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格式要求</w:t>
            </w:r>
          </w:p>
        </w:tc>
      </w:tr>
      <w:tr w14:paraId="60699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40" w:type="dxa"/>
            <w:noWrap w:val="0"/>
            <w:vAlign w:val="center"/>
          </w:tcPr>
          <w:p w14:paraId="6B0A0486">
            <w:pPr>
              <w:keepNext w:val="0"/>
              <w:keepLines w:val="0"/>
              <w:pageBreakBefore w:val="0"/>
              <w:widowControl w:val="0"/>
              <w:tabs>
                <w:tab w:val="left" w:pos="1080"/>
              </w:tabs>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28" w:type="dxa"/>
            <w:noWrap w:val="0"/>
            <w:vAlign w:val="center"/>
          </w:tcPr>
          <w:p w14:paraId="5CEF967F">
            <w:pPr>
              <w:keepNext w:val="0"/>
              <w:keepLines w:val="0"/>
              <w:pageBreakBefore w:val="0"/>
              <w:widowControl w:val="0"/>
              <w:tabs>
                <w:tab w:val="left" w:pos="1080"/>
              </w:tabs>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满足《中华人民共和国政府采购法》第二十二条规定及法律法规的其他规定</w:t>
            </w:r>
          </w:p>
        </w:tc>
        <w:tc>
          <w:tcPr>
            <w:tcW w:w="4494" w:type="dxa"/>
            <w:noWrap w:val="0"/>
            <w:vAlign w:val="center"/>
          </w:tcPr>
          <w:p w14:paraId="4083BA07">
            <w:pPr>
              <w:keepNext w:val="0"/>
              <w:keepLines w:val="0"/>
              <w:pageBreakBefore w:val="0"/>
              <w:widowControl w:val="0"/>
              <w:tabs>
                <w:tab w:val="left" w:pos="1080"/>
              </w:tabs>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具体规定见第一章《采购邀请》</w:t>
            </w:r>
          </w:p>
        </w:tc>
        <w:tc>
          <w:tcPr>
            <w:tcW w:w="1660" w:type="dxa"/>
            <w:noWrap w:val="0"/>
            <w:vAlign w:val="center"/>
          </w:tcPr>
          <w:p w14:paraId="2AF2C44D">
            <w:pPr>
              <w:keepNext w:val="0"/>
              <w:keepLines w:val="0"/>
              <w:pageBreakBefore w:val="0"/>
              <w:widowControl w:val="0"/>
              <w:tabs>
                <w:tab w:val="left" w:pos="1080"/>
              </w:tabs>
              <w:outlineLvl w:val="9"/>
              <w:rPr>
                <w:rFonts w:hint="eastAsia" w:ascii="宋体" w:hAnsi="宋体" w:eastAsia="宋体" w:cs="宋体"/>
                <w:color w:val="auto"/>
                <w:sz w:val="24"/>
                <w:highlight w:val="none"/>
              </w:rPr>
            </w:pPr>
          </w:p>
        </w:tc>
      </w:tr>
      <w:tr w14:paraId="31C7A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640" w:type="dxa"/>
            <w:noWrap w:val="0"/>
            <w:vAlign w:val="center"/>
          </w:tcPr>
          <w:p w14:paraId="78F305E5">
            <w:pPr>
              <w:keepNext w:val="0"/>
              <w:keepLines w:val="0"/>
              <w:pageBreakBefore w:val="0"/>
              <w:widowControl w:val="0"/>
              <w:tabs>
                <w:tab w:val="left" w:pos="1080"/>
              </w:tabs>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728" w:type="dxa"/>
            <w:noWrap w:val="0"/>
            <w:vAlign w:val="center"/>
          </w:tcPr>
          <w:p w14:paraId="65FBF125">
            <w:pPr>
              <w:keepNext w:val="0"/>
              <w:keepLines w:val="0"/>
              <w:pageBreakBefore w:val="0"/>
              <w:widowControl w:val="0"/>
              <w:tabs>
                <w:tab w:val="left" w:pos="1080"/>
              </w:tabs>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供应商资格声明函</w:t>
            </w:r>
          </w:p>
        </w:tc>
        <w:tc>
          <w:tcPr>
            <w:tcW w:w="4494" w:type="dxa"/>
            <w:noWrap w:val="0"/>
            <w:vAlign w:val="center"/>
          </w:tcPr>
          <w:p w14:paraId="02B66556">
            <w:pPr>
              <w:keepNext w:val="0"/>
              <w:keepLines w:val="0"/>
              <w:pageBreakBefore w:val="0"/>
              <w:widowControl w:val="0"/>
              <w:tabs>
                <w:tab w:val="left" w:pos="1080"/>
              </w:tabs>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提供了符合采购文件要求的《供应商资格声明函》。</w:t>
            </w:r>
          </w:p>
        </w:tc>
        <w:tc>
          <w:tcPr>
            <w:tcW w:w="1660" w:type="dxa"/>
            <w:noWrap w:val="0"/>
            <w:vAlign w:val="center"/>
          </w:tcPr>
          <w:p w14:paraId="4CB36906">
            <w:pPr>
              <w:keepNext w:val="0"/>
              <w:keepLines w:val="0"/>
              <w:pageBreakBefore w:val="0"/>
              <w:widowControl w:val="0"/>
              <w:tabs>
                <w:tab w:val="left" w:pos="1080"/>
              </w:tabs>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格式见《响应文件格式》</w:t>
            </w:r>
          </w:p>
        </w:tc>
      </w:tr>
      <w:tr w14:paraId="741A2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40" w:type="dxa"/>
            <w:noWrap w:val="0"/>
            <w:vAlign w:val="center"/>
          </w:tcPr>
          <w:p w14:paraId="6DBADB17">
            <w:pPr>
              <w:keepNext w:val="0"/>
              <w:keepLines w:val="0"/>
              <w:pageBreakBefore w:val="0"/>
              <w:widowControl w:val="0"/>
              <w:tabs>
                <w:tab w:val="left" w:pos="1080"/>
              </w:tabs>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1728" w:type="dxa"/>
            <w:noWrap w:val="0"/>
            <w:vAlign w:val="center"/>
          </w:tcPr>
          <w:p w14:paraId="1E2A9FBA">
            <w:pPr>
              <w:keepNext w:val="0"/>
              <w:keepLines w:val="0"/>
              <w:pageBreakBefore w:val="0"/>
              <w:widowControl w:val="0"/>
              <w:tabs>
                <w:tab w:val="left" w:pos="1080"/>
              </w:tabs>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供应商信用记录</w:t>
            </w:r>
          </w:p>
        </w:tc>
        <w:tc>
          <w:tcPr>
            <w:tcW w:w="4494" w:type="dxa"/>
            <w:noWrap w:val="0"/>
            <w:vAlign w:val="center"/>
          </w:tcPr>
          <w:p w14:paraId="4D71B685">
            <w:pPr>
              <w:keepNext w:val="0"/>
              <w:keepLines w:val="0"/>
              <w:pageBreakBefore w:val="0"/>
              <w:widowControl w:val="0"/>
              <w:tabs>
                <w:tab w:val="left" w:pos="900"/>
                <w:tab w:val="left" w:pos="1980"/>
              </w:tabs>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查询渠道：信用中国网站和中国政府采购网（www.creditchina.gov.cn、www.ccgp.gov.cn）；</w:t>
            </w:r>
          </w:p>
          <w:p w14:paraId="4DF41F3D">
            <w:pPr>
              <w:keepNext w:val="0"/>
              <w:keepLines w:val="0"/>
              <w:pageBreakBefore w:val="0"/>
              <w:widowControl w:val="0"/>
              <w:tabs>
                <w:tab w:val="left" w:pos="900"/>
                <w:tab w:val="left" w:pos="1980"/>
              </w:tabs>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截止时点：提交响应文件截止时间以后、资格审查阶段采购人或采购代理机构的实际查询时间；</w:t>
            </w:r>
          </w:p>
          <w:p w14:paraId="0F22C83F">
            <w:pPr>
              <w:keepNext w:val="0"/>
              <w:keepLines w:val="0"/>
              <w:pageBreakBefore w:val="0"/>
              <w:widowControl w:val="0"/>
              <w:tabs>
                <w:tab w:val="left" w:pos="900"/>
                <w:tab w:val="left" w:pos="1980"/>
              </w:tabs>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信用信息查询记录和证据留存具体方式：查询结果网页打印页作为查询记录和证据，与其他采购文件一并保存；</w:t>
            </w:r>
          </w:p>
          <w:p w14:paraId="3627E008">
            <w:pPr>
              <w:keepNext w:val="0"/>
              <w:keepLines w:val="0"/>
              <w:pageBreakBefore w:val="0"/>
              <w:widowControl w:val="0"/>
              <w:tabs>
                <w:tab w:val="left" w:pos="1080"/>
              </w:tabs>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信用信息的使用原则：经认定的被列入失信被执行人、重大税收违法案件当事人名单、政府采购严重违法失信行为记录名单的供应商，其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tc>
        <w:tc>
          <w:tcPr>
            <w:tcW w:w="1660" w:type="dxa"/>
            <w:noWrap w:val="0"/>
            <w:vAlign w:val="center"/>
          </w:tcPr>
          <w:p w14:paraId="46974206">
            <w:pPr>
              <w:keepNext w:val="0"/>
              <w:keepLines w:val="0"/>
              <w:pageBreakBefore w:val="0"/>
              <w:widowControl w:val="0"/>
              <w:tabs>
                <w:tab w:val="left" w:pos="1080"/>
              </w:tabs>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无须供应商提供，由采购人查询。</w:t>
            </w:r>
          </w:p>
        </w:tc>
      </w:tr>
      <w:tr w14:paraId="148A9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40" w:type="dxa"/>
            <w:noWrap w:val="0"/>
            <w:vAlign w:val="center"/>
          </w:tcPr>
          <w:p w14:paraId="67AF7007">
            <w:pPr>
              <w:keepNext w:val="0"/>
              <w:keepLines w:val="0"/>
              <w:pageBreakBefore w:val="0"/>
              <w:widowControl w:val="0"/>
              <w:tabs>
                <w:tab w:val="left" w:pos="1080"/>
              </w:tabs>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28" w:type="dxa"/>
            <w:noWrap w:val="0"/>
            <w:vAlign w:val="center"/>
          </w:tcPr>
          <w:p w14:paraId="05D2AB46">
            <w:pPr>
              <w:keepNext w:val="0"/>
              <w:keepLines w:val="0"/>
              <w:pageBreakBefore w:val="0"/>
              <w:widowControl w:val="0"/>
              <w:tabs>
                <w:tab w:val="left" w:pos="1080"/>
              </w:tabs>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落实政府采购政策需满足的资格要求</w:t>
            </w:r>
          </w:p>
        </w:tc>
        <w:tc>
          <w:tcPr>
            <w:tcW w:w="4494" w:type="dxa"/>
            <w:noWrap w:val="0"/>
            <w:vAlign w:val="center"/>
          </w:tcPr>
          <w:p w14:paraId="3F14B5BB">
            <w:pPr>
              <w:keepNext w:val="0"/>
              <w:keepLines w:val="0"/>
              <w:pageBreakBefore w:val="0"/>
              <w:widowControl w:val="0"/>
              <w:tabs>
                <w:tab w:val="left" w:pos="1080"/>
              </w:tabs>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具体要求见第一章《采购邀请》</w:t>
            </w:r>
          </w:p>
        </w:tc>
        <w:tc>
          <w:tcPr>
            <w:tcW w:w="1660" w:type="dxa"/>
            <w:noWrap w:val="0"/>
            <w:vAlign w:val="center"/>
          </w:tcPr>
          <w:p w14:paraId="72A8951A">
            <w:pPr>
              <w:keepNext w:val="0"/>
              <w:keepLines w:val="0"/>
              <w:pageBreakBefore w:val="0"/>
              <w:widowControl w:val="0"/>
              <w:tabs>
                <w:tab w:val="left" w:pos="1080"/>
              </w:tabs>
              <w:outlineLvl w:val="9"/>
              <w:rPr>
                <w:rFonts w:hint="eastAsia" w:ascii="宋体" w:hAnsi="宋体" w:eastAsia="宋体" w:cs="宋体"/>
                <w:color w:val="auto"/>
                <w:sz w:val="24"/>
                <w:highlight w:val="none"/>
              </w:rPr>
            </w:pPr>
          </w:p>
        </w:tc>
      </w:tr>
      <w:tr w14:paraId="0CD7B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40" w:type="dxa"/>
            <w:noWrap w:val="0"/>
            <w:vAlign w:val="center"/>
          </w:tcPr>
          <w:p w14:paraId="7A49C013">
            <w:pPr>
              <w:keepNext w:val="0"/>
              <w:keepLines w:val="0"/>
              <w:pageBreakBefore w:val="0"/>
              <w:widowControl w:val="0"/>
              <w:tabs>
                <w:tab w:val="left" w:pos="1080"/>
              </w:tabs>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p>
        </w:tc>
        <w:tc>
          <w:tcPr>
            <w:tcW w:w="1728" w:type="dxa"/>
            <w:noWrap w:val="0"/>
            <w:vAlign w:val="center"/>
          </w:tcPr>
          <w:p w14:paraId="46CB91F2">
            <w:pPr>
              <w:keepNext w:val="0"/>
              <w:keepLines w:val="0"/>
              <w:pageBreakBefore w:val="0"/>
              <w:widowControl w:val="0"/>
              <w:tabs>
                <w:tab w:val="left" w:pos="1080"/>
              </w:tabs>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中小企业声明函</w:t>
            </w:r>
          </w:p>
        </w:tc>
        <w:tc>
          <w:tcPr>
            <w:tcW w:w="4494" w:type="dxa"/>
            <w:noWrap w:val="0"/>
            <w:vAlign w:val="center"/>
          </w:tcPr>
          <w:p w14:paraId="60F394EA">
            <w:pPr>
              <w:keepNext w:val="0"/>
              <w:keepLines w:val="0"/>
              <w:pageBreakBefore w:val="0"/>
              <w:widowControl w:val="0"/>
              <w:tabs>
                <w:tab w:val="left" w:pos="1080"/>
              </w:tabs>
              <w:outlineLvl w:val="9"/>
              <w:rPr>
                <w:rFonts w:hint="eastAsia"/>
                <w:color w:val="auto"/>
                <w:highlight w:val="none"/>
              </w:rPr>
            </w:pPr>
            <w:r>
              <w:rPr>
                <w:rFonts w:hint="eastAsia" w:ascii="宋体" w:hAnsi="宋体" w:eastAsia="宋体" w:cs="宋体"/>
                <w:bCs/>
                <w:color w:val="auto"/>
                <w:sz w:val="24"/>
                <w:highlight w:val="none"/>
              </w:rPr>
              <w:t>供应商单独参与磋商的，应提供中小企业声明函；如为监狱企业或残疾人福利性单位，不必提供中小企业声明函，但须按注1或注2要求提供证明材料。</w:t>
            </w:r>
          </w:p>
          <w:p w14:paraId="264DB9DB">
            <w:pPr>
              <w:keepNext w:val="0"/>
              <w:keepLines w:val="0"/>
              <w:pageBreakBefore w:val="0"/>
              <w:widowControl w:val="0"/>
              <w:tabs>
                <w:tab w:val="left" w:pos="1080"/>
              </w:tabs>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注1：监狱企业须提供由省级以上监狱管理局（常州市含教育矫治局）、戒毒管理局（含新疆生产建设兵团）出具的属于监狱企业的证明文件。</w:t>
            </w:r>
          </w:p>
          <w:p w14:paraId="1921E418">
            <w:pPr>
              <w:keepNext w:val="0"/>
              <w:keepLines w:val="0"/>
              <w:pageBreakBefore w:val="0"/>
              <w:widowControl w:val="0"/>
              <w:tabs>
                <w:tab w:val="left" w:pos="1080"/>
              </w:tabs>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注2：残疾人福利性单位须按磋商文件要求提供《残疾人福利性单位声明函》。</w:t>
            </w:r>
          </w:p>
        </w:tc>
        <w:tc>
          <w:tcPr>
            <w:tcW w:w="1660" w:type="dxa"/>
            <w:noWrap w:val="0"/>
            <w:vAlign w:val="center"/>
          </w:tcPr>
          <w:p w14:paraId="4404B8C5">
            <w:pPr>
              <w:keepNext w:val="0"/>
              <w:keepLines w:val="0"/>
              <w:pageBreakBefore w:val="0"/>
              <w:widowControl w:val="0"/>
              <w:tabs>
                <w:tab w:val="left" w:pos="1080"/>
              </w:tabs>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格式见《响应文件格式》</w:t>
            </w:r>
          </w:p>
        </w:tc>
      </w:tr>
    </w:tbl>
    <w:p w14:paraId="1158D4C4">
      <w:pPr>
        <w:keepNext w:val="0"/>
        <w:keepLines w:val="0"/>
        <w:pageBreakBefore w:val="0"/>
        <w:widowControl w:val="0"/>
        <w:numPr>
          <w:ilvl w:val="1"/>
          <w:numId w:val="11"/>
        </w:numPr>
        <w:tabs>
          <w:tab w:val="left" w:pos="1080"/>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《符合性审查要求》见下表：</w:t>
      </w:r>
    </w:p>
    <w:p w14:paraId="1709B56E">
      <w:pPr>
        <w:tabs>
          <w:tab w:val="left" w:pos="900"/>
          <w:tab w:val="left" w:pos="1080"/>
          <w:tab w:val="left" w:pos="1447"/>
        </w:tabs>
        <w:spacing w:line="360" w:lineRule="auto"/>
        <w:jc w:val="center"/>
        <w:outlineLvl w:val="9"/>
        <w:rPr>
          <w:b/>
          <w:color w:val="auto"/>
          <w:sz w:val="24"/>
          <w:highlight w:val="none"/>
        </w:rPr>
      </w:pPr>
      <w:r>
        <w:rPr>
          <w:b/>
          <w:color w:val="auto"/>
          <w:sz w:val="24"/>
          <w:highlight w:val="none"/>
        </w:rPr>
        <w:t>符合性审查要求</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1664"/>
        <w:gridCol w:w="6170"/>
      </w:tblGrid>
      <w:tr w14:paraId="130AC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88" w:type="dxa"/>
            <w:noWrap w:val="0"/>
            <w:vAlign w:val="center"/>
          </w:tcPr>
          <w:p w14:paraId="3B3E994D">
            <w:pPr>
              <w:keepNext w:val="0"/>
              <w:keepLines w:val="0"/>
              <w:pageBreakBefore w:val="0"/>
              <w:widowControl/>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664" w:type="dxa"/>
            <w:noWrap w:val="0"/>
            <w:vAlign w:val="center"/>
          </w:tcPr>
          <w:p w14:paraId="3B8CEAC3">
            <w:pPr>
              <w:keepNext w:val="0"/>
              <w:keepLines w:val="0"/>
              <w:pageBreakBefore w:val="0"/>
              <w:widowControl/>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审查因素</w:t>
            </w:r>
          </w:p>
        </w:tc>
        <w:tc>
          <w:tcPr>
            <w:tcW w:w="6170" w:type="dxa"/>
            <w:noWrap w:val="0"/>
            <w:vAlign w:val="center"/>
          </w:tcPr>
          <w:p w14:paraId="3025FEE5">
            <w:pPr>
              <w:keepNext w:val="0"/>
              <w:keepLines w:val="0"/>
              <w:pageBreakBefore w:val="0"/>
              <w:widowControl/>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审查内容</w:t>
            </w:r>
          </w:p>
        </w:tc>
      </w:tr>
      <w:tr w14:paraId="31A05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688" w:type="dxa"/>
            <w:noWrap w:val="0"/>
            <w:vAlign w:val="center"/>
          </w:tcPr>
          <w:p w14:paraId="7D02D8E9">
            <w:pPr>
              <w:keepNext w:val="0"/>
              <w:keepLines w:val="0"/>
              <w:pageBreakBefore w:val="0"/>
              <w:widowControl/>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64" w:type="dxa"/>
            <w:noWrap w:val="0"/>
            <w:vAlign w:val="center"/>
          </w:tcPr>
          <w:p w14:paraId="45B9E44D">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响应函、法定代表人资格证明书和政府采购供应商信用承诺书</w:t>
            </w:r>
          </w:p>
        </w:tc>
        <w:tc>
          <w:tcPr>
            <w:tcW w:w="6170" w:type="dxa"/>
            <w:noWrap w:val="0"/>
            <w:vAlign w:val="center"/>
          </w:tcPr>
          <w:p w14:paraId="039B868E">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按磋商文件要求提供响应函、法定代表人资格证明书和政府采购供应商信用承诺书；</w:t>
            </w:r>
          </w:p>
        </w:tc>
      </w:tr>
      <w:tr w14:paraId="335B7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688" w:type="dxa"/>
            <w:noWrap w:val="0"/>
            <w:vAlign w:val="center"/>
          </w:tcPr>
          <w:p w14:paraId="2960D78D">
            <w:pPr>
              <w:keepNext w:val="0"/>
              <w:keepLines w:val="0"/>
              <w:pageBreakBefore w:val="0"/>
              <w:widowControl/>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664" w:type="dxa"/>
            <w:noWrap w:val="0"/>
            <w:vAlign w:val="center"/>
          </w:tcPr>
          <w:p w14:paraId="5A6B5EB6">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响应完整性</w:t>
            </w:r>
          </w:p>
        </w:tc>
        <w:tc>
          <w:tcPr>
            <w:tcW w:w="6170" w:type="dxa"/>
            <w:noWrap w:val="0"/>
            <w:vAlign w:val="center"/>
          </w:tcPr>
          <w:p w14:paraId="6B4F24E1">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未将一个</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rPr>
              <w:t>中的内容拆开响应；</w:t>
            </w:r>
          </w:p>
        </w:tc>
      </w:tr>
      <w:tr w14:paraId="77A97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688" w:type="dxa"/>
            <w:noWrap w:val="0"/>
            <w:vAlign w:val="center"/>
          </w:tcPr>
          <w:p w14:paraId="6C1F08B8">
            <w:pPr>
              <w:keepNext w:val="0"/>
              <w:keepLines w:val="0"/>
              <w:pageBreakBefore w:val="0"/>
              <w:widowControl/>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664" w:type="dxa"/>
            <w:noWrap w:val="0"/>
            <w:vAlign w:val="center"/>
          </w:tcPr>
          <w:p w14:paraId="65BE0CA8">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响应报价</w:t>
            </w:r>
          </w:p>
        </w:tc>
        <w:tc>
          <w:tcPr>
            <w:tcW w:w="6170" w:type="dxa"/>
            <w:noWrap w:val="0"/>
            <w:vAlign w:val="center"/>
          </w:tcPr>
          <w:p w14:paraId="61FF6C92">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响应报价未超过磋商文件中规定的项目预算金额或者项目最高限价；</w:t>
            </w:r>
          </w:p>
        </w:tc>
      </w:tr>
      <w:tr w14:paraId="7D6B8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688" w:type="dxa"/>
            <w:noWrap w:val="0"/>
            <w:vAlign w:val="center"/>
          </w:tcPr>
          <w:p w14:paraId="72C248F9">
            <w:pPr>
              <w:keepNext w:val="0"/>
              <w:keepLines w:val="0"/>
              <w:pageBreakBefore w:val="0"/>
              <w:widowControl/>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664" w:type="dxa"/>
            <w:noWrap w:val="0"/>
            <w:vAlign w:val="center"/>
          </w:tcPr>
          <w:p w14:paraId="08439516">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报价唯一性</w:t>
            </w:r>
          </w:p>
        </w:tc>
        <w:tc>
          <w:tcPr>
            <w:tcW w:w="6170" w:type="dxa"/>
            <w:noWrap w:val="0"/>
            <w:vAlign w:val="center"/>
          </w:tcPr>
          <w:p w14:paraId="3AD47B03">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响应文件未出现可选择性或可调整的报价（磋商文件另有规定的除外）；</w:t>
            </w:r>
          </w:p>
        </w:tc>
      </w:tr>
      <w:tr w14:paraId="0FDB4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688" w:type="dxa"/>
            <w:noWrap w:val="0"/>
            <w:vAlign w:val="center"/>
          </w:tcPr>
          <w:p w14:paraId="01534E70">
            <w:pPr>
              <w:keepNext w:val="0"/>
              <w:keepLines w:val="0"/>
              <w:pageBreakBefore w:val="0"/>
              <w:widowControl/>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664" w:type="dxa"/>
            <w:noWrap w:val="0"/>
            <w:vAlign w:val="center"/>
          </w:tcPr>
          <w:p w14:paraId="258EC517">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响应有效期</w:t>
            </w:r>
          </w:p>
        </w:tc>
        <w:tc>
          <w:tcPr>
            <w:tcW w:w="6170" w:type="dxa"/>
            <w:noWrap w:val="0"/>
            <w:vAlign w:val="center"/>
          </w:tcPr>
          <w:p w14:paraId="69437E83">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响应文件中承诺的响应有效期满足磋商文件中载明的响应有效期的；</w:t>
            </w:r>
          </w:p>
        </w:tc>
      </w:tr>
      <w:tr w14:paraId="3D8F5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688" w:type="dxa"/>
            <w:noWrap w:val="0"/>
            <w:vAlign w:val="center"/>
          </w:tcPr>
          <w:p w14:paraId="74028482">
            <w:pPr>
              <w:keepNext w:val="0"/>
              <w:keepLines w:val="0"/>
              <w:pageBreakBefore w:val="0"/>
              <w:widowControl/>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664" w:type="dxa"/>
            <w:noWrap w:val="0"/>
            <w:vAlign w:val="center"/>
          </w:tcPr>
          <w:p w14:paraId="282F3B5C">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签署、加盖公章</w:t>
            </w:r>
          </w:p>
        </w:tc>
        <w:tc>
          <w:tcPr>
            <w:tcW w:w="6170" w:type="dxa"/>
            <w:noWrap w:val="0"/>
            <w:vAlign w:val="center"/>
          </w:tcPr>
          <w:p w14:paraId="4E439E5D">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按照磋商文件要求签署、加盖公章的；</w:t>
            </w:r>
          </w:p>
        </w:tc>
      </w:tr>
      <w:tr w14:paraId="4A523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688" w:type="dxa"/>
            <w:noWrap w:val="0"/>
            <w:vAlign w:val="center"/>
          </w:tcPr>
          <w:p w14:paraId="549DAA8C">
            <w:pPr>
              <w:keepNext w:val="0"/>
              <w:keepLines w:val="0"/>
              <w:pageBreakBefore w:val="0"/>
              <w:widowControl/>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664" w:type="dxa"/>
            <w:noWrap w:val="0"/>
            <w:vAlign w:val="center"/>
          </w:tcPr>
          <w:p w14:paraId="5FDEFBAE">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实质性格式</w:t>
            </w:r>
          </w:p>
        </w:tc>
        <w:tc>
          <w:tcPr>
            <w:tcW w:w="6170" w:type="dxa"/>
            <w:noWrap w:val="0"/>
            <w:vAlign w:val="center"/>
          </w:tcPr>
          <w:p w14:paraId="5A8843C1">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标记为“实质性格式”的文件均按磋商文件要求提供；</w:t>
            </w:r>
          </w:p>
        </w:tc>
      </w:tr>
      <w:tr w14:paraId="7D91E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688" w:type="dxa"/>
            <w:noWrap w:val="0"/>
            <w:vAlign w:val="center"/>
          </w:tcPr>
          <w:p w14:paraId="0FE2CC8A">
            <w:pPr>
              <w:keepNext w:val="0"/>
              <w:keepLines w:val="0"/>
              <w:pageBreakBefore w:val="0"/>
              <w:widowControl/>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664" w:type="dxa"/>
            <w:noWrap w:val="0"/>
            <w:vAlign w:val="center"/>
          </w:tcPr>
          <w:p w14:paraId="12C80CDE">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报价的修正</w:t>
            </w:r>
          </w:p>
        </w:tc>
        <w:tc>
          <w:tcPr>
            <w:tcW w:w="6170" w:type="dxa"/>
            <w:noWrap w:val="0"/>
            <w:vAlign w:val="center"/>
          </w:tcPr>
          <w:p w14:paraId="14143E21">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响应文件报价出现前后不一致时，供应商对修正后的报价予以确认；</w:t>
            </w:r>
          </w:p>
        </w:tc>
      </w:tr>
      <w:tr w14:paraId="00677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688" w:type="dxa"/>
            <w:noWrap w:val="0"/>
            <w:vAlign w:val="center"/>
          </w:tcPr>
          <w:p w14:paraId="48A4411F">
            <w:pPr>
              <w:widowControl/>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9</w:t>
            </w:r>
          </w:p>
        </w:tc>
        <w:tc>
          <w:tcPr>
            <w:tcW w:w="1664" w:type="dxa"/>
            <w:noWrap w:val="0"/>
            <w:vAlign w:val="center"/>
          </w:tcPr>
          <w:p w14:paraId="6A6313B3">
            <w:pPr>
              <w:widowControl/>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报价合理性</w:t>
            </w:r>
          </w:p>
        </w:tc>
        <w:tc>
          <w:tcPr>
            <w:tcW w:w="6170" w:type="dxa"/>
            <w:noWrap w:val="0"/>
            <w:vAlign w:val="center"/>
          </w:tcPr>
          <w:p w14:paraId="23198BB1">
            <w:pPr>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按照财库〔2026〕2号《关于推动解决政府采购异常低价问题的通知》要求：</w:t>
            </w:r>
          </w:p>
          <w:p w14:paraId="3BD96586">
            <w:pPr>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（一）政府采购评审中出现下列情形之一的，评审委员会应当启动异常低价投标（响应）审查程序：</w:t>
            </w:r>
          </w:p>
          <w:p w14:paraId="28E47FA7">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1.投标（响应）报价低于全部通过符合性审查供应商投标（响应）报价平均值50%的，即投标（响应）报价&lt;全部通过符合性审查供应商投标（响应）报价平均值×50%；</w:t>
            </w:r>
          </w:p>
          <w:p w14:paraId="5FC0BFEA">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2.投标（响应）报价低于通过符合性审查的次低报价供应商投标（响应）报价50%的，即投标（响应）报价&lt;通过符合性审查的次低报价供应商投标（响应）报价×50%；</w:t>
            </w:r>
          </w:p>
          <w:p w14:paraId="401145D6">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3.投标（响应）报价低于采购项目最高限价45%的，即投标（响应）报价&lt;采购项目最高限价×45%；</w:t>
            </w:r>
          </w:p>
          <w:p w14:paraId="4F04D6FB">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4.评审委员会基于专业判断，认为供应商报价过低，有可能影响产品质量或者不能诚信履约的其他情形。</w:t>
            </w:r>
          </w:p>
          <w:p w14:paraId="7ECFCC42">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采购人可以结合具体项目实际情况，提高上述第1项至第3项中启动异常低价投标（响应）审查的数值标准，但是最高不得超过65%。</w:t>
            </w:r>
          </w:p>
          <w:p w14:paraId="49571A3A">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相关法律法规对供应商报价有规定的，从其规定。</w:t>
            </w:r>
          </w:p>
          <w:p w14:paraId="0D6E62DB">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3E7D8FA">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E9D7680">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D35BDE3">
            <w:pPr>
              <w:widowControl/>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tc>
      </w:tr>
      <w:tr w14:paraId="4921C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688" w:type="dxa"/>
            <w:noWrap w:val="0"/>
            <w:vAlign w:val="center"/>
          </w:tcPr>
          <w:p w14:paraId="238CCD56">
            <w:pPr>
              <w:widowControl/>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10</w:t>
            </w:r>
          </w:p>
        </w:tc>
        <w:tc>
          <w:tcPr>
            <w:tcW w:w="1664" w:type="dxa"/>
            <w:noWrap w:val="0"/>
            <w:vAlign w:val="center"/>
          </w:tcPr>
          <w:p w14:paraId="65A825A3">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公平竞争</w:t>
            </w:r>
          </w:p>
        </w:tc>
        <w:tc>
          <w:tcPr>
            <w:tcW w:w="6170" w:type="dxa"/>
            <w:noWrap w:val="0"/>
            <w:vAlign w:val="center"/>
          </w:tcPr>
          <w:p w14:paraId="31040D94">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供应商遵循公平竞争的原则，不存在恶意串通，妨碍其他供应商的竞争行为，不存在损害采购人或者其他供应商的合法权益情形的；</w:t>
            </w:r>
          </w:p>
        </w:tc>
      </w:tr>
      <w:tr w14:paraId="7DC5E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88" w:type="dxa"/>
            <w:noWrap w:val="0"/>
            <w:vAlign w:val="center"/>
          </w:tcPr>
          <w:p w14:paraId="134AD6EC">
            <w:pPr>
              <w:widowControl/>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11</w:t>
            </w:r>
          </w:p>
        </w:tc>
        <w:tc>
          <w:tcPr>
            <w:tcW w:w="1664" w:type="dxa"/>
            <w:noWrap w:val="0"/>
            <w:vAlign w:val="center"/>
          </w:tcPr>
          <w:p w14:paraId="7618660C">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串通响应</w:t>
            </w:r>
          </w:p>
        </w:tc>
        <w:tc>
          <w:tcPr>
            <w:tcW w:w="6170" w:type="dxa"/>
            <w:noWrap w:val="0"/>
            <w:vAlign w:val="center"/>
          </w:tcPr>
          <w:p w14:paraId="2CFA818C">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不存在《政府采购货物和服务招标响应管理办法》视为供应商串通响应的情形：（一）不同供应商的响应文件由同一单位或者个人编制（包含使用同一MAC地址的计算机制作电子响应文件的情形）；（二）不同供应商委托同一单位或者个人办理响应事宜（包含使用同一MAC地址的计算机提交或者解密电子响应文件的情形）；（三）不同供应商的响应文件载明的项目管理成员或者联系人员为同一人；（四）不同供应商的响应文件异常一致或者响应报价呈规律性差异；</w:t>
            </w:r>
          </w:p>
        </w:tc>
      </w:tr>
      <w:tr w14:paraId="5509B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688" w:type="dxa"/>
            <w:noWrap w:val="0"/>
            <w:vAlign w:val="center"/>
          </w:tcPr>
          <w:p w14:paraId="4DA332AA">
            <w:pPr>
              <w:widowControl/>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12</w:t>
            </w:r>
          </w:p>
        </w:tc>
        <w:tc>
          <w:tcPr>
            <w:tcW w:w="1664" w:type="dxa"/>
            <w:noWrap w:val="0"/>
            <w:vAlign w:val="center"/>
          </w:tcPr>
          <w:p w14:paraId="0342D458">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附加条件</w:t>
            </w:r>
          </w:p>
        </w:tc>
        <w:tc>
          <w:tcPr>
            <w:tcW w:w="6170" w:type="dxa"/>
            <w:noWrap w:val="0"/>
            <w:vAlign w:val="center"/>
          </w:tcPr>
          <w:p w14:paraId="6965F4B8">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响应文件未含有采购人不能接受的附加条件的；</w:t>
            </w:r>
          </w:p>
        </w:tc>
      </w:tr>
      <w:tr w14:paraId="1E759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688" w:type="dxa"/>
            <w:noWrap w:val="0"/>
            <w:vAlign w:val="center"/>
          </w:tcPr>
          <w:p w14:paraId="375A6810">
            <w:pPr>
              <w:widowControl/>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13</w:t>
            </w:r>
          </w:p>
        </w:tc>
        <w:tc>
          <w:tcPr>
            <w:tcW w:w="1664" w:type="dxa"/>
            <w:noWrap w:val="0"/>
            <w:vAlign w:val="center"/>
          </w:tcPr>
          <w:p w14:paraId="20C0455E">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其他无效情形</w:t>
            </w:r>
          </w:p>
        </w:tc>
        <w:tc>
          <w:tcPr>
            <w:tcW w:w="6170" w:type="dxa"/>
            <w:noWrap w:val="0"/>
            <w:vAlign w:val="center"/>
          </w:tcPr>
          <w:p w14:paraId="395BF3C6">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供应商、响应文件不存在不符合法律、法规和磋商文件规定的其他无效情形。</w:t>
            </w:r>
          </w:p>
        </w:tc>
      </w:tr>
    </w:tbl>
    <w:p w14:paraId="0A939A29">
      <w:pPr>
        <w:numPr>
          <w:ilvl w:val="0"/>
          <w:numId w:val="11"/>
        </w:numPr>
        <w:tabs>
          <w:tab w:val="left" w:pos="360"/>
        </w:tabs>
        <w:spacing w:line="360" w:lineRule="auto"/>
        <w:outlineLvl w:val="1"/>
        <w:rPr>
          <w:color w:val="auto"/>
          <w:sz w:val="24"/>
          <w:highlight w:val="none"/>
        </w:rPr>
      </w:pPr>
      <w:r>
        <w:rPr>
          <w:color w:val="auto"/>
          <w:sz w:val="24"/>
          <w:highlight w:val="none"/>
        </w:rPr>
        <w:t>磋商、响应文件有关事项的澄清、说明或者更正和最终报价</w:t>
      </w:r>
    </w:p>
    <w:p w14:paraId="7C7FD634">
      <w:pPr>
        <w:numPr>
          <w:ilvl w:val="1"/>
          <w:numId w:val="11"/>
        </w:numPr>
        <w:tabs>
          <w:tab w:val="left" w:pos="1080"/>
        </w:tabs>
        <w:spacing w:line="360" w:lineRule="auto"/>
        <w:ind w:left="1077" w:hanging="720"/>
        <w:rPr>
          <w:color w:val="auto"/>
          <w:sz w:val="24"/>
          <w:highlight w:val="none"/>
        </w:rPr>
      </w:pPr>
      <w:r>
        <w:rPr>
          <w:color w:val="auto"/>
          <w:sz w:val="24"/>
          <w:highlight w:val="none"/>
        </w:rPr>
        <w:t>磋商小组所有成员应当集中与单一供应商分别进行磋商，并给予所有参加磋商的供应商平等的磋商机会。</w:t>
      </w:r>
    </w:p>
    <w:p w14:paraId="5EEE912A">
      <w:pPr>
        <w:numPr>
          <w:ilvl w:val="1"/>
          <w:numId w:val="11"/>
        </w:numPr>
        <w:tabs>
          <w:tab w:val="left" w:pos="1080"/>
          <w:tab w:val="left" w:pos="1872"/>
        </w:tabs>
        <w:spacing w:line="360" w:lineRule="auto"/>
        <w:ind w:left="1077" w:hanging="720"/>
        <w:rPr>
          <w:color w:val="auto"/>
          <w:sz w:val="24"/>
          <w:highlight w:val="none"/>
        </w:rPr>
      </w:pPr>
      <w:r>
        <w:rPr>
          <w:color w:val="auto"/>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EEF8F38">
      <w:pPr>
        <w:numPr>
          <w:ilvl w:val="1"/>
          <w:numId w:val="11"/>
        </w:numPr>
        <w:tabs>
          <w:tab w:val="left" w:pos="1080"/>
          <w:tab w:val="left" w:pos="1872"/>
        </w:tabs>
        <w:spacing w:line="360" w:lineRule="auto"/>
        <w:ind w:left="1077" w:hanging="720"/>
        <w:rPr>
          <w:color w:val="auto"/>
          <w:sz w:val="24"/>
          <w:highlight w:val="none"/>
        </w:rPr>
      </w:pPr>
      <w:r>
        <w:rPr>
          <w:color w:val="auto"/>
          <w:sz w:val="24"/>
          <w:highlight w:val="none"/>
        </w:rPr>
        <w:t>对磋商文件作出的实质性变动是磋商文件的有效组成部分，磋商小组应当及时</w:t>
      </w:r>
      <w:r>
        <w:rPr>
          <w:rFonts w:hint="eastAsia"/>
          <w:color w:val="auto"/>
          <w:sz w:val="24"/>
          <w:highlight w:val="none"/>
        </w:rPr>
        <w:t>通过</w:t>
      </w:r>
      <w:r>
        <w:rPr>
          <w:rFonts w:hint="eastAsia"/>
          <w:color w:val="auto"/>
          <w:sz w:val="24"/>
          <w:highlight w:val="none"/>
          <w:lang w:eastAsia="zh-CN"/>
        </w:rPr>
        <w:t>“苏采云”政府采购一体化平台</w:t>
      </w:r>
      <w:r>
        <w:rPr>
          <w:rFonts w:hint="eastAsia"/>
          <w:color w:val="auto"/>
          <w:sz w:val="24"/>
          <w:highlight w:val="none"/>
        </w:rPr>
        <w:t>系统</w:t>
      </w:r>
      <w:r>
        <w:rPr>
          <w:color w:val="auto"/>
          <w:sz w:val="24"/>
          <w:highlight w:val="none"/>
        </w:rPr>
        <w:t>以书面形式同时通知所有参加磋商的供应商。</w:t>
      </w:r>
    </w:p>
    <w:p w14:paraId="671008C0">
      <w:pPr>
        <w:numPr>
          <w:ilvl w:val="1"/>
          <w:numId w:val="11"/>
        </w:numPr>
        <w:tabs>
          <w:tab w:val="left" w:pos="1080"/>
          <w:tab w:val="left" w:pos="1872"/>
        </w:tabs>
        <w:spacing w:line="360" w:lineRule="auto"/>
        <w:ind w:left="1077" w:hanging="720"/>
        <w:rPr>
          <w:color w:val="auto"/>
          <w:sz w:val="24"/>
          <w:highlight w:val="none"/>
        </w:rPr>
      </w:pPr>
      <w:r>
        <w:rPr>
          <w:color w:val="auto"/>
          <w:sz w:val="24"/>
          <w:highlight w:val="none"/>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4821D3D1">
      <w:pPr>
        <w:numPr>
          <w:ilvl w:val="1"/>
          <w:numId w:val="11"/>
        </w:numPr>
        <w:tabs>
          <w:tab w:val="left" w:pos="1080"/>
          <w:tab w:val="left" w:pos="1872"/>
        </w:tabs>
        <w:spacing w:line="360" w:lineRule="auto"/>
        <w:ind w:left="1077" w:hanging="720"/>
        <w:rPr>
          <w:color w:val="auto"/>
          <w:sz w:val="24"/>
          <w:highlight w:val="none"/>
        </w:rPr>
      </w:pPr>
      <w:r>
        <w:rPr>
          <w:color w:val="auto"/>
          <w:sz w:val="24"/>
          <w:highlight w:val="none"/>
        </w:rPr>
        <w:t>响应文件的澄清、说明或者更正</w:t>
      </w:r>
      <w:r>
        <w:rPr>
          <w:rFonts w:hint="eastAsia"/>
          <w:color w:val="auto"/>
          <w:sz w:val="24"/>
          <w:highlight w:val="none"/>
        </w:rPr>
        <w:t>：</w:t>
      </w:r>
    </w:p>
    <w:p w14:paraId="26A316A6">
      <w:pPr>
        <w:tabs>
          <w:tab w:val="left" w:pos="1980"/>
        </w:tabs>
        <w:spacing w:line="360" w:lineRule="auto"/>
        <w:ind w:left="1080"/>
        <w:rPr>
          <w:color w:val="auto"/>
          <w:sz w:val="24"/>
          <w:highlight w:val="none"/>
        </w:rPr>
      </w:pPr>
      <w:r>
        <w:rPr>
          <w:rFonts w:hint="eastAsia"/>
          <w:color w:val="auto"/>
          <w:sz w:val="24"/>
          <w:highlight w:val="none"/>
        </w:rPr>
        <w:t>评审</w:t>
      </w:r>
      <w:r>
        <w:rPr>
          <w:color w:val="auto"/>
          <w:sz w:val="24"/>
          <w:highlight w:val="none"/>
        </w:rPr>
        <w:t>过程中，</w:t>
      </w:r>
      <w:r>
        <w:rPr>
          <w:rFonts w:hint="eastAsia"/>
          <w:color w:val="auto"/>
          <w:sz w:val="24"/>
          <w:highlight w:val="none"/>
        </w:rPr>
        <w:t>磋商小组</w:t>
      </w:r>
      <w:r>
        <w:rPr>
          <w:color w:val="auto"/>
          <w:sz w:val="24"/>
          <w:highlight w:val="none"/>
        </w:rPr>
        <w:t>会将</w:t>
      </w:r>
      <w:r>
        <w:rPr>
          <w:rFonts w:hint="eastAsia"/>
          <w:color w:val="auto"/>
          <w:sz w:val="24"/>
          <w:highlight w:val="none"/>
        </w:rPr>
        <w:t>通过</w:t>
      </w:r>
      <w:r>
        <w:rPr>
          <w:rFonts w:hint="eastAsia"/>
          <w:color w:val="auto"/>
          <w:sz w:val="24"/>
          <w:highlight w:val="none"/>
          <w:lang w:eastAsia="zh-CN"/>
        </w:rPr>
        <w:t>“苏采云”政府采购一体化平台</w:t>
      </w:r>
      <w:r>
        <w:rPr>
          <w:rFonts w:hint="eastAsia"/>
          <w:color w:val="auto"/>
          <w:sz w:val="24"/>
          <w:highlight w:val="none"/>
        </w:rPr>
        <w:t>系统</w:t>
      </w:r>
      <w:r>
        <w:rPr>
          <w:color w:val="auto"/>
          <w:sz w:val="24"/>
          <w:highlight w:val="none"/>
        </w:rPr>
        <w:t>以书面形式要求</w:t>
      </w:r>
      <w:r>
        <w:rPr>
          <w:rFonts w:hint="eastAsia"/>
          <w:color w:val="auto"/>
          <w:sz w:val="24"/>
          <w:highlight w:val="none"/>
        </w:rPr>
        <w:t>供应商</w:t>
      </w:r>
      <w:r>
        <w:rPr>
          <w:color w:val="auto"/>
          <w:sz w:val="24"/>
          <w:highlight w:val="none"/>
        </w:rPr>
        <w:t>对其</w:t>
      </w:r>
      <w:r>
        <w:rPr>
          <w:rFonts w:hint="eastAsia"/>
          <w:color w:val="auto"/>
          <w:sz w:val="24"/>
          <w:highlight w:val="none"/>
        </w:rPr>
        <w:t>响应</w:t>
      </w:r>
      <w:r>
        <w:rPr>
          <w:color w:val="auto"/>
          <w:sz w:val="24"/>
          <w:highlight w:val="none"/>
        </w:rPr>
        <w:t>文件中含义不明确、同类问题表述不一致或者有明显文字和计算错误的内容，作出必要的澄清、说明或者补正。</w:t>
      </w:r>
      <w:r>
        <w:rPr>
          <w:rFonts w:hint="eastAsia"/>
          <w:color w:val="auto"/>
          <w:sz w:val="24"/>
          <w:highlight w:val="none"/>
        </w:rPr>
        <w:t>供应商</w:t>
      </w:r>
      <w:r>
        <w:rPr>
          <w:color w:val="auto"/>
          <w:sz w:val="24"/>
          <w:highlight w:val="none"/>
        </w:rPr>
        <w:t>的澄清、说明或者补正应当采用书面形式，并加盖</w:t>
      </w:r>
      <w:r>
        <w:rPr>
          <w:rFonts w:hint="eastAsia"/>
          <w:color w:val="auto"/>
          <w:sz w:val="24"/>
          <w:highlight w:val="none"/>
        </w:rPr>
        <w:t>电子</w:t>
      </w:r>
      <w:r>
        <w:rPr>
          <w:color w:val="auto"/>
          <w:sz w:val="24"/>
          <w:highlight w:val="none"/>
        </w:rPr>
        <w:t>公章。</w:t>
      </w:r>
      <w:r>
        <w:rPr>
          <w:rFonts w:hint="eastAsia"/>
          <w:color w:val="auto"/>
          <w:sz w:val="24"/>
          <w:highlight w:val="none"/>
        </w:rPr>
        <w:t>供应商</w:t>
      </w:r>
      <w:r>
        <w:rPr>
          <w:color w:val="auto"/>
          <w:sz w:val="24"/>
          <w:highlight w:val="none"/>
        </w:rPr>
        <w:t>的澄清、说明或者补正不得超出</w:t>
      </w:r>
      <w:r>
        <w:rPr>
          <w:rFonts w:hint="eastAsia"/>
          <w:color w:val="auto"/>
          <w:sz w:val="24"/>
          <w:highlight w:val="none"/>
        </w:rPr>
        <w:t>响应</w:t>
      </w:r>
      <w:r>
        <w:rPr>
          <w:color w:val="auto"/>
          <w:sz w:val="24"/>
          <w:highlight w:val="none"/>
        </w:rPr>
        <w:t>文件的范围或者改变</w:t>
      </w:r>
      <w:r>
        <w:rPr>
          <w:rFonts w:hint="eastAsia"/>
          <w:color w:val="auto"/>
          <w:sz w:val="24"/>
          <w:highlight w:val="none"/>
        </w:rPr>
        <w:t>响应</w:t>
      </w:r>
      <w:r>
        <w:rPr>
          <w:color w:val="auto"/>
          <w:sz w:val="24"/>
          <w:highlight w:val="none"/>
        </w:rPr>
        <w:t>文件的实质性内容。澄清文件将作为</w:t>
      </w:r>
      <w:r>
        <w:rPr>
          <w:rFonts w:hint="eastAsia"/>
          <w:color w:val="auto"/>
          <w:sz w:val="24"/>
          <w:highlight w:val="none"/>
        </w:rPr>
        <w:t>响应</w:t>
      </w:r>
      <w:r>
        <w:rPr>
          <w:color w:val="auto"/>
          <w:sz w:val="24"/>
          <w:highlight w:val="none"/>
        </w:rPr>
        <w:t>文件内容的一部分。</w:t>
      </w:r>
    </w:p>
    <w:p w14:paraId="1BBD7BB4">
      <w:pPr>
        <w:numPr>
          <w:ilvl w:val="1"/>
          <w:numId w:val="11"/>
        </w:numPr>
        <w:tabs>
          <w:tab w:val="left" w:pos="1080"/>
          <w:tab w:val="left" w:pos="1872"/>
        </w:tabs>
        <w:spacing w:line="360" w:lineRule="auto"/>
        <w:ind w:left="1077" w:hanging="720"/>
        <w:rPr>
          <w:b/>
          <w:color w:val="auto"/>
          <w:sz w:val="24"/>
          <w:highlight w:val="none"/>
        </w:rPr>
      </w:pPr>
      <w:r>
        <w:rPr>
          <w:b/>
          <w:color w:val="auto"/>
          <w:sz w:val="24"/>
          <w:highlight w:val="none"/>
        </w:rPr>
        <w:t>磋商结束后，磋商小组将要求所有实质性响应的供应商在规定时间内</w:t>
      </w:r>
      <w:r>
        <w:rPr>
          <w:rFonts w:hint="eastAsia"/>
          <w:b/>
          <w:color w:val="auto"/>
          <w:sz w:val="24"/>
          <w:highlight w:val="none"/>
        </w:rPr>
        <w:t>通过</w:t>
      </w:r>
      <w:r>
        <w:rPr>
          <w:rFonts w:hint="eastAsia"/>
          <w:b/>
          <w:color w:val="auto"/>
          <w:sz w:val="24"/>
          <w:highlight w:val="none"/>
          <w:lang w:eastAsia="zh-CN"/>
        </w:rPr>
        <w:t>“苏采云”政府采购一体化平台</w:t>
      </w:r>
      <w:r>
        <w:rPr>
          <w:rFonts w:hint="eastAsia"/>
          <w:b/>
          <w:color w:val="auto"/>
          <w:sz w:val="24"/>
          <w:highlight w:val="none"/>
        </w:rPr>
        <w:t>系统</w:t>
      </w:r>
      <w:r>
        <w:rPr>
          <w:b/>
          <w:color w:val="auto"/>
          <w:sz w:val="24"/>
          <w:highlight w:val="none"/>
        </w:rPr>
        <w:t>提交最</w:t>
      </w:r>
      <w:r>
        <w:rPr>
          <w:rFonts w:hint="eastAsia"/>
          <w:b/>
          <w:color w:val="auto"/>
          <w:sz w:val="24"/>
          <w:highlight w:val="none"/>
        </w:rPr>
        <w:t>终</w:t>
      </w:r>
      <w:r>
        <w:rPr>
          <w:b/>
          <w:color w:val="auto"/>
          <w:sz w:val="24"/>
          <w:highlight w:val="none"/>
        </w:rPr>
        <w:t>报价</w:t>
      </w:r>
      <w:r>
        <w:rPr>
          <w:rFonts w:hint="eastAsia"/>
          <w:b/>
          <w:color w:val="auto"/>
          <w:sz w:val="24"/>
          <w:highlight w:val="none"/>
          <w:lang w:eastAsia="zh-CN"/>
        </w:rPr>
        <w:t>。</w:t>
      </w:r>
    </w:p>
    <w:p w14:paraId="4C90F9A4">
      <w:pPr>
        <w:numPr>
          <w:ilvl w:val="1"/>
          <w:numId w:val="11"/>
        </w:numPr>
        <w:tabs>
          <w:tab w:val="left" w:pos="1080"/>
          <w:tab w:val="left" w:pos="1872"/>
        </w:tabs>
        <w:spacing w:line="360" w:lineRule="auto"/>
        <w:ind w:left="1077" w:hanging="720"/>
        <w:rPr>
          <w:color w:val="auto"/>
          <w:sz w:val="24"/>
          <w:highlight w:val="none"/>
        </w:rPr>
      </w:pPr>
      <w:r>
        <w:rPr>
          <w:color w:val="auto"/>
          <w:sz w:val="24"/>
          <w:highlight w:val="none"/>
        </w:rPr>
        <w:t>磋商文件能够详细列明采购标的的技术、服务要求的，磋商结束后，磋商小组应当要求所有实质性响应的供应商在规定时间内提交最终报价，提交最终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市场竞争不充分的科研项目，以及需要扶持的科技成果转化项目，提交最终报价的供应商可以为2家；政府购买服务项目（含政府和社会资本合作项目），在采购过程中符合要求的供应商（社会资本）只有2家的，竞争性磋商采购活动可以继续进行。</w:t>
      </w:r>
    </w:p>
    <w:p w14:paraId="65E2FBBE">
      <w:pPr>
        <w:numPr>
          <w:ilvl w:val="1"/>
          <w:numId w:val="11"/>
        </w:numPr>
        <w:tabs>
          <w:tab w:val="left" w:pos="1080"/>
          <w:tab w:val="left" w:pos="1872"/>
        </w:tabs>
        <w:spacing w:line="360" w:lineRule="auto"/>
        <w:ind w:left="1077" w:hanging="720"/>
        <w:rPr>
          <w:color w:val="auto"/>
          <w:sz w:val="24"/>
          <w:highlight w:val="none"/>
        </w:rPr>
      </w:pPr>
      <w:r>
        <w:rPr>
          <w:color w:val="auto"/>
          <w:sz w:val="24"/>
          <w:highlight w:val="none"/>
        </w:rPr>
        <w:t>最终报价是供应商响应文件的有效组成部分。</w:t>
      </w:r>
    </w:p>
    <w:p w14:paraId="52FDB6BD">
      <w:pPr>
        <w:numPr>
          <w:ilvl w:val="1"/>
          <w:numId w:val="11"/>
        </w:numPr>
        <w:tabs>
          <w:tab w:val="left" w:pos="1080"/>
          <w:tab w:val="left" w:pos="1872"/>
        </w:tabs>
        <w:spacing w:line="360" w:lineRule="auto"/>
        <w:ind w:left="1077" w:hanging="720"/>
        <w:rPr>
          <w:color w:val="auto"/>
          <w:sz w:val="24"/>
          <w:highlight w:val="none"/>
        </w:rPr>
      </w:pPr>
      <w:r>
        <w:rPr>
          <w:color w:val="auto"/>
          <w:sz w:val="24"/>
          <w:highlight w:val="none"/>
        </w:rPr>
        <w:t>已提交响应文件的供应商，在提交最终报价之前，可以根据磋商情况退出磋商。</w:t>
      </w:r>
    </w:p>
    <w:p w14:paraId="024C5F8D">
      <w:pPr>
        <w:keepNext w:val="0"/>
        <w:keepLines w:val="0"/>
        <w:pageBreakBefore w:val="0"/>
        <w:numPr>
          <w:ilvl w:val="0"/>
          <w:numId w:val="11"/>
        </w:numPr>
        <w:tabs>
          <w:tab w:val="left" w:pos="360"/>
        </w:tabs>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最终报价的算术修正及政策调整</w:t>
      </w:r>
    </w:p>
    <w:p w14:paraId="71D6A51C">
      <w:pPr>
        <w:keepNext w:val="0"/>
        <w:keepLines w:val="0"/>
        <w:pageBreakBefore w:val="0"/>
        <w:numPr>
          <w:ilvl w:val="1"/>
          <w:numId w:val="11"/>
        </w:numPr>
        <w:tabs>
          <w:tab w:val="left" w:pos="1080"/>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最终报价须包含竞争性磋商文件全部内容，如最后分项报价表有缺漏视为已含在其他各项报价中，将不对最终报价总价进行调整。磋商小组有权要求供应商在评审现场合理的时间内对此进行书面确认，供应商不确认的，视为将一个</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rPr>
        <w:t>中的内容拆开响应，其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53BC8F22">
      <w:pPr>
        <w:keepNext w:val="0"/>
        <w:keepLines w:val="0"/>
        <w:pageBreakBefore w:val="0"/>
        <w:numPr>
          <w:ilvl w:val="1"/>
          <w:numId w:val="11"/>
        </w:numPr>
        <w:tabs>
          <w:tab w:val="left" w:pos="1080"/>
          <w:tab w:val="left" w:pos="1872"/>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最终报价出现前后不一致的，按照下列规定修正：</w:t>
      </w:r>
    </w:p>
    <w:p w14:paraId="76064F5E">
      <w:pPr>
        <w:keepNext w:val="0"/>
        <w:keepLines w:val="0"/>
        <w:pageBreakBefore w:val="0"/>
        <w:numPr>
          <w:ilvl w:val="2"/>
          <w:numId w:val="11"/>
        </w:numPr>
        <w:tabs>
          <w:tab w:val="left" w:pos="1080"/>
          <w:tab w:val="left" w:pos="1589"/>
          <w:tab w:val="left" w:pos="2035"/>
          <w:tab w:val="left" w:pos="2114"/>
        </w:tabs>
        <w:spacing w:line="360" w:lineRule="auto"/>
        <w:ind w:left="20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竞争性磋商文件对于报价修正是否另有规定：</w:t>
      </w:r>
    </w:p>
    <w:p w14:paraId="7FBA15FF">
      <w:pPr>
        <w:keepNext w:val="0"/>
        <w:keepLines w:val="0"/>
        <w:pageBreakBefore w:val="0"/>
        <w:tabs>
          <w:tab w:val="left" w:pos="1080"/>
          <w:tab w:val="left" w:pos="1589"/>
          <w:tab w:val="left" w:pos="2035"/>
          <w:tab w:val="left" w:pos="2114"/>
        </w:tabs>
        <w:spacing w:line="360" w:lineRule="auto"/>
        <w:ind w:left="2035"/>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□有，具体规定为：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p w14:paraId="45CAE9ED">
      <w:pPr>
        <w:keepNext w:val="0"/>
        <w:keepLines w:val="0"/>
        <w:pageBreakBefore w:val="0"/>
        <w:tabs>
          <w:tab w:val="left" w:pos="1080"/>
          <w:tab w:val="left" w:pos="1589"/>
          <w:tab w:val="left" w:pos="2035"/>
          <w:tab w:val="left" w:pos="2114"/>
        </w:tabs>
        <w:spacing w:line="360" w:lineRule="auto"/>
        <w:ind w:left="2035"/>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无，按下述3.2.2-3.2.5项规定修正。</w:t>
      </w:r>
    </w:p>
    <w:p w14:paraId="05CF53DF">
      <w:pPr>
        <w:keepNext w:val="0"/>
        <w:keepLines w:val="0"/>
        <w:pageBreakBefore w:val="0"/>
        <w:numPr>
          <w:ilvl w:val="2"/>
          <w:numId w:val="11"/>
        </w:numPr>
        <w:tabs>
          <w:tab w:val="left" w:pos="2035"/>
          <w:tab w:val="left" w:pos="2114"/>
          <w:tab w:val="left" w:pos="2977"/>
        </w:tabs>
        <w:spacing w:line="360" w:lineRule="auto"/>
        <w:ind w:left="20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大写金额和小写金额不一致的，以大写金额为准；</w:t>
      </w:r>
    </w:p>
    <w:p w14:paraId="565BCA5D">
      <w:pPr>
        <w:keepNext w:val="0"/>
        <w:keepLines w:val="0"/>
        <w:pageBreakBefore w:val="0"/>
        <w:numPr>
          <w:ilvl w:val="2"/>
          <w:numId w:val="11"/>
        </w:numPr>
        <w:tabs>
          <w:tab w:val="left" w:pos="2035"/>
          <w:tab w:val="left" w:pos="2114"/>
          <w:tab w:val="left" w:pos="2977"/>
        </w:tabs>
        <w:spacing w:line="360" w:lineRule="auto"/>
        <w:ind w:left="20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单价金额小数点或者百分比有明显错位的，以最终报价一览表的总价为准，并修改单价；</w:t>
      </w:r>
    </w:p>
    <w:p w14:paraId="6BB483E3">
      <w:pPr>
        <w:keepNext w:val="0"/>
        <w:keepLines w:val="0"/>
        <w:pageBreakBefore w:val="0"/>
        <w:numPr>
          <w:ilvl w:val="2"/>
          <w:numId w:val="11"/>
        </w:numPr>
        <w:tabs>
          <w:tab w:val="left" w:pos="2035"/>
          <w:tab w:val="left" w:pos="2114"/>
          <w:tab w:val="left" w:pos="2977"/>
        </w:tabs>
        <w:spacing w:line="360" w:lineRule="auto"/>
        <w:ind w:left="20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总价金额与按单价汇总金额不一致的，以单价金额计算结果为准。</w:t>
      </w:r>
    </w:p>
    <w:p w14:paraId="0105BF1A">
      <w:pPr>
        <w:keepNext w:val="0"/>
        <w:keepLines w:val="0"/>
        <w:pageBreakBefore w:val="0"/>
        <w:numPr>
          <w:ilvl w:val="2"/>
          <w:numId w:val="11"/>
        </w:numPr>
        <w:tabs>
          <w:tab w:val="left" w:pos="1080"/>
          <w:tab w:val="left" w:pos="1589"/>
          <w:tab w:val="left" w:pos="2035"/>
          <w:tab w:val="left" w:pos="2114"/>
        </w:tabs>
        <w:spacing w:line="360" w:lineRule="auto"/>
        <w:ind w:left="20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同时出现两种以上不一致的，按照前款规定的顺序修正。修正后的报价经供应商书面确认后产生约束力，供应商不确认的，</w:t>
      </w:r>
      <w:r>
        <w:rPr>
          <w:rFonts w:hint="eastAsia" w:ascii="宋体" w:hAnsi="宋体" w:eastAsia="宋体" w:cs="宋体"/>
          <w:b/>
          <w:color w:val="auto"/>
          <w:sz w:val="24"/>
          <w:highlight w:val="none"/>
        </w:rPr>
        <w:t>其响应无效</w:t>
      </w:r>
      <w:r>
        <w:rPr>
          <w:rFonts w:hint="eastAsia" w:ascii="宋体" w:hAnsi="宋体" w:eastAsia="宋体" w:cs="宋体"/>
          <w:color w:val="auto"/>
          <w:sz w:val="24"/>
          <w:highlight w:val="none"/>
        </w:rPr>
        <w:t>。</w:t>
      </w:r>
    </w:p>
    <w:p w14:paraId="231B2E83">
      <w:pPr>
        <w:numPr>
          <w:ilvl w:val="1"/>
          <w:numId w:val="11"/>
        </w:numPr>
        <w:tabs>
          <w:tab w:val="left" w:pos="1080"/>
          <w:tab w:val="left" w:pos="1872"/>
        </w:tabs>
        <w:spacing w:line="360" w:lineRule="auto"/>
        <w:ind w:left="1077" w:hanging="720"/>
        <w:rPr>
          <w:rFonts w:hint="eastAsia" w:ascii="宋体" w:hAnsi="宋体" w:cs="宋体"/>
          <w:color w:val="auto"/>
          <w:sz w:val="24"/>
          <w:highlight w:val="none"/>
        </w:rPr>
      </w:pPr>
      <w:r>
        <w:rPr>
          <w:rFonts w:hint="eastAsia" w:ascii="宋体" w:hAnsi="宋体" w:eastAsia="宋体" w:cs="宋体"/>
          <w:color w:val="auto"/>
          <w:sz w:val="24"/>
          <w:highlight w:val="none"/>
        </w:rPr>
        <w:t>落实政府采购政策的价格调整：</w:t>
      </w:r>
      <w:r>
        <w:rPr>
          <w:rFonts w:hint="eastAsia" w:ascii="宋体" w:hAnsi="宋体" w:cs="宋体"/>
          <w:color w:val="auto"/>
          <w:sz w:val="24"/>
          <w:highlight w:val="none"/>
          <w:u w:val="single"/>
          <w:lang w:val="en-US" w:eastAsia="zh-CN"/>
        </w:rPr>
        <w:t xml:space="preserve">  /  </w:t>
      </w:r>
      <w:r>
        <w:rPr>
          <w:rFonts w:hint="eastAsia" w:ascii="宋体" w:hAnsi="宋体" w:cs="宋体"/>
          <w:color w:val="auto"/>
          <w:sz w:val="24"/>
          <w:highlight w:val="none"/>
        </w:rPr>
        <w:t>。</w:t>
      </w:r>
    </w:p>
    <w:p w14:paraId="0FCFE2ED">
      <w:pPr>
        <w:keepNext w:val="0"/>
        <w:keepLines w:val="0"/>
        <w:pageBreakBefore w:val="0"/>
        <w:numPr>
          <w:ilvl w:val="0"/>
          <w:numId w:val="11"/>
        </w:numPr>
        <w:tabs>
          <w:tab w:val="left" w:pos="360"/>
        </w:tabs>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磋商环节及提交最终报价后如出现以下情况的，供应商的</w:t>
      </w:r>
      <w:r>
        <w:rPr>
          <w:rFonts w:hint="eastAsia" w:ascii="宋体" w:hAnsi="宋体" w:eastAsia="宋体" w:cs="宋体"/>
          <w:b/>
          <w:color w:val="auto"/>
          <w:sz w:val="24"/>
          <w:highlight w:val="none"/>
        </w:rPr>
        <w:t>响应文件无效</w:t>
      </w:r>
      <w:r>
        <w:rPr>
          <w:rFonts w:hint="eastAsia" w:ascii="宋体" w:hAnsi="宋体" w:eastAsia="宋体" w:cs="宋体"/>
          <w:color w:val="auto"/>
          <w:sz w:val="24"/>
          <w:highlight w:val="none"/>
        </w:rPr>
        <w:t>：</w:t>
      </w:r>
    </w:p>
    <w:p w14:paraId="0E3B8B1F">
      <w:pPr>
        <w:keepNext w:val="0"/>
        <w:keepLines w:val="0"/>
        <w:pageBreakBefore w:val="0"/>
        <w:numPr>
          <w:ilvl w:val="1"/>
          <w:numId w:val="11"/>
        </w:numPr>
        <w:tabs>
          <w:tab w:val="left" w:pos="1080"/>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供应商对实质性变动不予确认的；</w:t>
      </w:r>
    </w:p>
    <w:p w14:paraId="0646F995">
      <w:pPr>
        <w:keepNext w:val="0"/>
        <w:keepLines w:val="0"/>
        <w:pageBreakBefore w:val="0"/>
        <w:numPr>
          <w:ilvl w:val="1"/>
          <w:numId w:val="11"/>
        </w:numPr>
        <w:tabs>
          <w:tab w:val="left" w:pos="1080"/>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不满足磋商文件★号条款或磋商文件技术指标超出磋商文件《采购需求》中主要技术参数允许偏差的最大范围的（如有）；</w:t>
      </w:r>
    </w:p>
    <w:p w14:paraId="4F614802">
      <w:pPr>
        <w:keepNext w:val="0"/>
        <w:keepLines w:val="0"/>
        <w:pageBreakBefore w:val="0"/>
        <w:numPr>
          <w:ilvl w:val="1"/>
          <w:numId w:val="11"/>
        </w:numPr>
        <w:tabs>
          <w:tab w:val="left" w:pos="1080"/>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未按照磋商小组规定的时间、逾期提交最终报价的；</w:t>
      </w:r>
    </w:p>
    <w:p w14:paraId="6703D709">
      <w:pPr>
        <w:keepNext w:val="0"/>
        <w:keepLines w:val="0"/>
        <w:pageBreakBefore w:val="0"/>
        <w:numPr>
          <w:ilvl w:val="1"/>
          <w:numId w:val="11"/>
        </w:numPr>
        <w:tabs>
          <w:tab w:val="left" w:pos="1080"/>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如供应商的最终报价超过竞争性磋商文件中规定的项目预算金额或者项目最高限价的；</w:t>
      </w:r>
    </w:p>
    <w:p w14:paraId="743DE876">
      <w:pPr>
        <w:keepNext w:val="0"/>
        <w:keepLines w:val="0"/>
        <w:pageBreakBefore w:val="0"/>
        <w:numPr>
          <w:ilvl w:val="1"/>
          <w:numId w:val="11"/>
        </w:numPr>
        <w:tabs>
          <w:tab w:val="left" w:pos="1080"/>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响应文件中出现可选择性或可调整的报价的（竞争性磋商文件另有规定的除外）；</w:t>
      </w:r>
    </w:p>
    <w:p w14:paraId="6A756ED5">
      <w:pPr>
        <w:keepNext w:val="0"/>
        <w:keepLines w:val="0"/>
        <w:pageBreakBefore w:val="0"/>
        <w:numPr>
          <w:ilvl w:val="1"/>
          <w:numId w:val="11"/>
        </w:numPr>
        <w:tabs>
          <w:tab w:val="left" w:pos="1080"/>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最终报价出现前后不一致，供应商对修正后的报价不予确认的；</w:t>
      </w:r>
    </w:p>
    <w:p w14:paraId="3B3E522A">
      <w:pPr>
        <w:keepNext w:val="0"/>
        <w:keepLines w:val="0"/>
        <w:pageBreakBefore w:val="0"/>
        <w:numPr>
          <w:ilvl w:val="1"/>
          <w:numId w:val="11"/>
        </w:numPr>
        <w:tabs>
          <w:tab w:val="left" w:pos="1080"/>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bookmarkEnd w:id="560"/>
    <w:bookmarkEnd w:id="561"/>
    <w:p w14:paraId="7A170EF8">
      <w:pPr>
        <w:keepNext w:val="0"/>
        <w:keepLines w:val="0"/>
        <w:pageBreakBefore w:val="0"/>
        <w:numPr>
          <w:ilvl w:val="0"/>
          <w:numId w:val="11"/>
        </w:numPr>
        <w:tabs>
          <w:tab w:val="left" w:pos="360"/>
        </w:tabs>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评审方法和评审标准</w:t>
      </w:r>
    </w:p>
    <w:p w14:paraId="64DB6E77">
      <w:pPr>
        <w:keepNext w:val="0"/>
        <w:keepLines w:val="0"/>
        <w:pageBreakBefore w:val="0"/>
        <w:numPr>
          <w:ilvl w:val="1"/>
          <w:numId w:val="11"/>
        </w:numPr>
        <w:tabs>
          <w:tab w:val="left" w:pos="1080"/>
          <w:tab w:val="left" w:pos="1872"/>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71FEDE2D">
      <w:pPr>
        <w:keepNext w:val="0"/>
        <w:keepLines w:val="0"/>
        <w:pageBreakBefore w:val="0"/>
        <w:numPr>
          <w:ilvl w:val="1"/>
          <w:numId w:val="11"/>
        </w:numPr>
        <w:tabs>
          <w:tab w:val="left" w:pos="1080"/>
          <w:tab w:val="left" w:pos="1872"/>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竞争性磋商文件中没有规定的评审标准不得作为评审依据。</w:t>
      </w:r>
    </w:p>
    <w:p w14:paraId="09EA8421">
      <w:pPr>
        <w:keepNext w:val="0"/>
        <w:keepLines w:val="0"/>
        <w:pageBreakBefore w:val="0"/>
        <w:numPr>
          <w:ilvl w:val="1"/>
          <w:numId w:val="11"/>
        </w:numPr>
        <w:tabs>
          <w:tab w:val="left" w:pos="1080"/>
          <w:tab w:val="left" w:pos="1872"/>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非政府强制采购的节能产品或环境标志产品，依据品目清单和认证证书实施政府优先采购。优先采购的具体规定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p w14:paraId="6C7101E7">
      <w:pPr>
        <w:keepNext w:val="0"/>
        <w:keepLines w:val="0"/>
        <w:pageBreakBefore w:val="0"/>
        <w:numPr>
          <w:ilvl w:val="1"/>
          <w:numId w:val="11"/>
        </w:numPr>
        <w:tabs>
          <w:tab w:val="left" w:pos="1080"/>
          <w:tab w:val="left" w:pos="1872"/>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关于无线局域网认证产品政府采购清单中的产品，优先采购的具体规定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highlight w:val="none"/>
        </w:rPr>
        <w:t>。</w:t>
      </w:r>
    </w:p>
    <w:p w14:paraId="709FF80F">
      <w:pPr>
        <w:keepNext w:val="0"/>
        <w:keepLines w:val="0"/>
        <w:pageBreakBefore w:val="0"/>
        <w:numPr>
          <w:ilvl w:val="0"/>
          <w:numId w:val="11"/>
        </w:numPr>
        <w:tabs>
          <w:tab w:val="left" w:pos="360"/>
        </w:tabs>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确定</w:t>
      </w:r>
      <w:bookmarkStart w:id="577" w:name="_Toc164608815"/>
      <w:bookmarkStart w:id="578" w:name="_Toc151193788"/>
      <w:bookmarkStart w:id="579" w:name="_Toc164229241"/>
      <w:bookmarkStart w:id="580" w:name="_Toc164229387"/>
      <w:bookmarkStart w:id="581" w:name="_Toc265228384"/>
      <w:bookmarkStart w:id="582" w:name="_Toc226309790"/>
      <w:bookmarkStart w:id="583" w:name="_Toc127151747"/>
      <w:bookmarkStart w:id="584" w:name="_Toc520356170"/>
      <w:bookmarkStart w:id="585" w:name="_Toc151193644"/>
      <w:bookmarkStart w:id="586" w:name="_Toc151193860"/>
      <w:bookmarkStart w:id="587" w:name="_Toc151193934"/>
      <w:bookmarkStart w:id="588" w:name="_Toc150774751"/>
      <w:bookmarkStart w:id="589" w:name="_Toc226965819"/>
      <w:bookmarkStart w:id="590" w:name="_Toc127151546"/>
      <w:bookmarkStart w:id="591" w:name="_Toc305158814"/>
      <w:bookmarkStart w:id="592" w:name="_Toc195842911"/>
      <w:bookmarkStart w:id="593" w:name="_Toc226337242"/>
      <w:bookmarkStart w:id="594" w:name="_Toc226965736"/>
      <w:bookmarkStart w:id="595" w:name="_Toc142311048"/>
      <w:bookmarkStart w:id="596" w:name="_Toc264969236"/>
      <w:bookmarkStart w:id="597" w:name="_Toc164608660"/>
      <w:bookmarkStart w:id="598" w:name="_Toc150480784"/>
      <w:bookmarkStart w:id="599" w:name="_Toc127161460"/>
      <w:bookmarkStart w:id="600" w:name="_Toc149720839"/>
      <w:bookmarkStart w:id="601" w:name="_Toc151193716"/>
      <w:bookmarkStart w:id="602" w:name="_Toc150774646"/>
      <w:bookmarkStart w:id="603" w:name="_Toc150509297"/>
      <w:bookmarkStart w:id="604" w:name="_Ref467307010"/>
      <w:bookmarkStart w:id="605" w:name="_Toc151190173"/>
      <w:bookmarkStart w:id="606" w:name="_Toc305158888"/>
      <w:bookmarkStart w:id="607" w:name="_Toc164351640"/>
      <w:r>
        <w:rPr>
          <w:rFonts w:hint="eastAsia" w:ascii="宋体" w:hAnsi="宋体" w:eastAsia="宋体" w:cs="宋体"/>
          <w:color w:val="auto"/>
          <w:sz w:val="24"/>
          <w:highlight w:val="none"/>
        </w:rPr>
        <w:t>成交候选人名单</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00AE0F9F">
      <w:pPr>
        <w:keepNext w:val="0"/>
        <w:keepLines w:val="0"/>
        <w:pageBreakBefore w:val="0"/>
        <w:numPr>
          <w:ilvl w:val="1"/>
          <w:numId w:val="11"/>
        </w:numPr>
        <w:tabs>
          <w:tab w:val="left" w:pos="1080"/>
          <w:tab w:val="left" w:pos="1872"/>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终报价由低到高的顺序推荐。评审得分且最终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25FC3F7A">
      <w:pPr>
        <w:keepNext w:val="0"/>
        <w:keepLines w:val="0"/>
        <w:pageBreakBefore w:val="0"/>
        <w:numPr>
          <w:ilvl w:val="1"/>
          <w:numId w:val="11"/>
        </w:numPr>
        <w:tabs>
          <w:tab w:val="left" w:pos="1080"/>
          <w:tab w:val="left" w:pos="1872"/>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磋商小组根据上述供应商排序，依次推荐排序前</w:t>
      </w:r>
      <w:r>
        <w:rPr>
          <w:rFonts w:hint="eastAsia" w:ascii="宋体" w:hAnsi="宋体" w:eastAsia="宋体" w:cs="宋体"/>
          <w:color w:val="auto"/>
          <w:sz w:val="24"/>
          <w:highlight w:val="none"/>
        </w:rPr>
        <w:t>3名</w:t>
      </w:r>
      <w:r>
        <w:rPr>
          <w:rFonts w:hint="eastAsia" w:ascii="宋体" w:hAnsi="宋体" w:eastAsia="宋体" w:cs="宋体"/>
          <w:color w:val="auto"/>
          <w:sz w:val="24"/>
          <w:szCs w:val="20"/>
          <w:highlight w:val="none"/>
        </w:rPr>
        <w:t>的供应商为</w:t>
      </w:r>
      <w:r>
        <w:rPr>
          <w:rFonts w:hint="eastAsia" w:ascii="宋体" w:hAnsi="宋体" w:eastAsia="宋体" w:cs="宋体"/>
          <w:color w:val="auto"/>
          <w:sz w:val="24"/>
          <w:szCs w:val="21"/>
          <w:highlight w:val="none"/>
        </w:rPr>
        <w:t>成交候选供应商</w:t>
      </w:r>
      <w:r>
        <w:rPr>
          <w:rFonts w:hint="eastAsia" w:ascii="宋体" w:hAnsi="宋体" w:eastAsia="宋体" w:cs="宋体"/>
          <w:color w:val="auto"/>
          <w:sz w:val="24"/>
          <w:szCs w:val="20"/>
          <w:highlight w:val="none"/>
        </w:rPr>
        <w:t>（若在磋商文件允许的情形下提交最终报价的供应商为二家，则依次推荐二名供应商为成交候选供应商），并编写评审报告。</w:t>
      </w:r>
    </w:p>
    <w:p w14:paraId="13352572">
      <w:pPr>
        <w:keepNext w:val="0"/>
        <w:keepLines w:val="0"/>
        <w:pageBreakBefore w:val="0"/>
        <w:numPr>
          <w:ilvl w:val="1"/>
          <w:numId w:val="11"/>
        </w:numPr>
        <w:tabs>
          <w:tab w:val="left" w:pos="1080"/>
          <w:tab w:val="left" w:pos="1872"/>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磋商小组要对评分汇总情况进行复核，特别是对排名第一的、报价最低的、响应文件被认定为无效的情形进行重点复核。</w:t>
      </w:r>
    </w:p>
    <w:p w14:paraId="6F4CBD2F">
      <w:pPr>
        <w:keepNext w:val="0"/>
        <w:keepLines w:val="0"/>
        <w:pageBreakBefore w:val="0"/>
        <w:numPr>
          <w:ilvl w:val="0"/>
          <w:numId w:val="11"/>
        </w:numPr>
        <w:tabs>
          <w:tab w:val="left" w:pos="360"/>
        </w:tabs>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报告违法行为</w:t>
      </w:r>
    </w:p>
    <w:p w14:paraId="22D872B3">
      <w:pPr>
        <w:keepNext w:val="0"/>
        <w:keepLines w:val="0"/>
        <w:pageBreakBefore w:val="0"/>
        <w:widowControl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磋商小组在评审过程中发现供应商有行贿、提供虚假材料或者串通等违法行为时，有向采购人、采购代理机构或者有关部门报告的职责。</w:t>
      </w:r>
    </w:p>
    <w:p w14:paraId="7DD502CC">
      <w:pPr>
        <w:keepNext w:val="0"/>
        <w:keepLines w:val="0"/>
        <w:pageBreakBefore w:val="0"/>
        <w:widowControl w:val="0"/>
        <w:spacing w:line="360" w:lineRule="auto"/>
        <w:jc w:val="center"/>
        <w:outlineLvl w:val="9"/>
        <w:rPr>
          <w:rFonts w:hint="eastAsia" w:ascii="宋体" w:hAnsi="宋体" w:eastAsia="宋体" w:cs="Times New Roman"/>
          <w:b/>
          <w:bCs/>
          <w:color w:val="auto"/>
          <w:sz w:val="28"/>
          <w:szCs w:val="28"/>
          <w:highlight w:val="none"/>
          <w:lang w:val="en-US" w:eastAsia="zh-CN"/>
        </w:rPr>
      </w:pPr>
      <w:r>
        <w:rPr>
          <w:rFonts w:hint="eastAsia" w:ascii="宋体" w:hAnsi="宋体" w:eastAsia="宋体" w:cs="宋体"/>
          <w:color w:val="auto"/>
          <w:sz w:val="24"/>
          <w:highlight w:val="none"/>
        </w:rPr>
        <w:br w:type="page" w:clear="all"/>
      </w:r>
      <w:r>
        <w:rPr>
          <w:rFonts w:hint="eastAsia" w:ascii="宋体" w:hAnsi="宋体" w:eastAsia="宋体" w:cs="Times New Roman"/>
          <w:b/>
          <w:bCs/>
          <w:color w:val="auto"/>
          <w:sz w:val="28"/>
          <w:szCs w:val="28"/>
          <w:highlight w:val="none"/>
          <w:lang w:val="en-US" w:eastAsia="zh-CN"/>
        </w:rPr>
        <w:t>二、评审标准</w:t>
      </w:r>
    </w:p>
    <w:tbl>
      <w:tblPr>
        <w:tblStyle w:val="36"/>
        <w:tblW w:w="55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749"/>
        <w:gridCol w:w="1015"/>
        <w:gridCol w:w="5928"/>
      </w:tblGrid>
      <w:tr w14:paraId="237E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83" w:type="pct"/>
            <w:vAlign w:val="center"/>
          </w:tcPr>
          <w:p w14:paraId="43E12FDB">
            <w:pPr>
              <w:widowControl/>
              <w:tabs>
                <w:tab w:val="left" w:pos="1200"/>
              </w:tabs>
              <w:spacing w:line="360" w:lineRule="auto"/>
              <w:jc w:val="center"/>
              <w:rPr>
                <w:rFonts w:hint="eastAsia" w:ascii="宋体" w:hAnsi="宋体" w:cs="宋体"/>
                <w:sz w:val="24"/>
              </w:rPr>
            </w:pPr>
            <w:r>
              <w:rPr>
                <w:rFonts w:hint="eastAsia" w:ascii="宋体" w:hAnsi="宋体" w:cs="宋体"/>
                <w:sz w:val="24"/>
              </w:rPr>
              <w:t>序号</w:t>
            </w:r>
          </w:p>
        </w:tc>
        <w:tc>
          <w:tcPr>
            <w:tcW w:w="929" w:type="pct"/>
            <w:vAlign w:val="center"/>
          </w:tcPr>
          <w:p w14:paraId="30F5B688">
            <w:pPr>
              <w:widowControl/>
              <w:tabs>
                <w:tab w:val="left" w:pos="1200"/>
              </w:tabs>
              <w:spacing w:line="360" w:lineRule="auto"/>
              <w:jc w:val="center"/>
              <w:rPr>
                <w:rFonts w:hint="eastAsia" w:ascii="宋体" w:hAnsi="宋体" w:cs="宋体"/>
                <w:sz w:val="24"/>
              </w:rPr>
            </w:pPr>
            <w:r>
              <w:rPr>
                <w:rFonts w:hint="eastAsia" w:ascii="宋体" w:hAnsi="宋体" w:cs="宋体"/>
                <w:sz w:val="24"/>
              </w:rPr>
              <w:t>评审因素</w:t>
            </w:r>
          </w:p>
        </w:tc>
        <w:tc>
          <w:tcPr>
            <w:tcW w:w="539" w:type="pct"/>
            <w:vAlign w:val="center"/>
          </w:tcPr>
          <w:p w14:paraId="5D684E4E">
            <w:pPr>
              <w:widowControl/>
              <w:tabs>
                <w:tab w:val="left" w:pos="1200"/>
              </w:tabs>
              <w:spacing w:line="360" w:lineRule="auto"/>
              <w:jc w:val="center"/>
              <w:rPr>
                <w:rFonts w:hint="eastAsia" w:ascii="宋体" w:hAnsi="宋体" w:cs="宋体"/>
                <w:sz w:val="24"/>
              </w:rPr>
            </w:pPr>
            <w:r>
              <w:rPr>
                <w:rFonts w:hint="eastAsia" w:ascii="宋体" w:hAnsi="宋体" w:cs="宋体"/>
                <w:sz w:val="24"/>
              </w:rPr>
              <w:t>分值</w:t>
            </w:r>
          </w:p>
        </w:tc>
        <w:tc>
          <w:tcPr>
            <w:tcW w:w="3148" w:type="pct"/>
            <w:vAlign w:val="center"/>
          </w:tcPr>
          <w:p w14:paraId="0590EA72">
            <w:pPr>
              <w:widowControl/>
              <w:tabs>
                <w:tab w:val="left" w:pos="1200"/>
              </w:tabs>
              <w:spacing w:line="360" w:lineRule="auto"/>
              <w:jc w:val="center"/>
              <w:rPr>
                <w:rFonts w:hint="eastAsia" w:ascii="宋体" w:hAnsi="宋体" w:cs="宋体"/>
                <w:sz w:val="24"/>
              </w:rPr>
            </w:pPr>
            <w:r>
              <w:rPr>
                <w:rFonts w:hint="eastAsia" w:ascii="宋体" w:hAnsi="宋体" w:cs="宋体"/>
                <w:sz w:val="24"/>
              </w:rPr>
              <w:t>评分标准</w:t>
            </w:r>
          </w:p>
        </w:tc>
      </w:tr>
      <w:tr w14:paraId="4612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5000" w:type="pct"/>
            <w:gridSpan w:val="4"/>
            <w:vAlign w:val="center"/>
          </w:tcPr>
          <w:p w14:paraId="5057743A">
            <w:pPr>
              <w:widowControl/>
              <w:tabs>
                <w:tab w:val="left" w:pos="1200"/>
              </w:tabs>
              <w:spacing w:line="360" w:lineRule="auto"/>
              <w:jc w:val="left"/>
              <w:rPr>
                <w:rFonts w:hint="eastAsia" w:ascii="宋体" w:hAnsi="宋体" w:cs="宋体"/>
                <w:b/>
                <w:sz w:val="24"/>
              </w:rPr>
            </w:pPr>
            <w:r>
              <w:rPr>
                <w:rFonts w:hint="eastAsia" w:ascii="宋体" w:hAnsi="宋体" w:cs="宋体"/>
                <w:b/>
                <w:bCs/>
                <w:sz w:val="24"/>
                <w:lang w:val="zh-Hans"/>
              </w:rPr>
              <w:t>一、报价（</w:t>
            </w:r>
            <w:r>
              <w:rPr>
                <w:rFonts w:hint="eastAsia" w:ascii="宋体" w:hAnsi="宋体" w:cs="宋体"/>
                <w:b/>
                <w:bCs/>
                <w:sz w:val="24"/>
              </w:rPr>
              <w:t>2</w:t>
            </w:r>
            <w:r>
              <w:rPr>
                <w:rFonts w:hint="eastAsia" w:ascii="宋体" w:hAnsi="宋体" w:cs="宋体"/>
                <w:b/>
                <w:bCs/>
                <w:sz w:val="24"/>
                <w:lang w:val="en-US" w:eastAsia="zh-CN"/>
              </w:rPr>
              <w:t>5</w:t>
            </w:r>
            <w:r>
              <w:rPr>
                <w:rFonts w:hint="eastAsia" w:ascii="宋体" w:hAnsi="宋体" w:cs="宋体"/>
                <w:b/>
                <w:bCs/>
                <w:sz w:val="24"/>
                <w:lang w:val="zh-Hans"/>
              </w:rPr>
              <w:t>分）</w:t>
            </w:r>
          </w:p>
        </w:tc>
      </w:tr>
      <w:tr w14:paraId="40D2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83" w:type="pct"/>
            <w:vAlign w:val="center"/>
          </w:tcPr>
          <w:p w14:paraId="5600AFFD">
            <w:pPr>
              <w:adjustRightInd w:val="0"/>
              <w:snapToGrid w:val="0"/>
              <w:spacing w:line="360" w:lineRule="auto"/>
              <w:jc w:val="center"/>
              <w:rPr>
                <w:rFonts w:hint="eastAsia" w:ascii="宋体" w:hAnsi="宋体" w:cs="宋体"/>
                <w:sz w:val="24"/>
                <w:lang w:val="zh-Hans"/>
              </w:rPr>
            </w:pPr>
            <w:r>
              <w:rPr>
                <w:rFonts w:hint="eastAsia" w:ascii="宋体" w:hAnsi="宋体" w:cs="宋体"/>
                <w:sz w:val="24"/>
                <w:lang w:val="zh-Hans"/>
              </w:rPr>
              <w:t>1</w:t>
            </w:r>
          </w:p>
        </w:tc>
        <w:tc>
          <w:tcPr>
            <w:tcW w:w="929" w:type="pct"/>
            <w:vAlign w:val="center"/>
          </w:tcPr>
          <w:p w14:paraId="736C58D8">
            <w:pPr>
              <w:adjustRightInd w:val="0"/>
              <w:snapToGrid w:val="0"/>
              <w:spacing w:line="360" w:lineRule="auto"/>
              <w:jc w:val="center"/>
              <w:rPr>
                <w:rFonts w:hint="eastAsia" w:ascii="宋体" w:hAnsi="宋体" w:cs="宋体"/>
                <w:sz w:val="24"/>
                <w:lang w:val="zh-Hans"/>
              </w:rPr>
            </w:pPr>
            <w:r>
              <w:rPr>
                <w:rFonts w:hint="eastAsia" w:ascii="宋体" w:hAnsi="宋体" w:cs="宋体"/>
                <w:sz w:val="24"/>
                <w:lang w:val="zh-Hans"/>
              </w:rPr>
              <w:t>报价</w:t>
            </w:r>
          </w:p>
        </w:tc>
        <w:tc>
          <w:tcPr>
            <w:tcW w:w="539" w:type="pct"/>
            <w:vAlign w:val="center"/>
          </w:tcPr>
          <w:p w14:paraId="1E9951CE">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5</w:t>
            </w:r>
          </w:p>
        </w:tc>
        <w:tc>
          <w:tcPr>
            <w:tcW w:w="3148" w:type="pct"/>
            <w:vAlign w:val="center"/>
          </w:tcPr>
          <w:p w14:paraId="7AE3FEB5">
            <w:pPr>
              <w:adjustRightInd w:val="0"/>
              <w:snapToGrid w:val="0"/>
              <w:spacing w:line="360" w:lineRule="auto"/>
              <w:rPr>
                <w:rFonts w:hint="eastAsia" w:ascii="宋体" w:hAnsi="宋体" w:cs="宋体"/>
                <w:sz w:val="24"/>
                <w:lang w:val="zh-Hans"/>
              </w:rPr>
            </w:pPr>
            <w:r>
              <w:rPr>
                <w:rFonts w:hint="eastAsia" w:ascii="宋体" w:hAnsi="宋体" w:cs="宋体"/>
                <w:sz w:val="24"/>
                <w:lang w:val="zh-Hans"/>
              </w:rPr>
              <w:t>满足磋商文件要求且最终报价最低的报价为评标基准价，其价格分为满分。其他供应商的价格分统一按照下列公式计算：价格分得分＝（评标基准价/最终报价）×分值。</w:t>
            </w:r>
          </w:p>
          <w:p w14:paraId="17AF72C6">
            <w:pPr>
              <w:adjustRightInd w:val="0"/>
              <w:snapToGrid w:val="0"/>
              <w:spacing w:line="360" w:lineRule="auto"/>
              <w:rPr>
                <w:rFonts w:hint="eastAsia" w:ascii="宋体" w:hAnsi="宋体" w:cs="宋体"/>
                <w:sz w:val="24"/>
                <w:lang w:val="zh-Hans"/>
              </w:rPr>
            </w:pPr>
            <w:r>
              <w:rPr>
                <w:rFonts w:hint="eastAsia" w:ascii="宋体" w:hAnsi="宋体" w:eastAsia="宋体" w:cs="宋体"/>
                <w:b/>
                <w:bCs/>
                <w:color w:val="auto"/>
                <w:kern w:val="0"/>
                <w:sz w:val="24"/>
                <w:szCs w:val="24"/>
                <w:highlight w:val="none"/>
              </w:rPr>
              <w:t>注：此处最终报价指经过报价修正</w:t>
            </w:r>
            <w:r>
              <w:rPr>
                <w:rFonts w:hint="eastAsia" w:ascii="宋体" w:hAnsi="宋体" w:eastAsia="宋体" w:cs="宋体"/>
                <w:b/>
                <w:bCs w:val="0"/>
                <w:color w:val="auto"/>
                <w:sz w:val="24"/>
                <w:szCs w:val="24"/>
                <w:highlight w:val="none"/>
                <w:lang w:val="en-US" w:eastAsia="zh-CN"/>
              </w:rPr>
              <w:t>后</w:t>
            </w:r>
            <w:r>
              <w:rPr>
                <w:rFonts w:hint="eastAsia" w:ascii="宋体" w:hAnsi="宋体" w:eastAsia="宋体" w:cs="宋体"/>
                <w:b/>
                <w:bCs/>
                <w:color w:val="auto"/>
                <w:kern w:val="0"/>
                <w:sz w:val="24"/>
                <w:szCs w:val="24"/>
                <w:highlight w:val="none"/>
              </w:rPr>
              <w:t>的报价。</w:t>
            </w:r>
          </w:p>
        </w:tc>
      </w:tr>
      <w:tr w14:paraId="69B7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000" w:type="pct"/>
            <w:gridSpan w:val="4"/>
            <w:vAlign w:val="center"/>
          </w:tcPr>
          <w:p w14:paraId="70AAF647">
            <w:pPr>
              <w:adjustRightInd w:val="0"/>
              <w:snapToGrid w:val="0"/>
              <w:spacing w:line="360" w:lineRule="auto"/>
              <w:rPr>
                <w:rFonts w:hint="eastAsia" w:ascii="宋体" w:hAnsi="宋体" w:cs="宋体"/>
                <w:b/>
                <w:sz w:val="24"/>
                <w:lang w:val="zh-Hans"/>
              </w:rPr>
            </w:pPr>
            <w:r>
              <w:rPr>
                <w:rFonts w:hint="eastAsia" w:ascii="宋体" w:hAnsi="宋体" w:cs="宋体"/>
                <w:b/>
                <w:sz w:val="24"/>
                <w:lang w:val="zh-Hans"/>
              </w:rPr>
              <w:t>二、履约能力（</w:t>
            </w:r>
            <w:r>
              <w:rPr>
                <w:rFonts w:hint="eastAsia" w:ascii="宋体" w:hAnsi="宋体" w:cs="宋体"/>
                <w:b/>
                <w:sz w:val="24"/>
                <w:lang w:val="en-US" w:eastAsia="zh-CN"/>
              </w:rPr>
              <w:t>25</w:t>
            </w:r>
            <w:r>
              <w:rPr>
                <w:rFonts w:ascii="宋体" w:hAnsi="宋体" w:eastAsia="PMingLiU" w:cs="宋体"/>
                <w:b/>
                <w:sz w:val="24"/>
                <w:lang w:val="zh-Hans" w:eastAsia="zh-TW"/>
              </w:rPr>
              <w:t>分）</w:t>
            </w:r>
          </w:p>
        </w:tc>
      </w:tr>
      <w:tr w14:paraId="515B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83" w:type="pct"/>
            <w:vAlign w:val="center"/>
          </w:tcPr>
          <w:p w14:paraId="2DB49B4C">
            <w:pPr>
              <w:ind w:firstLine="28"/>
              <w:jc w:val="center"/>
              <w:rPr>
                <w:rFonts w:hint="eastAsia" w:ascii="宋体" w:hAnsi="宋体" w:cs="宋体"/>
                <w:bCs/>
                <w:sz w:val="24"/>
              </w:rPr>
            </w:pPr>
            <w:r>
              <w:rPr>
                <w:rFonts w:ascii="宋体" w:hAnsi="宋体" w:cs="宋体"/>
                <w:bCs/>
                <w:sz w:val="24"/>
              </w:rPr>
              <w:t>1</w:t>
            </w:r>
          </w:p>
        </w:tc>
        <w:tc>
          <w:tcPr>
            <w:tcW w:w="929" w:type="pct"/>
            <w:vAlign w:val="center"/>
          </w:tcPr>
          <w:p w14:paraId="04B6846F">
            <w:pPr>
              <w:ind w:firstLine="28"/>
              <w:jc w:val="center"/>
              <w:rPr>
                <w:rFonts w:hint="default" w:ascii="宋体" w:hAnsi="宋体" w:eastAsia="宋体" w:cs="宋体"/>
                <w:bCs/>
                <w:sz w:val="24"/>
                <w:lang w:val="en-US" w:eastAsia="zh-CN"/>
              </w:rPr>
            </w:pPr>
            <w:r>
              <w:rPr>
                <w:rFonts w:hint="eastAsia" w:ascii="宋体" w:hAnsi="宋体" w:cs="宋体"/>
                <w:bCs/>
                <w:sz w:val="24"/>
                <w:lang w:val="en-US" w:eastAsia="zh-CN"/>
              </w:rPr>
              <w:t>相关业务能力</w:t>
            </w:r>
          </w:p>
        </w:tc>
        <w:tc>
          <w:tcPr>
            <w:tcW w:w="539" w:type="pct"/>
            <w:vAlign w:val="center"/>
          </w:tcPr>
          <w:p w14:paraId="69035749">
            <w:pPr>
              <w:pStyle w:val="350"/>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9</w:t>
            </w:r>
          </w:p>
        </w:tc>
        <w:tc>
          <w:tcPr>
            <w:tcW w:w="3148" w:type="pct"/>
            <w:vAlign w:val="center"/>
          </w:tcPr>
          <w:p w14:paraId="557E6BAC">
            <w:pPr>
              <w:tabs>
                <w:tab w:val="left" w:pos="1200"/>
              </w:tabs>
              <w:spacing w:line="360" w:lineRule="auto"/>
              <w:jc w:val="left"/>
              <w:rPr>
                <w:rFonts w:hint="eastAsia" w:ascii="宋体" w:hAnsi="宋体" w:cs="宋体"/>
                <w:bCs/>
                <w:sz w:val="24"/>
              </w:rPr>
            </w:pPr>
            <w:r>
              <w:rPr>
                <w:rFonts w:hint="eastAsia" w:ascii="宋体" w:hAnsi="宋体" w:cs="宋体"/>
                <w:bCs/>
                <w:sz w:val="24"/>
              </w:rPr>
              <w:t xml:space="preserve">供应商自2023年1月1日（以合同签订时间为准）起承担过以下任一类项目：  </w:t>
            </w:r>
          </w:p>
          <w:p w14:paraId="06D42A24">
            <w:pPr>
              <w:tabs>
                <w:tab w:val="left" w:pos="1200"/>
              </w:tabs>
              <w:spacing w:line="360" w:lineRule="auto"/>
              <w:jc w:val="left"/>
              <w:rPr>
                <w:rFonts w:hint="eastAsia" w:ascii="宋体" w:hAnsi="宋体" w:cs="宋体"/>
                <w:bCs/>
                <w:sz w:val="24"/>
              </w:rPr>
            </w:pPr>
            <w:r>
              <w:rPr>
                <w:rFonts w:hint="eastAsia" w:ascii="宋体" w:hAnsi="宋体" w:cs="宋体"/>
                <w:bCs/>
                <w:sz w:val="24"/>
              </w:rPr>
              <w:t xml:space="preserve">（1）国家或省级环境空气质量监测站点运维或保障服务；  </w:t>
            </w:r>
          </w:p>
          <w:p w14:paraId="1D9A0761">
            <w:pPr>
              <w:tabs>
                <w:tab w:val="left" w:pos="1200"/>
              </w:tabs>
              <w:spacing w:line="360" w:lineRule="auto"/>
              <w:jc w:val="left"/>
              <w:rPr>
                <w:rFonts w:hint="eastAsia" w:ascii="宋体" w:hAnsi="宋体" w:cs="宋体"/>
                <w:bCs/>
                <w:sz w:val="24"/>
              </w:rPr>
            </w:pPr>
            <w:r>
              <w:rPr>
                <w:rFonts w:hint="eastAsia" w:ascii="宋体" w:hAnsi="宋体" w:cs="宋体"/>
                <w:bCs/>
                <w:sz w:val="24"/>
              </w:rPr>
              <w:t>（2）城市大气污染源排查与溯源分析服务。</w:t>
            </w:r>
          </w:p>
          <w:p w14:paraId="403877DE">
            <w:pPr>
              <w:tabs>
                <w:tab w:val="left" w:pos="1200"/>
              </w:tabs>
              <w:spacing w:line="360" w:lineRule="auto"/>
              <w:jc w:val="left"/>
              <w:rPr>
                <w:rFonts w:hint="eastAsia" w:ascii="宋体" w:hAnsi="宋体" w:cs="宋体"/>
                <w:bCs/>
                <w:sz w:val="24"/>
              </w:rPr>
            </w:pPr>
            <w:r>
              <w:rPr>
                <w:rFonts w:hint="eastAsia" w:ascii="宋体" w:hAnsi="宋体" w:cs="宋体"/>
                <w:b/>
                <w:bCs w:val="0"/>
                <w:sz w:val="24"/>
              </w:rPr>
              <w:t>注：供应商须在响应文件中提供业绩合同关键页（合同文本应能清晰证明业绩的服务内容）并加盖供应商公章作为证明。若提供的合同文本中未能清晰体现与评分要求相关的具体服务内容，供应商应同时提供以下补充证明材料（均需加盖供应商公章）：</w:t>
            </w:r>
            <w:r>
              <w:rPr>
                <w:rFonts w:hint="eastAsia" w:ascii="宋体" w:hAnsi="宋体" w:cs="宋体"/>
                <w:b/>
                <w:bCs w:val="0"/>
                <w:sz w:val="24"/>
                <w:lang w:val="en-US" w:eastAsia="zh-CN"/>
              </w:rPr>
              <w:t>项目验收报告或</w:t>
            </w:r>
            <w:r>
              <w:rPr>
                <w:rFonts w:hint="eastAsia" w:ascii="宋体" w:hAnsi="宋体" w:cs="宋体"/>
                <w:b/>
                <w:bCs w:val="0"/>
                <w:sz w:val="24"/>
              </w:rPr>
              <w:t>合同甲方（采购人）出具的书面说明，明确该业绩项目所完成的服务内容。上述提供的所有证明材料应能清晰证明业绩的服务内容，否则不得分。</w:t>
            </w:r>
          </w:p>
        </w:tc>
      </w:tr>
      <w:tr w14:paraId="5BF7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383" w:type="pct"/>
            <w:vAlign w:val="center"/>
          </w:tcPr>
          <w:p w14:paraId="3685391A">
            <w:pPr>
              <w:tabs>
                <w:tab w:val="left" w:pos="1200"/>
              </w:tabs>
              <w:spacing w:line="360" w:lineRule="auto"/>
              <w:jc w:val="center"/>
              <w:rPr>
                <w:rFonts w:hint="eastAsia" w:ascii="宋体" w:hAnsi="宋体" w:cs="宋体"/>
                <w:sz w:val="24"/>
              </w:rPr>
            </w:pPr>
            <w:r>
              <w:rPr>
                <w:rFonts w:hint="eastAsia" w:ascii="宋体" w:hAnsi="宋体" w:cs="宋体"/>
                <w:sz w:val="24"/>
              </w:rPr>
              <w:t>2</w:t>
            </w:r>
          </w:p>
        </w:tc>
        <w:tc>
          <w:tcPr>
            <w:tcW w:w="929" w:type="pct"/>
            <w:vAlign w:val="center"/>
          </w:tcPr>
          <w:p w14:paraId="2FEC787B">
            <w:pPr>
              <w:adjustRightInd w:val="0"/>
              <w:snapToGrid w:val="0"/>
              <w:spacing w:line="360" w:lineRule="auto"/>
              <w:jc w:val="center"/>
              <w:rPr>
                <w:rFonts w:hint="eastAsia" w:ascii="宋体" w:hAnsi="宋体" w:cs="宋体"/>
                <w:sz w:val="24"/>
              </w:rPr>
            </w:pPr>
            <w:r>
              <w:rPr>
                <w:rFonts w:hint="eastAsia" w:ascii="宋体" w:hAnsi="宋体" w:cs="宋体"/>
                <w:sz w:val="24"/>
              </w:rPr>
              <w:t>体系认证</w:t>
            </w:r>
          </w:p>
        </w:tc>
        <w:tc>
          <w:tcPr>
            <w:tcW w:w="539" w:type="pct"/>
            <w:vAlign w:val="center"/>
          </w:tcPr>
          <w:p w14:paraId="1DD6DEF4">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3148" w:type="pct"/>
            <w:vAlign w:val="center"/>
          </w:tcPr>
          <w:p w14:paraId="2EF7BDEE">
            <w:pPr>
              <w:numPr>
                <w:ilvl w:val="0"/>
                <w:numId w:val="0"/>
              </w:numPr>
              <w:tabs>
                <w:tab w:val="left" w:pos="1200"/>
              </w:tabs>
              <w:spacing w:line="360" w:lineRule="auto"/>
              <w:jc w:val="left"/>
              <w:rPr>
                <w:rFonts w:hint="eastAsia" w:ascii="宋体" w:hAnsi="宋体" w:cs="宋体"/>
                <w:bCs/>
                <w:sz w:val="24"/>
              </w:rPr>
            </w:pPr>
            <w:r>
              <w:rPr>
                <w:rFonts w:hint="eastAsia" w:ascii="宋体" w:hAnsi="宋体" w:cs="宋体"/>
                <w:bCs/>
                <w:sz w:val="24"/>
              </w:rPr>
              <w:t>供应商具有有效的质量管理体系</w:t>
            </w:r>
            <w:r>
              <w:rPr>
                <w:rFonts w:hint="eastAsia" w:ascii="宋体" w:hAnsi="宋体" w:cs="宋体"/>
                <w:bCs/>
                <w:sz w:val="24"/>
                <w:lang w:val="en-US" w:eastAsia="zh-CN"/>
              </w:rPr>
              <w:t>证书</w:t>
            </w:r>
            <w:r>
              <w:rPr>
                <w:rFonts w:hint="eastAsia" w:ascii="宋体" w:hAnsi="宋体" w:cs="宋体"/>
                <w:bCs/>
                <w:sz w:val="24"/>
              </w:rPr>
              <w:t>、环境管理体系证书、职业健康安全管理体系认证证书的，有一个得</w:t>
            </w:r>
            <w:r>
              <w:rPr>
                <w:rFonts w:hint="eastAsia" w:ascii="宋体" w:hAnsi="宋体" w:cs="宋体"/>
                <w:bCs/>
                <w:sz w:val="24"/>
                <w:lang w:val="en-US" w:eastAsia="zh-CN"/>
              </w:rPr>
              <w:t>2</w:t>
            </w:r>
            <w:r>
              <w:rPr>
                <w:rFonts w:hint="eastAsia" w:ascii="宋体" w:hAnsi="宋体" w:cs="宋体"/>
                <w:bCs/>
                <w:sz w:val="24"/>
              </w:rPr>
              <w:t>分，最高得</w:t>
            </w:r>
            <w:r>
              <w:rPr>
                <w:rFonts w:hint="eastAsia" w:ascii="宋体" w:hAnsi="宋体" w:cs="宋体"/>
                <w:bCs/>
                <w:sz w:val="24"/>
                <w:lang w:val="en-US" w:eastAsia="zh-CN"/>
              </w:rPr>
              <w:t>6</w:t>
            </w:r>
            <w:r>
              <w:rPr>
                <w:rFonts w:hint="eastAsia" w:ascii="宋体" w:hAnsi="宋体" w:cs="宋体"/>
                <w:bCs/>
                <w:sz w:val="24"/>
              </w:rPr>
              <w:t>分。</w:t>
            </w:r>
          </w:p>
          <w:p w14:paraId="7D811461">
            <w:pPr>
              <w:numPr>
                <w:ilvl w:val="0"/>
                <w:numId w:val="0"/>
              </w:numPr>
              <w:tabs>
                <w:tab w:val="left" w:pos="1200"/>
              </w:tabs>
              <w:spacing w:line="360" w:lineRule="auto"/>
              <w:jc w:val="left"/>
              <w:rPr>
                <w:rFonts w:hint="eastAsia" w:ascii="宋体" w:hAnsi="宋体" w:cs="宋体"/>
                <w:bCs/>
                <w:sz w:val="24"/>
              </w:rPr>
            </w:pPr>
            <w:r>
              <w:rPr>
                <w:rFonts w:hint="eastAsia" w:ascii="宋体" w:hAnsi="宋体" w:cs="宋体"/>
                <w:b/>
                <w:bCs w:val="0"/>
                <w:sz w:val="24"/>
                <w:lang w:val="en-US" w:eastAsia="zh-CN"/>
              </w:rPr>
              <w:t>注：</w:t>
            </w:r>
            <w:r>
              <w:rPr>
                <w:rFonts w:hint="eastAsia" w:ascii="宋体" w:hAnsi="宋体" w:cs="宋体"/>
                <w:b/>
                <w:bCs w:val="0"/>
                <w:sz w:val="24"/>
              </w:rPr>
              <w:t>磋商响应文件中提供有效的证书复印件并加盖供应商公章，否则不得分。</w:t>
            </w:r>
          </w:p>
        </w:tc>
      </w:tr>
      <w:tr w14:paraId="348C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383" w:type="pct"/>
            <w:vAlign w:val="center"/>
          </w:tcPr>
          <w:p w14:paraId="5FE5C0EA">
            <w:pPr>
              <w:tabs>
                <w:tab w:val="left" w:pos="1200"/>
              </w:tabs>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3</w:t>
            </w:r>
          </w:p>
        </w:tc>
        <w:tc>
          <w:tcPr>
            <w:tcW w:w="929" w:type="pct"/>
            <w:vAlign w:val="center"/>
          </w:tcPr>
          <w:p w14:paraId="0C26C1A1">
            <w:pPr>
              <w:ind w:firstLine="28"/>
              <w:jc w:val="center"/>
              <w:rPr>
                <w:rFonts w:hint="default" w:ascii="宋体" w:hAnsi="宋体" w:eastAsia="宋体" w:cs="宋体"/>
                <w:bCs/>
                <w:sz w:val="24"/>
                <w:lang w:val="en-US" w:eastAsia="zh-CN"/>
              </w:rPr>
            </w:pPr>
            <w:r>
              <w:rPr>
                <w:rFonts w:hint="eastAsia" w:ascii="宋体" w:hAnsi="宋体" w:cs="宋体"/>
                <w:bCs/>
                <w:sz w:val="24"/>
                <w:lang w:val="en-US" w:eastAsia="zh-CN"/>
              </w:rPr>
              <w:t>项目负责人</w:t>
            </w:r>
          </w:p>
        </w:tc>
        <w:tc>
          <w:tcPr>
            <w:tcW w:w="539" w:type="pct"/>
            <w:vAlign w:val="center"/>
          </w:tcPr>
          <w:p w14:paraId="45DEF130">
            <w:pPr>
              <w:ind w:firstLine="28"/>
              <w:jc w:val="center"/>
              <w:rPr>
                <w:rFonts w:hint="eastAsia" w:ascii="宋体" w:hAnsi="宋体" w:eastAsia="宋体" w:cs="宋体"/>
                <w:bCs/>
                <w:sz w:val="24"/>
                <w:lang w:eastAsia="zh-CN"/>
              </w:rPr>
            </w:pPr>
            <w:r>
              <w:rPr>
                <w:rFonts w:hint="eastAsia" w:ascii="宋体" w:hAnsi="宋体" w:cs="宋体"/>
                <w:bCs/>
                <w:sz w:val="24"/>
                <w:lang w:val="en-US" w:eastAsia="zh-CN"/>
              </w:rPr>
              <w:t>4</w:t>
            </w:r>
          </w:p>
        </w:tc>
        <w:tc>
          <w:tcPr>
            <w:tcW w:w="3148" w:type="pct"/>
            <w:vAlign w:val="center"/>
          </w:tcPr>
          <w:p w14:paraId="68AF36D8">
            <w:pPr>
              <w:adjustRightInd w:val="0"/>
              <w:snapToGrid w:val="0"/>
              <w:spacing w:line="360" w:lineRule="auto"/>
              <w:rPr>
                <w:rFonts w:hint="default" w:ascii="宋体" w:hAnsi="宋体" w:eastAsia="宋体" w:cs="宋体"/>
                <w:sz w:val="24"/>
                <w:lang w:val="en-US" w:eastAsia="zh-CN"/>
              </w:rPr>
            </w:pPr>
            <w:r>
              <w:rPr>
                <w:rFonts w:hint="eastAsia" w:ascii="宋体" w:hAnsi="宋体" w:cs="宋体"/>
                <w:sz w:val="24"/>
                <w:lang w:val="en-US" w:eastAsia="zh-CN"/>
              </w:rPr>
              <w:t>项目负责人：</w:t>
            </w:r>
          </w:p>
          <w:p w14:paraId="2FE2577B">
            <w:pPr>
              <w:adjustRightInd w:val="0"/>
              <w:snapToGrid w:val="0"/>
              <w:spacing w:line="360" w:lineRule="auto"/>
              <w:rPr>
                <w:rFonts w:hint="eastAsia" w:ascii="宋体" w:hAnsi="宋体" w:cs="宋体"/>
                <w:sz w:val="24"/>
              </w:rPr>
            </w:pPr>
            <w:r>
              <w:rPr>
                <w:rFonts w:hint="eastAsia" w:ascii="宋体" w:hAnsi="宋体" w:cs="宋体"/>
                <w:sz w:val="24"/>
              </w:rPr>
              <w:t>项目负责人具有环境科学与工程、大气科学、地理信息系统、数据分析、环境监测等相关专业高级及以上技术职称的得4分；中级职称得2分。 本项得分按证书最高等级计取，不累计加分。</w:t>
            </w:r>
          </w:p>
          <w:p w14:paraId="1942D909">
            <w:pPr>
              <w:adjustRightInd w:val="0"/>
              <w:snapToGrid w:val="0"/>
              <w:spacing w:line="360" w:lineRule="auto"/>
              <w:rPr>
                <w:rFonts w:hint="eastAsia" w:ascii="宋体" w:hAnsi="宋体" w:cs="宋体"/>
                <w:bCs/>
                <w:sz w:val="24"/>
              </w:rPr>
            </w:pPr>
            <w:r>
              <w:rPr>
                <w:rFonts w:hint="eastAsia" w:ascii="宋体" w:hAnsi="宋体" w:cs="宋体"/>
                <w:b/>
                <w:bCs/>
                <w:sz w:val="24"/>
                <w:lang w:val="en-US" w:eastAsia="zh-CN"/>
              </w:rPr>
              <w:t>注：磋商</w:t>
            </w:r>
            <w:r>
              <w:rPr>
                <w:rFonts w:hint="eastAsia" w:ascii="宋体" w:hAnsi="宋体" w:cs="宋体"/>
                <w:b/>
                <w:bCs/>
                <w:sz w:val="24"/>
              </w:rPr>
              <w:t>响应文件中提供有效的</w:t>
            </w:r>
            <w:r>
              <w:rPr>
                <w:rFonts w:hint="eastAsia" w:ascii="宋体" w:hAnsi="宋体" w:cs="宋体"/>
                <w:b/>
                <w:bCs/>
                <w:sz w:val="24"/>
                <w:lang w:val="en-US" w:eastAsia="zh-CN"/>
              </w:rPr>
              <w:t>职称</w:t>
            </w:r>
            <w:r>
              <w:rPr>
                <w:rFonts w:hint="eastAsia" w:ascii="宋体" w:hAnsi="宋体" w:cs="宋体"/>
                <w:b/>
                <w:bCs/>
                <w:sz w:val="24"/>
              </w:rPr>
              <w:t>证书复印件及</w:t>
            </w:r>
            <w:r>
              <w:rPr>
                <w:rFonts w:hint="eastAsia" w:ascii="宋体" w:hAnsi="宋体" w:cs="宋体"/>
                <w:b/>
                <w:bCs/>
                <w:color w:val="auto"/>
                <w:sz w:val="24"/>
                <w:highlight w:val="none"/>
              </w:rPr>
              <w:t>2025年</w:t>
            </w:r>
            <w:r>
              <w:rPr>
                <w:rFonts w:hint="eastAsia" w:ascii="宋体" w:hAnsi="宋体" w:cs="宋体"/>
                <w:b/>
                <w:bCs/>
                <w:color w:val="auto"/>
                <w:sz w:val="24"/>
                <w:highlight w:val="none"/>
                <w:lang w:val="en-US" w:eastAsia="zh-CN"/>
              </w:rPr>
              <w:t>12</w:t>
            </w:r>
            <w:r>
              <w:rPr>
                <w:rFonts w:hint="eastAsia" w:ascii="宋体" w:hAnsi="宋体" w:cs="宋体"/>
                <w:b/>
                <w:bCs/>
                <w:color w:val="auto"/>
                <w:sz w:val="24"/>
                <w:highlight w:val="none"/>
              </w:rPr>
              <w:t>月至202</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月中任意一个月</w:t>
            </w:r>
            <w:r>
              <w:rPr>
                <w:rFonts w:hint="eastAsia" w:ascii="宋体" w:hAnsi="宋体" w:cs="宋体"/>
                <w:b/>
                <w:bCs/>
                <w:sz w:val="24"/>
              </w:rPr>
              <w:t>供应商为</w:t>
            </w:r>
            <w:r>
              <w:rPr>
                <w:rFonts w:hint="eastAsia" w:ascii="宋体" w:hAnsi="宋体" w:cs="宋体"/>
                <w:b/>
                <w:bCs/>
                <w:sz w:val="24"/>
                <w:lang w:val="en-US" w:eastAsia="zh-CN"/>
              </w:rPr>
              <w:t>项目负责人</w:t>
            </w:r>
            <w:r>
              <w:rPr>
                <w:rFonts w:hint="eastAsia" w:ascii="宋体" w:hAnsi="宋体" w:cs="宋体"/>
                <w:b/>
                <w:bCs/>
                <w:sz w:val="24"/>
              </w:rPr>
              <w:t>缴纳的社保证明材料复印件并加盖供应商公章，否则不得分。</w:t>
            </w:r>
          </w:p>
        </w:tc>
      </w:tr>
      <w:tr w14:paraId="1387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383" w:type="pct"/>
            <w:vAlign w:val="center"/>
          </w:tcPr>
          <w:p w14:paraId="52A03A1F">
            <w:pPr>
              <w:tabs>
                <w:tab w:val="left" w:pos="1200"/>
              </w:tabs>
              <w:spacing w:line="360" w:lineRule="auto"/>
              <w:jc w:val="center"/>
              <w:rPr>
                <w:rFonts w:hint="default" w:ascii="宋体" w:hAnsi="宋体" w:cs="宋体"/>
                <w:sz w:val="24"/>
                <w:lang w:val="en-US" w:eastAsia="zh-CN"/>
              </w:rPr>
            </w:pPr>
            <w:r>
              <w:rPr>
                <w:rFonts w:hint="eastAsia" w:ascii="宋体" w:hAnsi="宋体" w:cs="宋体"/>
                <w:sz w:val="24"/>
                <w:lang w:val="en-US" w:eastAsia="zh-CN"/>
              </w:rPr>
              <w:t>4</w:t>
            </w:r>
          </w:p>
        </w:tc>
        <w:tc>
          <w:tcPr>
            <w:tcW w:w="929" w:type="pct"/>
            <w:vAlign w:val="center"/>
          </w:tcPr>
          <w:p w14:paraId="7A0134F8">
            <w:pPr>
              <w:ind w:firstLine="28"/>
              <w:jc w:val="center"/>
              <w:rPr>
                <w:rFonts w:hint="default" w:ascii="宋体" w:hAnsi="宋体" w:eastAsia="宋体" w:cs="宋体"/>
                <w:bCs/>
                <w:sz w:val="24"/>
                <w:lang w:val="en-US" w:eastAsia="zh-CN"/>
              </w:rPr>
            </w:pPr>
            <w:r>
              <w:rPr>
                <w:rFonts w:hint="eastAsia" w:ascii="宋体" w:hAnsi="宋体" w:cs="宋体"/>
                <w:bCs/>
                <w:sz w:val="24"/>
                <w:lang w:val="en-US" w:eastAsia="zh-CN"/>
              </w:rPr>
              <w:t>项目组成员</w:t>
            </w:r>
          </w:p>
        </w:tc>
        <w:tc>
          <w:tcPr>
            <w:tcW w:w="539" w:type="pct"/>
            <w:vAlign w:val="center"/>
          </w:tcPr>
          <w:p w14:paraId="48707D58">
            <w:pPr>
              <w:ind w:firstLine="28"/>
              <w:jc w:val="center"/>
              <w:rPr>
                <w:rFonts w:hint="eastAsia" w:ascii="宋体" w:hAnsi="宋体" w:eastAsia="宋体" w:cs="宋体"/>
                <w:bCs/>
                <w:sz w:val="24"/>
                <w:lang w:val="en-US" w:eastAsia="zh-CN"/>
              </w:rPr>
            </w:pPr>
            <w:r>
              <w:rPr>
                <w:rFonts w:hint="eastAsia" w:ascii="宋体" w:hAnsi="宋体" w:cs="宋体"/>
                <w:bCs/>
                <w:sz w:val="24"/>
                <w:lang w:val="en-US" w:eastAsia="zh-CN"/>
              </w:rPr>
              <w:t>6</w:t>
            </w:r>
          </w:p>
        </w:tc>
        <w:tc>
          <w:tcPr>
            <w:tcW w:w="3148" w:type="pct"/>
            <w:vAlign w:val="center"/>
          </w:tcPr>
          <w:p w14:paraId="65ED0065">
            <w:pPr>
              <w:adjustRightInd w:val="0"/>
              <w:snapToGrid w:val="0"/>
              <w:spacing w:line="360" w:lineRule="auto"/>
              <w:rPr>
                <w:rFonts w:hint="default" w:ascii="宋体" w:hAnsi="宋体" w:eastAsia="宋体" w:cs="宋体"/>
                <w:sz w:val="24"/>
                <w:lang w:val="en-US" w:eastAsia="zh-CN"/>
              </w:rPr>
            </w:pPr>
            <w:r>
              <w:rPr>
                <w:rFonts w:hint="eastAsia" w:ascii="宋体" w:hAnsi="宋体" w:cs="宋体"/>
                <w:sz w:val="24"/>
                <w:lang w:val="en-US" w:eastAsia="zh-CN"/>
              </w:rPr>
              <w:t>项目组成员（除项目负责人外）：</w:t>
            </w:r>
          </w:p>
          <w:p w14:paraId="270BD3AA">
            <w:pPr>
              <w:adjustRightInd w:val="0"/>
              <w:snapToGrid w:val="0"/>
              <w:spacing w:line="360" w:lineRule="auto"/>
              <w:rPr>
                <w:rFonts w:hint="eastAsia" w:ascii="宋体" w:hAnsi="宋体" w:cs="宋体"/>
                <w:sz w:val="24"/>
              </w:rPr>
            </w:pPr>
            <w:r>
              <w:rPr>
                <w:rFonts w:hint="eastAsia" w:ascii="宋体" w:hAnsi="宋体" w:cs="宋体"/>
                <w:sz w:val="24"/>
              </w:rPr>
              <w:t>拟投入本项目的人员（不含项目负责人）具有环境科学与工程类、大气科学类、地理科学类、计算机类、统计学类等与本项目相关的本科及以上学历，每提供1人得3分，按最高等级计分，不重复累加，最高得6分。</w:t>
            </w:r>
          </w:p>
          <w:p w14:paraId="06AD58BB">
            <w:pPr>
              <w:adjustRightInd w:val="0"/>
              <w:snapToGrid w:val="0"/>
              <w:spacing w:line="360" w:lineRule="auto"/>
              <w:rPr>
                <w:rFonts w:hint="eastAsia" w:ascii="宋体" w:hAnsi="宋体" w:cs="宋体"/>
                <w:b/>
                <w:bCs/>
                <w:sz w:val="24"/>
                <w:lang w:val="en-US" w:eastAsia="zh-CN"/>
              </w:rPr>
            </w:pPr>
            <w:r>
              <w:rPr>
                <w:rFonts w:hint="eastAsia" w:ascii="宋体" w:hAnsi="宋体" w:cs="宋体"/>
                <w:b/>
                <w:bCs/>
                <w:sz w:val="24"/>
                <w:lang w:val="en-US" w:eastAsia="zh-CN"/>
              </w:rPr>
              <w:t>注：磋商</w:t>
            </w:r>
            <w:r>
              <w:rPr>
                <w:rFonts w:hint="eastAsia" w:ascii="宋体" w:hAnsi="宋体" w:cs="宋体"/>
                <w:b/>
                <w:bCs/>
                <w:sz w:val="24"/>
              </w:rPr>
              <w:t>响应文件中提供</w:t>
            </w:r>
            <w:r>
              <w:rPr>
                <w:rFonts w:hint="eastAsia" w:ascii="宋体" w:hAnsi="宋体" w:cs="宋体"/>
                <w:b/>
                <w:bCs/>
                <w:sz w:val="24"/>
                <w:lang w:val="en-US" w:eastAsia="zh-CN"/>
              </w:rPr>
              <w:t>学历</w:t>
            </w:r>
            <w:r>
              <w:rPr>
                <w:rFonts w:hint="eastAsia" w:ascii="宋体" w:hAnsi="宋体" w:cs="宋体"/>
                <w:b/>
                <w:bCs/>
                <w:sz w:val="24"/>
              </w:rPr>
              <w:t>证书复印件及</w:t>
            </w:r>
            <w:r>
              <w:rPr>
                <w:rFonts w:hint="eastAsia" w:ascii="宋体" w:hAnsi="宋体" w:cs="宋体"/>
                <w:b/>
                <w:bCs/>
                <w:color w:val="auto"/>
                <w:sz w:val="24"/>
                <w:highlight w:val="none"/>
              </w:rPr>
              <w:t>2025年</w:t>
            </w:r>
            <w:r>
              <w:rPr>
                <w:rFonts w:hint="eastAsia" w:ascii="宋体" w:hAnsi="宋体" w:cs="宋体"/>
                <w:b/>
                <w:bCs/>
                <w:color w:val="auto"/>
                <w:sz w:val="24"/>
                <w:highlight w:val="none"/>
                <w:lang w:val="en-US" w:eastAsia="zh-CN"/>
              </w:rPr>
              <w:t>12</w:t>
            </w:r>
            <w:r>
              <w:rPr>
                <w:rFonts w:hint="eastAsia" w:ascii="宋体" w:hAnsi="宋体" w:cs="宋体"/>
                <w:b/>
                <w:bCs/>
                <w:color w:val="auto"/>
                <w:sz w:val="24"/>
                <w:highlight w:val="none"/>
              </w:rPr>
              <w:t>月至202</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月中任意一个月</w:t>
            </w:r>
            <w:r>
              <w:rPr>
                <w:rFonts w:hint="eastAsia" w:ascii="宋体" w:hAnsi="宋体" w:cs="宋体"/>
                <w:b/>
                <w:bCs/>
                <w:sz w:val="24"/>
              </w:rPr>
              <w:t>供应商为上述人员缴纳的社保证明材料复印件并加盖供应商公章，否则不得分。</w:t>
            </w:r>
          </w:p>
        </w:tc>
      </w:tr>
      <w:tr w14:paraId="17F2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000" w:type="pct"/>
            <w:gridSpan w:val="4"/>
            <w:vAlign w:val="center"/>
          </w:tcPr>
          <w:p w14:paraId="1DCB3665">
            <w:pPr>
              <w:widowControl/>
              <w:tabs>
                <w:tab w:val="left" w:pos="1200"/>
              </w:tabs>
              <w:spacing w:line="360" w:lineRule="auto"/>
              <w:jc w:val="left"/>
              <w:rPr>
                <w:rFonts w:hint="eastAsia" w:ascii="宋体" w:hAnsi="宋体" w:cs="宋体"/>
                <w:b/>
                <w:bCs/>
                <w:sz w:val="24"/>
              </w:rPr>
            </w:pPr>
            <w:r>
              <w:rPr>
                <w:rFonts w:hint="eastAsia" w:ascii="宋体" w:hAnsi="宋体" w:cs="宋体"/>
                <w:b/>
                <w:bCs/>
                <w:sz w:val="24"/>
              </w:rPr>
              <w:t>三、服务方案（50分）</w:t>
            </w:r>
          </w:p>
        </w:tc>
      </w:tr>
      <w:tr w14:paraId="7A13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383" w:type="pct"/>
            <w:vAlign w:val="center"/>
          </w:tcPr>
          <w:p w14:paraId="4D453170">
            <w:pPr>
              <w:tabs>
                <w:tab w:val="left" w:pos="1200"/>
              </w:tabs>
              <w:spacing w:line="360" w:lineRule="auto"/>
              <w:jc w:val="center"/>
              <w:rPr>
                <w:rFonts w:hint="eastAsia" w:ascii="宋体" w:hAnsi="宋体" w:cs="宋体"/>
                <w:sz w:val="24"/>
              </w:rPr>
            </w:pPr>
            <w:r>
              <w:rPr>
                <w:rFonts w:hint="eastAsia" w:ascii="宋体" w:hAnsi="宋体" w:cs="宋体"/>
                <w:sz w:val="24"/>
              </w:rPr>
              <w:t>1</w:t>
            </w:r>
          </w:p>
        </w:tc>
        <w:tc>
          <w:tcPr>
            <w:tcW w:w="929" w:type="pct"/>
            <w:vAlign w:val="center"/>
          </w:tcPr>
          <w:p w14:paraId="72866928">
            <w:pPr>
              <w:adjustRightInd w:val="0"/>
              <w:snapToGrid w:val="0"/>
              <w:spacing w:line="360" w:lineRule="auto"/>
              <w:jc w:val="center"/>
              <w:rPr>
                <w:rFonts w:hint="eastAsia" w:ascii="宋体" w:hAnsi="宋体" w:cs="宋体"/>
                <w:sz w:val="24"/>
              </w:rPr>
            </w:pPr>
            <w:r>
              <w:rPr>
                <w:rFonts w:hint="eastAsia" w:ascii="宋体" w:hAnsi="宋体" w:cs="宋体"/>
                <w:sz w:val="24"/>
              </w:rPr>
              <w:t>常态化值守方案</w:t>
            </w:r>
          </w:p>
        </w:tc>
        <w:tc>
          <w:tcPr>
            <w:tcW w:w="539" w:type="pct"/>
            <w:vAlign w:val="center"/>
          </w:tcPr>
          <w:p w14:paraId="297D0AB6">
            <w:pPr>
              <w:tabs>
                <w:tab w:val="left" w:pos="1200"/>
              </w:tabs>
              <w:spacing w:line="360" w:lineRule="auto"/>
              <w:jc w:val="center"/>
              <w:rPr>
                <w:rFonts w:hint="eastAsia" w:ascii="宋体" w:hAnsi="宋体" w:cs="宋体"/>
                <w:sz w:val="24"/>
              </w:rPr>
            </w:pPr>
            <w:r>
              <w:rPr>
                <w:rFonts w:hint="eastAsia" w:ascii="宋体" w:hAnsi="宋体" w:cs="宋体"/>
                <w:sz w:val="24"/>
              </w:rPr>
              <w:t>10</w:t>
            </w:r>
          </w:p>
        </w:tc>
        <w:tc>
          <w:tcPr>
            <w:tcW w:w="3148" w:type="pct"/>
            <w:vAlign w:val="center"/>
          </w:tcPr>
          <w:p w14:paraId="5F9BFB62">
            <w:pPr>
              <w:adjustRightInd w:val="0"/>
              <w:snapToGrid w:val="0"/>
              <w:spacing w:line="360" w:lineRule="auto"/>
              <w:rPr>
                <w:rFonts w:hint="eastAsia" w:ascii="宋体" w:hAnsi="宋体" w:cs="宋体"/>
                <w:sz w:val="24"/>
                <w:lang w:val="en-US" w:eastAsia="zh-CN"/>
              </w:rPr>
            </w:pPr>
            <w:r>
              <w:rPr>
                <w:rFonts w:hint="eastAsia" w:ascii="宋体" w:hAnsi="宋体" w:cs="宋体"/>
                <w:kern w:val="0"/>
                <w:sz w:val="24"/>
                <w:szCs w:val="24"/>
              </w:rPr>
              <w:t>磋商小组根据供应商拟制的</w:t>
            </w:r>
            <w:r>
              <w:rPr>
                <w:rFonts w:hint="eastAsia" w:ascii="宋体" w:hAnsi="宋体" w:cs="宋体"/>
                <w:sz w:val="24"/>
              </w:rPr>
              <w:t>常态化值守方案</w:t>
            </w:r>
            <w:r>
              <w:rPr>
                <w:rFonts w:hint="eastAsia" w:ascii="宋体" w:hAnsi="宋体" w:cs="宋体"/>
                <w:sz w:val="24"/>
                <w:lang w:eastAsia="zh-CN"/>
              </w:rPr>
              <w:t>（</w:t>
            </w:r>
            <w:r>
              <w:rPr>
                <w:rFonts w:hint="eastAsia" w:ascii="宋体" w:hAnsi="宋体" w:cs="宋体"/>
                <w:sz w:val="24"/>
                <w:lang w:val="en-US" w:eastAsia="zh-CN"/>
              </w:rPr>
              <w:t>包含（1）7×24小时排班制度：提供人员轮班表、岗位职责分工及替补机制；</w:t>
            </w:r>
          </w:p>
          <w:p w14:paraId="6D564F43">
            <w:pPr>
              <w:adjustRightInd w:val="0"/>
              <w:snapToGrid w:val="0"/>
              <w:spacing w:line="360" w:lineRule="auto"/>
              <w:rPr>
                <w:rFonts w:hint="eastAsia" w:ascii="宋体" w:hAnsi="宋体" w:cs="宋体"/>
                <w:sz w:val="24"/>
                <w:lang w:val="en-US" w:eastAsia="zh-CN"/>
              </w:rPr>
            </w:pPr>
            <w:r>
              <w:rPr>
                <w:rFonts w:hint="eastAsia" w:ascii="宋体" w:hAnsi="宋体" w:cs="宋体"/>
                <w:sz w:val="24"/>
                <w:lang w:val="en-US" w:eastAsia="zh-CN"/>
              </w:rPr>
              <w:t>（2）数据异常判定标准：明确PM₂.₅、O₃小时浓度偏高20%或持续恶化趋势的具体算法或阈值；</w:t>
            </w:r>
          </w:p>
          <w:p w14:paraId="4EDAEAD4">
            <w:pPr>
              <w:adjustRightInd w:val="0"/>
              <w:snapToGrid w:val="0"/>
              <w:spacing w:line="360" w:lineRule="auto"/>
              <w:rPr>
                <w:rFonts w:hint="eastAsia" w:ascii="宋体" w:hAnsi="宋体" w:cs="宋体"/>
                <w:sz w:val="24"/>
                <w:lang w:val="en-US" w:eastAsia="zh-CN"/>
              </w:rPr>
            </w:pPr>
            <w:r>
              <w:rPr>
                <w:rFonts w:hint="eastAsia" w:ascii="宋体" w:hAnsi="宋体" w:cs="宋体"/>
                <w:sz w:val="24"/>
                <w:lang w:val="en-US" w:eastAsia="zh-CN"/>
              </w:rPr>
              <w:t>（3）10分钟预警响应机制：说明预警信息生成、推送、接收、确认的流程及时限保障措施；</w:t>
            </w:r>
          </w:p>
          <w:p w14:paraId="5B7CBA3A">
            <w:pPr>
              <w:adjustRightInd w:val="0"/>
              <w:snapToGrid w:val="0"/>
              <w:spacing w:line="360" w:lineRule="auto"/>
              <w:rPr>
                <w:rFonts w:hint="eastAsia" w:ascii="宋体" w:hAnsi="宋体" w:cs="宋体"/>
                <w:sz w:val="24"/>
                <w:lang w:val="en-US" w:eastAsia="zh-CN"/>
              </w:rPr>
            </w:pPr>
            <w:r>
              <w:rPr>
                <w:rFonts w:hint="eastAsia" w:ascii="宋体" w:hAnsi="宋体" w:cs="宋体"/>
                <w:sz w:val="24"/>
                <w:lang w:val="en-US" w:eastAsia="zh-CN"/>
              </w:rPr>
              <w:t>（4）30分钟应急调度路径图：列明巡查力量调度路线、责任人、交通工具配置及通讯保障方式；</w:t>
            </w:r>
          </w:p>
          <w:p w14:paraId="4371A6AB">
            <w:pPr>
              <w:adjustRightInd w:val="0"/>
              <w:snapToGrid w:val="0"/>
              <w:spacing w:line="360" w:lineRule="auto"/>
              <w:rPr>
                <w:rFonts w:hint="eastAsia" w:ascii="宋体" w:hAnsi="宋体" w:cs="宋体"/>
                <w:sz w:val="24"/>
              </w:rPr>
            </w:pPr>
            <w:r>
              <w:rPr>
                <w:rFonts w:hint="eastAsia" w:ascii="宋体" w:hAnsi="宋体" w:cs="宋体"/>
                <w:sz w:val="24"/>
                <w:lang w:val="en-US" w:eastAsia="zh-CN"/>
              </w:rPr>
              <w:t>（5）闭环管理台账模板：提供标准化问题记录表（含时间、坐标、污染源类型、照片编号、整改状态）。</w:t>
            </w:r>
            <w:r>
              <w:rPr>
                <w:rFonts w:hint="eastAsia" w:ascii="宋体" w:hAnsi="宋体" w:cs="宋体"/>
                <w:sz w:val="24"/>
                <w:lang w:eastAsia="zh-CN"/>
              </w:rPr>
              <w:t>）</w:t>
            </w:r>
            <w:r>
              <w:rPr>
                <w:rFonts w:hint="eastAsia" w:ascii="宋体" w:hAnsi="宋体" w:cs="宋体"/>
                <w:kern w:val="0"/>
                <w:sz w:val="24"/>
                <w:szCs w:val="24"/>
              </w:rPr>
              <w:t>进行综合评审，方案完整且具体的得10分；方案基本满足要求，可操作性一般的得</w:t>
            </w:r>
            <w:r>
              <w:rPr>
                <w:rFonts w:hint="eastAsia" w:ascii="宋体" w:hAnsi="宋体" w:cs="宋体"/>
                <w:kern w:val="0"/>
                <w:sz w:val="24"/>
                <w:szCs w:val="24"/>
                <w:lang w:val="en-US" w:eastAsia="zh-CN"/>
              </w:rPr>
              <w:t>8</w:t>
            </w:r>
            <w:r>
              <w:rPr>
                <w:rFonts w:hint="eastAsia" w:ascii="宋体" w:hAnsi="宋体" w:cs="宋体"/>
                <w:kern w:val="0"/>
                <w:sz w:val="24"/>
                <w:szCs w:val="24"/>
              </w:rPr>
              <w:t>分；方案不能满足采购人要求，且没有具体可操作性的得</w:t>
            </w:r>
            <w:r>
              <w:rPr>
                <w:rFonts w:hint="eastAsia" w:ascii="宋体" w:hAnsi="宋体" w:cs="宋体"/>
                <w:kern w:val="0"/>
                <w:sz w:val="24"/>
                <w:szCs w:val="24"/>
                <w:lang w:val="en-US" w:eastAsia="zh-CN"/>
              </w:rPr>
              <w:t>6</w:t>
            </w:r>
            <w:r>
              <w:rPr>
                <w:rFonts w:hint="eastAsia" w:ascii="宋体" w:hAnsi="宋体" w:cs="宋体"/>
                <w:kern w:val="0"/>
                <w:sz w:val="24"/>
                <w:szCs w:val="24"/>
              </w:rPr>
              <w:t>分。未提供本项不得分。</w:t>
            </w:r>
          </w:p>
        </w:tc>
      </w:tr>
      <w:tr w14:paraId="652B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383" w:type="pct"/>
            <w:vAlign w:val="center"/>
          </w:tcPr>
          <w:p w14:paraId="65DC43AA">
            <w:pPr>
              <w:tabs>
                <w:tab w:val="left" w:pos="1200"/>
              </w:tabs>
              <w:spacing w:line="360" w:lineRule="auto"/>
              <w:jc w:val="center"/>
              <w:rPr>
                <w:rFonts w:hint="eastAsia" w:ascii="宋体" w:hAnsi="宋体" w:cs="宋体"/>
                <w:sz w:val="24"/>
              </w:rPr>
            </w:pPr>
            <w:r>
              <w:rPr>
                <w:rFonts w:hint="eastAsia" w:ascii="宋体" w:hAnsi="宋体" w:cs="宋体"/>
                <w:sz w:val="24"/>
              </w:rPr>
              <w:t>2</w:t>
            </w:r>
          </w:p>
        </w:tc>
        <w:tc>
          <w:tcPr>
            <w:tcW w:w="929" w:type="pct"/>
            <w:vAlign w:val="center"/>
          </w:tcPr>
          <w:p w14:paraId="4E1CBA2E">
            <w:pPr>
              <w:adjustRightInd w:val="0"/>
              <w:snapToGrid w:val="0"/>
              <w:spacing w:line="360" w:lineRule="auto"/>
              <w:jc w:val="center"/>
              <w:rPr>
                <w:rFonts w:hint="eastAsia" w:ascii="宋体" w:hAnsi="宋体" w:cs="宋体"/>
                <w:sz w:val="24"/>
              </w:rPr>
            </w:pPr>
            <w:r>
              <w:rPr>
                <w:rFonts w:hint="eastAsia" w:ascii="宋体" w:hAnsi="宋体" w:cs="宋体"/>
                <w:sz w:val="24"/>
              </w:rPr>
              <w:t>污染分析方案</w:t>
            </w:r>
          </w:p>
        </w:tc>
        <w:tc>
          <w:tcPr>
            <w:tcW w:w="539" w:type="pct"/>
            <w:vAlign w:val="center"/>
          </w:tcPr>
          <w:p w14:paraId="3F1F665B">
            <w:pPr>
              <w:tabs>
                <w:tab w:val="left" w:pos="1200"/>
              </w:tabs>
              <w:spacing w:line="360" w:lineRule="auto"/>
              <w:jc w:val="center"/>
              <w:rPr>
                <w:rFonts w:hint="eastAsia" w:ascii="宋体" w:hAnsi="宋体" w:cs="宋体"/>
                <w:sz w:val="24"/>
              </w:rPr>
            </w:pPr>
            <w:r>
              <w:rPr>
                <w:rFonts w:hint="eastAsia" w:ascii="宋体" w:hAnsi="宋体" w:cs="宋体"/>
                <w:sz w:val="24"/>
              </w:rPr>
              <w:t>10</w:t>
            </w:r>
          </w:p>
        </w:tc>
        <w:tc>
          <w:tcPr>
            <w:tcW w:w="3148" w:type="pct"/>
            <w:vAlign w:val="center"/>
          </w:tcPr>
          <w:p w14:paraId="07CF70FE">
            <w:pPr>
              <w:adjustRightInd w:val="0"/>
              <w:snapToGrid w:val="0"/>
              <w:spacing w:line="360" w:lineRule="auto"/>
              <w:rPr>
                <w:rFonts w:hint="eastAsia" w:ascii="宋体" w:hAnsi="宋体" w:cs="宋体"/>
                <w:sz w:val="24"/>
                <w:lang w:val="en-US" w:eastAsia="zh-CN"/>
              </w:rPr>
            </w:pPr>
            <w:r>
              <w:rPr>
                <w:rFonts w:hint="eastAsia" w:ascii="宋体" w:hAnsi="宋体" w:cs="宋体"/>
                <w:kern w:val="0"/>
                <w:sz w:val="24"/>
                <w:szCs w:val="24"/>
              </w:rPr>
              <w:t>磋商小组根据供应商拟制的</w:t>
            </w:r>
            <w:r>
              <w:rPr>
                <w:rFonts w:hint="eastAsia" w:ascii="宋体" w:hAnsi="宋体" w:cs="宋体"/>
                <w:sz w:val="24"/>
              </w:rPr>
              <w:t>污染分析方案</w:t>
            </w:r>
            <w:r>
              <w:rPr>
                <w:rFonts w:hint="eastAsia" w:ascii="宋体" w:hAnsi="宋体" w:cs="宋体"/>
                <w:sz w:val="24"/>
                <w:lang w:eastAsia="zh-CN"/>
              </w:rPr>
              <w:t>（</w:t>
            </w:r>
            <w:r>
              <w:rPr>
                <w:rFonts w:hint="eastAsia" w:ascii="宋体" w:hAnsi="宋体" w:cs="宋体"/>
                <w:sz w:val="24"/>
                <w:lang w:val="en-US" w:eastAsia="zh-CN"/>
              </w:rPr>
              <w:t>（1）单站点事件分析时效机制：明确2小时内完成污染事件分析报告的具体流程，包括数据调取路径、多源数据（雷达、微站、气象）整合方式及报告模板；</w:t>
            </w:r>
          </w:p>
          <w:p w14:paraId="116E16B1">
            <w:pPr>
              <w:adjustRightInd w:val="0"/>
              <w:snapToGrid w:val="0"/>
              <w:spacing w:line="360" w:lineRule="auto"/>
              <w:rPr>
                <w:rFonts w:hint="eastAsia" w:ascii="宋体" w:hAnsi="宋体" w:cs="宋体"/>
                <w:sz w:val="24"/>
                <w:lang w:val="en-US" w:eastAsia="zh-CN"/>
              </w:rPr>
            </w:pPr>
            <w:r>
              <w:rPr>
                <w:rFonts w:hint="eastAsia" w:ascii="宋体" w:hAnsi="宋体" w:cs="宋体"/>
                <w:sz w:val="24"/>
                <w:lang w:val="en-US" w:eastAsia="zh-CN"/>
              </w:rPr>
              <w:t>（2）扩散模型应用说明：列明至少1种污染扩散模型名称（如CALPUFF、HYSPLIT或AERMOD），并说明其在跨站点传输路径分析中的参数设置依据；</w:t>
            </w:r>
          </w:p>
          <w:p w14:paraId="35C1437D">
            <w:pPr>
              <w:adjustRightInd w:val="0"/>
              <w:snapToGrid w:val="0"/>
              <w:spacing w:line="360" w:lineRule="auto"/>
              <w:rPr>
                <w:rFonts w:hint="eastAsia" w:ascii="宋体" w:hAnsi="宋体" w:cs="宋体"/>
                <w:sz w:val="24"/>
                <w:lang w:val="en-US" w:eastAsia="zh-CN"/>
              </w:rPr>
            </w:pPr>
            <w:r>
              <w:rPr>
                <w:rFonts w:hint="eastAsia" w:ascii="宋体" w:hAnsi="宋体" w:cs="宋体"/>
                <w:sz w:val="24"/>
                <w:lang w:val="en-US" w:eastAsia="zh-CN"/>
              </w:rPr>
              <w:t>（3）污染源贡献量化方法：提供针对工业企业、餐饮油烟、工地扬尘等污染源的贡献率计算公式或算法逻辑（如PMF模型、CMB模型）；</w:t>
            </w:r>
          </w:p>
          <w:p w14:paraId="25952151">
            <w:pPr>
              <w:adjustRightInd w:val="0"/>
              <w:snapToGrid w:val="0"/>
              <w:spacing w:line="360" w:lineRule="auto"/>
              <w:rPr>
                <w:rFonts w:hint="eastAsia" w:ascii="宋体" w:hAnsi="宋体" w:cs="宋体"/>
                <w:sz w:val="24"/>
              </w:rPr>
            </w:pPr>
            <w:r>
              <w:rPr>
                <w:rFonts w:hint="eastAsia" w:ascii="宋体" w:hAnsi="宋体" w:cs="宋体"/>
                <w:sz w:val="24"/>
                <w:lang w:val="en-US" w:eastAsia="zh-CN"/>
              </w:rPr>
              <w:t>（4）月度/年度报告框架：包含污染物浓度排名、同比/环比变化图表、重点污染源识别清单及治理建议的标准化模板。</w:t>
            </w:r>
            <w:r>
              <w:rPr>
                <w:rFonts w:hint="eastAsia" w:ascii="宋体" w:hAnsi="宋体" w:cs="宋体"/>
                <w:sz w:val="24"/>
                <w:lang w:eastAsia="zh-CN"/>
              </w:rPr>
              <w:t>）</w:t>
            </w:r>
            <w:r>
              <w:rPr>
                <w:rFonts w:hint="eastAsia" w:ascii="宋体" w:hAnsi="宋体" w:cs="宋体"/>
                <w:kern w:val="0"/>
                <w:sz w:val="24"/>
                <w:szCs w:val="24"/>
              </w:rPr>
              <w:t>进行综合评审，方案完整且具体的得10分；方案基本满足要求，可操作性一般的得</w:t>
            </w:r>
            <w:r>
              <w:rPr>
                <w:rFonts w:hint="eastAsia" w:ascii="宋体" w:hAnsi="宋体" w:cs="宋体"/>
                <w:kern w:val="0"/>
                <w:sz w:val="24"/>
                <w:szCs w:val="24"/>
                <w:lang w:val="en-US" w:eastAsia="zh-CN"/>
              </w:rPr>
              <w:t>8</w:t>
            </w:r>
            <w:r>
              <w:rPr>
                <w:rFonts w:hint="eastAsia" w:ascii="宋体" w:hAnsi="宋体" w:cs="宋体"/>
                <w:kern w:val="0"/>
                <w:sz w:val="24"/>
                <w:szCs w:val="24"/>
              </w:rPr>
              <w:t>分；方案不能满足采购人要求，且没有具体可操作性的得</w:t>
            </w:r>
            <w:r>
              <w:rPr>
                <w:rFonts w:hint="eastAsia" w:ascii="宋体" w:hAnsi="宋体" w:cs="宋体"/>
                <w:kern w:val="0"/>
                <w:sz w:val="24"/>
                <w:szCs w:val="24"/>
                <w:lang w:val="en-US" w:eastAsia="zh-CN"/>
              </w:rPr>
              <w:t>6</w:t>
            </w:r>
            <w:r>
              <w:rPr>
                <w:rFonts w:hint="eastAsia" w:ascii="宋体" w:hAnsi="宋体" w:cs="宋体"/>
                <w:kern w:val="0"/>
                <w:sz w:val="24"/>
                <w:szCs w:val="24"/>
              </w:rPr>
              <w:t>分。未提供本项不得分。</w:t>
            </w:r>
          </w:p>
        </w:tc>
      </w:tr>
      <w:tr w14:paraId="3919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383" w:type="pct"/>
            <w:vAlign w:val="center"/>
          </w:tcPr>
          <w:p w14:paraId="5FAEDC98">
            <w:pPr>
              <w:tabs>
                <w:tab w:val="left" w:pos="1200"/>
              </w:tabs>
              <w:spacing w:line="360" w:lineRule="auto"/>
              <w:jc w:val="center"/>
              <w:rPr>
                <w:rFonts w:hint="eastAsia" w:ascii="宋体" w:hAnsi="宋体" w:cs="宋体"/>
                <w:sz w:val="24"/>
              </w:rPr>
            </w:pPr>
            <w:r>
              <w:rPr>
                <w:rFonts w:hint="eastAsia" w:ascii="宋体" w:hAnsi="宋体" w:cs="宋体"/>
                <w:sz w:val="24"/>
              </w:rPr>
              <w:t>3</w:t>
            </w:r>
          </w:p>
        </w:tc>
        <w:tc>
          <w:tcPr>
            <w:tcW w:w="929" w:type="pct"/>
            <w:vAlign w:val="center"/>
          </w:tcPr>
          <w:p w14:paraId="52519C44">
            <w:pPr>
              <w:adjustRightInd w:val="0"/>
              <w:snapToGrid w:val="0"/>
              <w:spacing w:line="360" w:lineRule="auto"/>
              <w:jc w:val="center"/>
              <w:rPr>
                <w:rFonts w:hint="eastAsia" w:ascii="宋体" w:hAnsi="宋体" w:cs="宋体"/>
                <w:sz w:val="24"/>
              </w:rPr>
            </w:pPr>
            <w:r>
              <w:rPr>
                <w:rFonts w:hint="eastAsia" w:ascii="宋体" w:hAnsi="宋体" w:cs="宋体"/>
                <w:sz w:val="24"/>
                <w:lang w:val="zh-Hans"/>
              </w:rPr>
              <w:t>后勤保障方案</w:t>
            </w:r>
          </w:p>
        </w:tc>
        <w:tc>
          <w:tcPr>
            <w:tcW w:w="539" w:type="pct"/>
            <w:vAlign w:val="center"/>
          </w:tcPr>
          <w:p w14:paraId="1FE4CFDF">
            <w:pPr>
              <w:tabs>
                <w:tab w:val="left" w:pos="1200"/>
              </w:tabs>
              <w:spacing w:line="360" w:lineRule="auto"/>
              <w:jc w:val="center"/>
              <w:rPr>
                <w:rFonts w:hint="eastAsia" w:ascii="宋体" w:hAnsi="宋体" w:cs="宋体"/>
                <w:sz w:val="24"/>
              </w:rPr>
            </w:pPr>
            <w:r>
              <w:rPr>
                <w:rFonts w:hint="eastAsia" w:ascii="宋体" w:hAnsi="宋体" w:cs="宋体"/>
                <w:sz w:val="24"/>
              </w:rPr>
              <w:t>10</w:t>
            </w:r>
          </w:p>
        </w:tc>
        <w:tc>
          <w:tcPr>
            <w:tcW w:w="3148" w:type="pct"/>
            <w:vAlign w:val="center"/>
          </w:tcPr>
          <w:p w14:paraId="0DC97676">
            <w:pPr>
              <w:adjustRightInd w:val="0"/>
              <w:snapToGrid w:val="0"/>
              <w:spacing w:line="360" w:lineRule="auto"/>
              <w:rPr>
                <w:rFonts w:hint="eastAsia" w:ascii="宋体" w:hAnsi="宋体" w:cs="宋体"/>
                <w:sz w:val="24"/>
                <w:lang w:val="en-US" w:eastAsia="zh-CN"/>
              </w:rPr>
            </w:pPr>
            <w:r>
              <w:rPr>
                <w:rFonts w:hint="eastAsia" w:ascii="宋体" w:hAnsi="宋体" w:cs="宋体"/>
                <w:kern w:val="0"/>
                <w:sz w:val="24"/>
                <w:szCs w:val="24"/>
              </w:rPr>
              <w:t>磋商小组根据供应商拟制的</w:t>
            </w:r>
            <w:r>
              <w:rPr>
                <w:rFonts w:hint="eastAsia" w:ascii="宋体" w:hAnsi="宋体" w:cs="宋体"/>
                <w:sz w:val="24"/>
                <w:lang w:val="zh-Hans"/>
              </w:rPr>
              <w:t>后勤保障方案</w:t>
            </w:r>
            <w:r>
              <w:rPr>
                <w:rFonts w:hint="eastAsia" w:ascii="宋体" w:hAnsi="宋体" w:cs="宋体"/>
                <w:sz w:val="24"/>
                <w:lang w:eastAsia="zh-CN"/>
              </w:rPr>
              <w:t>（</w:t>
            </w:r>
            <w:r>
              <w:rPr>
                <w:rFonts w:hint="eastAsia" w:ascii="宋体" w:hAnsi="宋体" w:cs="宋体"/>
                <w:sz w:val="24"/>
                <w:lang w:val="en-US" w:eastAsia="zh-CN"/>
              </w:rPr>
              <w:t>（1）日常办公保障清单：列明</w:t>
            </w:r>
            <w:r>
              <w:rPr>
                <w:rFonts w:hint="eastAsia" w:ascii="宋体" w:hAnsi="宋体" w:cs="宋体"/>
                <w:b w:val="0"/>
                <w:bCs w:val="0"/>
                <w:color w:val="auto"/>
                <w:sz w:val="24"/>
                <w:szCs w:val="24"/>
                <w:highlight w:val="none"/>
                <w:lang w:val="en-US" w:eastAsia="zh-CN"/>
              </w:rPr>
              <w:t>联防联控指挥部</w:t>
            </w:r>
            <w:r>
              <w:rPr>
                <w:rFonts w:hint="eastAsia" w:ascii="宋体" w:hAnsi="宋体" w:cs="宋体"/>
                <w:sz w:val="24"/>
                <w:lang w:val="en-US" w:eastAsia="zh-CN"/>
              </w:rPr>
              <w:t>办公耗材、水电网络维护、设备维修等费用明细表及月度预算控制机制；</w:t>
            </w:r>
          </w:p>
          <w:p w14:paraId="6686029A">
            <w:pPr>
              <w:adjustRightInd w:val="0"/>
              <w:snapToGrid w:val="0"/>
              <w:spacing w:line="360" w:lineRule="auto"/>
              <w:rPr>
                <w:rFonts w:hint="eastAsia" w:ascii="宋体" w:hAnsi="宋体" w:cs="宋体"/>
                <w:sz w:val="24"/>
                <w:lang w:val="en-US" w:eastAsia="zh-CN"/>
              </w:rPr>
            </w:pPr>
            <w:r>
              <w:rPr>
                <w:rFonts w:hint="eastAsia" w:ascii="宋体" w:hAnsi="宋体" w:cs="宋体"/>
                <w:sz w:val="24"/>
                <w:lang w:val="en-US" w:eastAsia="zh-CN"/>
              </w:rPr>
              <w:t>（2）应急物资储备标准：提供不少于3天用量的应急物资清单（含备用电源、通信设备、防护装备），注明存储位置、更新周期及调用流程；</w:t>
            </w:r>
          </w:p>
          <w:p w14:paraId="1CE5691D">
            <w:pPr>
              <w:adjustRightInd w:val="0"/>
              <w:snapToGrid w:val="0"/>
              <w:spacing w:line="360" w:lineRule="auto"/>
              <w:rPr>
                <w:rFonts w:hint="eastAsia" w:ascii="宋体" w:hAnsi="宋体" w:cs="宋体"/>
                <w:sz w:val="24"/>
                <w:lang w:val="en-US" w:eastAsia="zh-CN"/>
              </w:rPr>
            </w:pPr>
            <w:r>
              <w:rPr>
                <w:rFonts w:hint="eastAsia" w:ascii="宋体" w:hAnsi="宋体" w:cs="宋体"/>
                <w:sz w:val="24"/>
                <w:lang w:val="en-US" w:eastAsia="zh-CN"/>
              </w:rPr>
              <w:t>（3）后勤服务中断预案：制定办公场地断电、网络中断等场景的替代方案（如备用场地坐标、卫星通信设备配置）；</w:t>
            </w:r>
          </w:p>
          <w:p w14:paraId="4EA55E24">
            <w:pPr>
              <w:adjustRightInd w:val="0"/>
              <w:snapToGrid w:val="0"/>
              <w:spacing w:line="360" w:lineRule="auto"/>
              <w:rPr>
                <w:rFonts w:hint="eastAsia" w:ascii="宋体" w:hAnsi="宋体" w:cs="宋体"/>
                <w:sz w:val="24"/>
              </w:rPr>
            </w:pPr>
            <w:r>
              <w:rPr>
                <w:rFonts w:hint="eastAsia" w:ascii="宋体" w:hAnsi="宋体" w:cs="宋体"/>
                <w:sz w:val="24"/>
                <w:lang w:val="en-US" w:eastAsia="zh-CN"/>
              </w:rPr>
              <w:t>（4）服务质量监督表：提供后勤保障服务满意度评分表模板（含采购人签字确认栏）及月度改进报告机制。</w:t>
            </w:r>
            <w:r>
              <w:rPr>
                <w:rFonts w:hint="eastAsia" w:ascii="宋体" w:hAnsi="宋体" w:cs="宋体"/>
                <w:sz w:val="24"/>
                <w:lang w:eastAsia="zh-CN"/>
              </w:rPr>
              <w:t>）</w:t>
            </w:r>
            <w:r>
              <w:rPr>
                <w:rFonts w:hint="eastAsia" w:ascii="宋体" w:hAnsi="宋体" w:cs="宋体"/>
                <w:kern w:val="0"/>
                <w:sz w:val="24"/>
                <w:szCs w:val="24"/>
              </w:rPr>
              <w:t>进行综合评审，方案完整且具体的得10分；方案基本满足要求，可操作性一般的得</w:t>
            </w:r>
            <w:r>
              <w:rPr>
                <w:rFonts w:hint="eastAsia" w:ascii="宋体" w:hAnsi="宋体" w:cs="宋体"/>
                <w:kern w:val="0"/>
                <w:sz w:val="24"/>
                <w:szCs w:val="24"/>
                <w:lang w:val="en-US" w:eastAsia="zh-CN"/>
              </w:rPr>
              <w:t>8</w:t>
            </w:r>
            <w:r>
              <w:rPr>
                <w:rFonts w:hint="eastAsia" w:ascii="宋体" w:hAnsi="宋体" w:cs="宋体"/>
                <w:kern w:val="0"/>
                <w:sz w:val="24"/>
                <w:szCs w:val="24"/>
              </w:rPr>
              <w:t>分；方案不能满足采购人要求，且没有具体可操作性的得</w:t>
            </w:r>
            <w:r>
              <w:rPr>
                <w:rFonts w:hint="eastAsia" w:ascii="宋体" w:hAnsi="宋体" w:cs="宋体"/>
                <w:kern w:val="0"/>
                <w:sz w:val="24"/>
                <w:szCs w:val="24"/>
                <w:lang w:val="en-US" w:eastAsia="zh-CN"/>
              </w:rPr>
              <w:t>6</w:t>
            </w:r>
            <w:r>
              <w:rPr>
                <w:rFonts w:hint="eastAsia" w:ascii="宋体" w:hAnsi="宋体" w:cs="宋体"/>
                <w:kern w:val="0"/>
                <w:sz w:val="24"/>
                <w:szCs w:val="24"/>
              </w:rPr>
              <w:t>分。未提供本项不得分。</w:t>
            </w:r>
          </w:p>
        </w:tc>
      </w:tr>
      <w:tr w14:paraId="62A8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383" w:type="pct"/>
            <w:vAlign w:val="center"/>
          </w:tcPr>
          <w:p w14:paraId="1D80C5B6">
            <w:pPr>
              <w:tabs>
                <w:tab w:val="left" w:pos="1200"/>
              </w:tabs>
              <w:spacing w:line="360" w:lineRule="auto"/>
              <w:jc w:val="center"/>
              <w:rPr>
                <w:rFonts w:hint="eastAsia" w:ascii="宋体" w:hAnsi="宋体" w:cs="宋体"/>
                <w:sz w:val="24"/>
              </w:rPr>
            </w:pPr>
            <w:r>
              <w:rPr>
                <w:rFonts w:hint="eastAsia" w:ascii="宋体" w:hAnsi="宋体" w:cs="宋体"/>
                <w:sz w:val="24"/>
              </w:rPr>
              <w:t>4</w:t>
            </w:r>
          </w:p>
        </w:tc>
        <w:tc>
          <w:tcPr>
            <w:tcW w:w="929" w:type="pct"/>
            <w:vAlign w:val="center"/>
          </w:tcPr>
          <w:p w14:paraId="702D91B5">
            <w:pPr>
              <w:adjustRightInd w:val="0"/>
              <w:snapToGrid w:val="0"/>
              <w:spacing w:line="360" w:lineRule="auto"/>
              <w:jc w:val="center"/>
              <w:rPr>
                <w:rFonts w:hint="eastAsia" w:ascii="宋体" w:hAnsi="宋体" w:cs="宋体"/>
                <w:sz w:val="24"/>
              </w:rPr>
            </w:pPr>
            <w:r>
              <w:rPr>
                <w:rFonts w:hint="eastAsia" w:ascii="宋体" w:hAnsi="宋体" w:cs="宋体"/>
                <w:sz w:val="24"/>
                <w:lang w:val="zh-Hans"/>
              </w:rPr>
              <w:t>工作质量与效率保证方案</w:t>
            </w:r>
          </w:p>
        </w:tc>
        <w:tc>
          <w:tcPr>
            <w:tcW w:w="539" w:type="pct"/>
            <w:vAlign w:val="center"/>
          </w:tcPr>
          <w:p w14:paraId="1F3BCE9B">
            <w:pPr>
              <w:tabs>
                <w:tab w:val="left" w:pos="1200"/>
              </w:tabs>
              <w:spacing w:line="360" w:lineRule="auto"/>
              <w:jc w:val="center"/>
              <w:rPr>
                <w:rFonts w:hint="eastAsia" w:ascii="宋体" w:hAnsi="宋体" w:cs="宋体"/>
                <w:sz w:val="24"/>
              </w:rPr>
            </w:pPr>
            <w:r>
              <w:rPr>
                <w:rFonts w:hint="eastAsia" w:ascii="宋体" w:hAnsi="宋体" w:cs="宋体"/>
                <w:sz w:val="24"/>
              </w:rPr>
              <w:t>10</w:t>
            </w:r>
          </w:p>
        </w:tc>
        <w:tc>
          <w:tcPr>
            <w:tcW w:w="3148" w:type="pct"/>
            <w:vAlign w:val="center"/>
          </w:tcPr>
          <w:p w14:paraId="5EA22F6D">
            <w:pPr>
              <w:adjustRightInd w:val="0"/>
              <w:snapToGrid w:val="0"/>
              <w:spacing w:line="360" w:lineRule="auto"/>
              <w:rPr>
                <w:rFonts w:hint="eastAsia" w:ascii="宋体" w:hAnsi="宋体" w:cs="宋体"/>
                <w:kern w:val="0"/>
                <w:sz w:val="24"/>
                <w:szCs w:val="24"/>
              </w:rPr>
            </w:pPr>
            <w:r>
              <w:rPr>
                <w:rFonts w:hint="eastAsia" w:ascii="宋体" w:hAnsi="宋体" w:cs="宋体"/>
                <w:kern w:val="0"/>
                <w:sz w:val="24"/>
                <w:szCs w:val="24"/>
              </w:rPr>
              <w:t>磋商小组根据供应商拟制的工作质量与效率保证方案</w:t>
            </w:r>
          </w:p>
          <w:p w14:paraId="4499C189">
            <w:pPr>
              <w:adjustRightInd w:val="0"/>
              <w:snapToGrid w:val="0"/>
              <w:spacing w:line="360" w:lineRule="auto"/>
              <w:rPr>
                <w:rFonts w:hint="eastAsia"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1</w:t>
            </w:r>
            <w:r>
              <w:rPr>
                <w:rFonts w:hint="eastAsia" w:ascii="宋体" w:hAnsi="宋体" w:cs="宋体"/>
                <w:kern w:val="0"/>
                <w:sz w:val="24"/>
                <w:szCs w:val="24"/>
              </w:rPr>
              <w:t>）污染源空间分布图谱：绘制站点3公里半径范围内工业源、移动源、扬尘源、生活源的GIS分布图，标注重点管控对象坐标及历史超标记录；</w:t>
            </w:r>
          </w:p>
          <w:p w14:paraId="2A69A124">
            <w:pPr>
              <w:adjustRightInd w:val="0"/>
              <w:snapToGrid w:val="0"/>
              <w:spacing w:line="360" w:lineRule="auto"/>
              <w:rPr>
                <w:rFonts w:hint="eastAsia"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2</w:t>
            </w:r>
            <w:r>
              <w:rPr>
                <w:rFonts w:hint="eastAsia" w:ascii="宋体" w:hAnsi="宋体" w:cs="宋体"/>
                <w:kern w:val="0"/>
                <w:sz w:val="24"/>
                <w:szCs w:val="24"/>
              </w:rPr>
              <w:t>）数据质控三级审核机制：说明原始数据采集→异常值筛查→报告生成的三级责任人、审核标准（如数据完整率≥98%）及签字流程；</w:t>
            </w:r>
          </w:p>
          <w:p w14:paraId="752D3721">
            <w:pPr>
              <w:adjustRightInd w:val="0"/>
              <w:snapToGrid w:val="0"/>
              <w:spacing w:line="360" w:lineRule="auto"/>
              <w:rPr>
                <w:rFonts w:hint="eastAsia" w:ascii="宋体" w:hAnsi="宋体" w:cs="宋体"/>
                <w:sz w:val="24"/>
              </w:rPr>
            </w:pPr>
            <w:r>
              <w:rPr>
                <w:rFonts w:hint="eastAsia" w:ascii="宋体" w:hAnsi="宋体" w:cs="宋体"/>
                <w:kern w:val="0"/>
                <w:sz w:val="24"/>
                <w:szCs w:val="24"/>
              </w:rPr>
              <w:t>（</w:t>
            </w:r>
            <w:r>
              <w:rPr>
                <w:rFonts w:hint="eastAsia" w:ascii="宋体" w:hAnsi="宋体" w:cs="宋体"/>
                <w:kern w:val="0"/>
                <w:sz w:val="24"/>
                <w:szCs w:val="24"/>
                <w:lang w:val="en-US" w:eastAsia="zh-CN"/>
              </w:rPr>
              <w:t>3</w:t>
            </w:r>
            <w:r>
              <w:rPr>
                <w:rFonts w:hint="eastAsia" w:ascii="宋体" w:hAnsi="宋体" w:cs="宋体"/>
                <w:kern w:val="0"/>
                <w:sz w:val="24"/>
                <w:szCs w:val="24"/>
              </w:rPr>
              <w:t>）服务响应时效承诺：书面承诺数据异常核实≤30分钟、污染溯源报告出具≤4小时、整改建议反馈≤24小时，并附超时违约责任条款。）进行综合评审，方案完整且具体的得10分；方案基本满足要求，可操作性一般的得8分；方案不能满足采购人要求，且没有具体可操作性的得6分。未提供本项不得分。</w:t>
            </w:r>
          </w:p>
        </w:tc>
      </w:tr>
      <w:tr w14:paraId="7B0F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383" w:type="pct"/>
            <w:vAlign w:val="center"/>
          </w:tcPr>
          <w:p w14:paraId="040534F8">
            <w:pPr>
              <w:tabs>
                <w:tab w:val="left" w:pos="1200"/>
              </w:tabs>
              <w:spacing w:line="360" w:lineRule="auto"/>
              <w:jc w:val="center"/>
              <w:rPr>
                <w:rFonts w:hint="eastAsia" w:ascii="宋体" w:hAnsi="宋体" w:cs="宋体"/>
                <w:sz w:val="24"/>
              </w:rPr>
            </w:pPr>
            <w:r>
              <w:rPr>
                <w:rFonts w:hint="eastAsia" w:ascii="宋体" w:hAnsi="宋体" w:cs="宋体"/>
                <w:sz w:val="24"/>
              </w:rPr>
              <w:t>5</w:t>
            </w:r>
          </w:p>
        </w:tc>
        <w:tc>
          <w:tcPr>
            <w:tcW w:w="929" w:type="pct"/>
            <w:vAlign w:val="center"/>
          </w:tcPr>
          <w:p w14:paraId="56CDCEFB">
            <w:pPr>
              <w:adjustRightInd w:val="0"/>
              <w:snapToGrid w:val="0"/>
              <w:spacing w:line="360" w:lineRule="auto"/>
              <w:jc w:val="center"/>
              <w:rPr>
                <w:rFonts w:hint="eastAsia" w:ascii="宋体" w:hAnsi="宋体" w:cs="宋体"/>
                <w:sz w:val="24"/>
                <w:lang w:val="zh-Hans"/>
              </w:rPr>
            </w:pPr>
            <w:r>
              <w:rPr>
                <w:rFonts w:hint="eastAsia" w:ascii="宋体" w:hAnsi="宋体" w:cs="宋体"/>
                <w:sz w:val="24"/>
                <w:lang w:val="zh-Hans"/>
              </w:rPr>
              <w:t>后续服务</w:t>
            </w:r>
          </w:p>
        </w:tc>
        <w:tc>
          <w:tcPr>
            <w:tcW w:w="539" w:type="pct"/>
            <w:vAlign w:val="center"/>
          </w:tcPr>
          <w:p w14:paraId="308A5890">
            <w:pPr>
              <w:tabs>
                <w:tab w:val="left" w:pos="1200"/>
              </w:tabs>
              <w:spacing w:line="360" w:lineRule="auto"/>
              <w:jc w:val="center"/>
              <w:rPr>
                <w:rFonts w:hint="eastAsia" w:ascii="宋体" w:hAnsi="宋体" w:cs="宋体"/>
                <w:sz w:val="24"/>
              </w:rPr>
            </w:pPr>
            <w:r>
              <w:rPr>
                <w:rFonts w:hint="eastAsia" w:ascii="宋体" w:hAnsi="宋体" w:cs="宋体"/>
                <w:sz w:val="24"/>
              </w:rPr>
              <w:t>10</w:t>
            </w:r>
          </w:p>
        </w:tc>
        <w:tc>
          <w:tcPr>
            <w:tcW w:w="3148" w:type="pct"/>
            <w:vAlign w:val="center"/>
          </w:tcPr>
          <w:p w14:paraId="09D27D12">
            <w:pPr>
              <w:adjustRightInd w:val="0"/>
              <w:snapToGrid w:val="0"/>
              <w:spacing w:line="360" w:lineRule="auto"/>
              <w:rPr>
                <w:rFonts w:hint="eastAsia" w:ascii="宋体" w:hAnsi="宋体" w:cs="宋体"/>
                <w:kern w:val="0"/>
                <w:sz w:val="24"/>
                <w:szCs w:val="24"/>
                <w:lang w:eastAsia="zh-CN"/>
              </w:rPr>
            </w:pPr>
            <w:r>
              <w:rPr>
                <w:rFonts w:hint="eastAsia" w:ascii="宋体" w:hAnsi="宋体" w:cs="宋体"/>
                <w:kern w:val="0"/>
                <w:sz w:val="24"/>
                <w:szCs w:val="24"/>
              </w:rPr>
              <w:t>磋商小组根据供应商拟制的后续服务内容</w:t>
            </w:r>
            <w:r>
              <w:rPr>
                <w:rFonts w:hint="eastAsia" w:ascii="宋体" w:hAnsi="宋体" w:cs="宋体"/>
                <w:kern w:val="0"/>
                <w:sz w:val="24"/>
                <w:szCs w:val="24"/>
                <w:lang w:eastAsia="zh-CN"/>
              </w:rPr>
              <w:t>（（1）数据移交机制：明确服务期满后30日内，向采购人移交全部原始监测数据、分析模型参数、污染源清单的电子档案（含数据格式标准、存储介质要求）；</w:t>
            </w:r>
          </w:p>
          <w:p w14:paraId="711D790C">
            <w:pPr>
              <w:adjustRightInd w:val="0"/>
              <w:snapToGrid w:val="0"/>
              <w:spacing w:line="360" w:lineRule="auto"/>
              <w:rPr>
                <w:rFonts w:hint="eastAsia" w:ascii="宋体" w:hAnsi="宋体" w:cs="宋体"/>
                <w:kern w:val="0"/>
                <w:sz w:val="24"/>
                <w:szCs w:val="24"/>
                <w:lang w:eastAsia="zh-CN"/>
              </w:rPr>
            </w:pPr>
            <w:r>
              <w:rPr>
                <w:rFonts w:hint="eastAsia" w:ascii="宋体" w:hAnsi="宋体" w:cs="宋体"/>
                <w:kern w:val="0"/>
                <w:sz w:val="24"/>
                <w:szCs w:val="24"/>
                <w:lang w:eastAsia="zh-CN"/>
              </w:rPr>
              <w:t>（2）知识转移安排：提供针对采购人技术人员的操作培训计划（含培训课时≥8学时、教材目录、考核标准）；</w:t>
            </w:r>
          </w:p>
          <w:p w14:paraId="78ED17CF">
            <w:pPr>
              <w:adjustRightInd w:val="0"/>
              <w:snapToGrid w:val="0"/>
              <w:spacing w:line="360" w:lineRule="auto"/>
              <w:rPr>
                <w:rFonts w:hint="eastAsia" w:ascii="宋体" w:hAnsi="宋体" w:cs="宋体"/>
                <w:kern w:val="0"/>
                <w:sz w:val="24"/>
                <w:szCs w:val="24"/>
                <w:lang w:eastAsia="zh-CN"/>
              </w:rPr>
            </w:pPr>
            <w:r>
              <w:rPr>
                <w:rFonts w:hint="eastAsia" w:ascii="宋体" w:hAnsi="宋体" w:cs="宋体"/>
                <w:kern w:val="0"/>
                <w:sz w:val="24"/>
                <w:szCs w:val="24"/>
                <w:lang w:eastAsia="zh-CN"/>
              </w:rPr>
              <w:t>（3）应急响应承诺：书面承诺服务终止后6个月内，对历史数据异常追溯、模型复算等需求提供免费技术支持（响应时限≤4小时）；</w:t>
            </w:r>
          </w:p>
          <w:p w14:paraId="6AEEA7CB">
            <w:pPr>
              <w:adjustRightInd w:val="0"/>
              <w:snapToGrid w:val="0"/>
              <w:spacing w:line="360" w:lineRule="auto"/>
              <w:rPr>
                <w:rFonts w:hint="eastAsia" w:ascii="宋体" w:hAnsi="宋体" w:cs="宋体"/>
                <w:kern w:val="0"/>
                <w:sz w:val="24"/>
                <w:szCs w:val="24"/>
                <w:lang w:eastAsia="zh-CN"/>
              </w:rPr>
            </w:pPr>
            <w:r>
              <w:rPr>
                <w:rFonts w:hint="eastAsia" w:ascii="宋体" w:hAnsi="宋体" w:cs="宋体"/>
                <w:kern w:val="0"/>
                <w:sz w:val="24"/>
                <w:szCs w:val="24"/>
                <w:lang w:eastAsia="zh-CN"/>
              </w:rPr>
              <w:t>（4）系统维护过渡方案：说明联防联控指挥部监测设备、预警平台账号权限的移交流程及备用接管方案（含过渡期≤15日）；</w:t>
            </w:r>
          </w:p>
          <w:p w14:paraId="4B93AAE4">
            <w:pPr>
              <w:adjustRightInd w:val="0"/>
              <w:snapToGrid w:val="0"/>
              <w:spacing w:line="360" w:lineRule="auto"/>
              <w:rPr>
                <w:rFonts w:hint="eastAsia" w:ascii="宋体" w:hAnsi="宋体" w:cs="宋体"/>
                <w:sz w:val="24"/>
              </w:rPr>
            </w:pPr>
            <w:r>
              <w:rPr>
                <w:rFonts w:hint="eastAsia" w:ascii="宋体" w:hAnsi="宋体" w:cs="宋体"/>
                <w:kern w:val="0"/>
                <w:sz w:val="24"/>
                <w:szCs w:val="24"/>
                <w:lang w:eastAsia="zh-CN"/>
              </w:rPr>
              <w:t>（5）服务延续报价清单：列明后续年度服务的分项报价明细（如值守服务、数据分析、设备运维单价），作为采购人续约参考依据。）</w:t>
            </w:r>
            <w:r>
              <w:rPr>
                <w:rFonts w:hint="eastAsia" w:ascii="宋体" w:hAnsi="宋体" w:cs="宋体"/>
                <w:kern w:val="0"/>
                <w:sz w:val="24"/>
                <w:szCs w:val="24"/>
              </w:rPr>
              <w:t>进行综合评审，内容完整且具体的得10分；内容基本满足要求，可操作性一般的得</w:t>
            </w:r>
            <w:r>
              <w:rPr>
                <w:rFonts w:hint="eastAsia" w:ascii="宋体" w:hAnsi="宋体" w:cs="宋体"/>
                <w:kern w:val="0"/>
                <w:sz w:val="24"/>
                <w:szCs w:val="24"/>
                <w:lang w:val="en-US" w:eastAsia="zh-CN"/>
              </w:rPr>
              <w:t>8</w:t>
            </w:r>
            <w:r>
              <w:rPr>
                <w:rFonts w:hint="eastAsia" w:ascii="宋体" w:hAnsi="宋体" w:cs="宋体"/>
                <w:kern w:val="0"/>
                <w:sz w:val="24"/>
                <w:szCs w:val="24"/>
              </w:rPr>
              <w:t>分；内容不能满足采购人要求，且没有具体可操作性的得</w:t>
            </w:r>
            <w:r>
              <w:rPr>
                <w:rFonts w:hint="eastAsia" w:ascii="宋体" w:hAnsi="宋体" w:cs="宋体"/>
                <w:kern w:val="0"/>
                <w:sz w:val="24"/>
                <w:szCs w:val="24"/>
                <w:lang w:val="en-US" w:eastAsia="zh-CN"/>
              </w:rPr>
              <w:t>6</w:t>
            </w:r>
            <w:r>
              <w:rPr>
                <w:rFonts w:hint="eastAsia" w:ascii="宋体" w:hAnsi="宋体" w:cs="宋体"/>
                <w:kern w:val="0"/>
                <w:sz w:val="24"/>
                <w:szCs w:val="24"/>
              </w:rPr>
              <w:t>分。未提供本项不得分。</w:t>
            </w:r>
          </w:p>
        </w:tc>
      </w:tr>
    </w:tbl>
    <w:p w14:paraId="4EF1889D">
      <w:pPr>
        <w:keepNext w:val="0"/>
        <w:keepLines w:val="0"/>
        <w:pageBreakBefore w:val="0"/>
        <w:widowControl w:val="0"/>
        <w:spacing w:line="360" w:lineRule="auto"/>
        <w:ind w:firstLine="480"/>
        <w:contextualSpacing/>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注：1.评分细则中要求提供的证明文件及资料等在磋商响应文件中提供并加盖公章，否则不得分。</w:t>
      </w:r>
    </w:p>
    <w:p w14:paraId="5C851939">
      <w:pPr>
        <w:keepNext w:val="0"/>
        <w:keepLines w:val="0"/>
        <w:pageBreakBefore w:val="0"/>
        <w:widowControl w:val="0"/>
        <w:spacing w:line="360" w:lineRule="auto"/>
        <w:ind w:firstLine="480"/>
        <w:contextualSpacing/>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2.评审时，未能按以上要求提供相应证明的，不作为评审依据，不得分。</w:t>
      </w:r>
    </w:p>
    <w:p w14:paraId="4B5E19DF">
      <w:pPr>
        <w:keepNext w:val="0"/>
        <w:keepLines w:val="0"/>
        <w:pageBreakBefore w:val="0"/>
        <w:widowControl w:val="0"/>
        <w:spacing w:line="360" w:lineRule="auto"/>
        <w:ind w:firstLine="480"/>
        <w:contextualSpacing/>
        <w:outlineLvl w:val="9"/>
        <w:rPr>
          <w:rFonts w:hint="eastAsia" w:ascii="宋体" w:hAnsi="宋体" w:eastAsia="宋体" w:cs="宋体"/>
          <w:bCs/>
          <w:color w:val="auto"/>
          <w:sz w:val="24"/>
          <w:szCs w:val="24"/>
          <w:highlight w:val="none"/>
        </w:rPr>
        <w:sectPr>
          <w:pgSz w:w="11906" w:h="16838"/>
          <w:pgMar w:top="1440" w:right="1800" w:bottom="1440" w:left="1800" w:header="851" w:footer="992" w:gutter="0"/>
          <w:pgNumType w:fmt="decimal"/>
          <w:cols w:space="1701" w:num="1"/>
          <w:docGrid w:linePitch="360" w:charSpace="0"/>
        </w:sectPr>
      </w:pPr>
    </w:p>
    <w:p w14:paraId="3FB168F9">
      <w:pPr>
        <w:keepNext w:val="0"/>
        <w:keepLines w:val="0"/>
        <w:pageBreakBefore w:val="0"/>
        <w:widowControl w:val="0"/>
        <w:spacing w:line="360" w:lineRule="auto"/>
        <w:contextualSpacing/>
        <w:jc w:val="center"/>
        <w:outlineLvl w:val="0"/>
        <w:rPr>
          <w:b/>
          <w:color w:val="auto"/>
          <w:sz w:val="36"/>
          <w:szCs w:val="36"/>
          <w:highlight w:val="none"/>
        </w:rPr>
      </w:pPr>
      <w:bookmarkStart w:id="608" w:name="_Toc104818928"/>
      <w:bookmarkStart w:id="609" w:name="_Toc20962"/>
      <w:r>
        <w:rPr>
          <w:b/>
          <w:color w:val="auto"/>
          <w:sz w:val="36"/>
          <w:szCs w:val="36"/>
          <w:highlight w:val="none"/>
        </w:rPr>
        <w:t>第四章   采购需求</w:t>
      </w:r>
      <w:bookmarkEnd w:id="608"/>
      <w:bookmarkEnd w:id="609"/>
    </w:p>
    <w:p w14:paraId="067968A3">
      <w:pPr>
        <w:keepNext w:val="0"/>
        <w:keepLines w:val="0"/>
        <w:pageBreakBefore w:val="0"/>
        <w:spacing w:line="360" w:lineRule="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一、采购标的</w:t>
      </w:r>
    </w:p>
    <w:p w14:paraId="1C734BB3">
      <w:pPr>
        <w:keepNext w:val="0"/>
        <w:keepLines w:val="0"/>
        <w:pageBreakBefore w:val="0"/>
        <w:widowControl w:val="0"/>
        <w:kinsoku/>
        <w:wordWrap/>
        <w:overflowPunct/>
        <w:topLinePunct w:val="0"/>
        <w:autoSpaceDE/>
        <w:autoSpaceDN/>
        <w:bidi w:val="0"/>
        <w:adjustRightInd/>
        <w:snapToGrid w:val="0"/>
        <w:spacing w:line="360" w:lineRule="auto"/>
        <w:ind w:firstLine="488" w:firstLineChars="200"/>
        <w:textAlignment w:val="auto"/>
        <w:outlineLvl w:val="9"/>
        <w:rPr>
          <w:rFonts w:hint="eastAsia" w:ascii="宋体" w:hAnsi="宋体" w:eastAsia="宋体" w:cs="宋体"/>
          <w:color w:val="auto"/>
          <w:spacing w:val="2"/>
          <w:sz w:val="24"/>
          <w:szCs w:val="24"/>
          <w:highlight w:val="none"/>
          <w:u w:val="none"/>
          <w:lang w:eastAsia="zh-CN"/>
        </w:rPr>
      </w:pPr>
      <w:r>
        <w:rPr>
          <w:rFonts w:hint="eastAsia" w:ascii="宋体" w:hAnsi="宋体" w:eastAsia="宋体" w:cs="宋体"/>
          <w:color w:val="auto"/>
          <w:spacing w:val="2"/>
          <w:sz w:val="24"/>
          <w:szCs w:val="24"/>
          <w:highlight w:val="none"/>
          <w:u w:val="none"/>
          <w:lang w:eastAsia="zh-CN"/>
        </w:rPr>
        <w:t>本项目为</w:t>
      </w:r>
      <w:r>
        <w:rPr>
          <w:rFonts w:hint="eastAsia" w:ascii="宋体" w:hAnsi="宋体" w:cs="宋体"/>
          <w:color w:val="auto"/>
          <w:spacing w:val="2"/>
          <w:sz w:val="24"/>
          <w:szCs w:val="24"/>
          <w:highlight w:val="none"/>
          <w:u w:val="none"/>
          <w:lang w:eastAsia="zh-CN"/>
        </w:rPr>
        <w:t>新北区联防联控指挥部保障项目</w:t>
      </w:r>
      <w:r>
        <w:rPr>
          <w:rFonts w:hint="eastAsia" w:ascii="宋体" w:hAnsi="宋体" w:eastAsia="宋体" w:cs="宋体"/>
          <w:color w:val="auto"/>
          <w:spacing w:val="2"/>
          <w:sz w:val="24"/>
          <w:szCs w:val="24"/>
          <w:highlight w:val="none"/>
          <w:u w:val="none"/>
          <w:lang w:eastAsia="zh-CN"/>
        </w:rPr>
        <w:t>，</w:t>
      </w:r>
      <w:r>
        <w:rPr>
          <w:rFonts w:hint="eastAsia" w:ascii="宋体" w:hAnsi="宋体" w:cs="宋体"/>
          <w:color w:val="auto"/>
          <w:sz w:val="24"/>
          <w:szCs w:val="24"/>
          <w:highlight w:val="none"/>
          <w:lang w:eastAsia="zh-CN"/>
        </w:rPr>
        <w:t>服务内容包括为保障新北区大气环境质量考核任务完成，构建“精准监测、智能预警、高效处置、系统治理”的闭环保障体系，通过常态化专班值守、多维度数据分析及全流程后勤保障，全面提升新北区大气污染防控的精细化、科学化水平，确保PM2.5浓度、O3超标天数等核心指标达到考核要求。</w:t>
      </w:r>
    </w:p>
    <w:p w14:paraId="4630E8F2">
      <w:pPr>
        <w:keepNext w:val="0"/>
        <w:keepLines w:val="0"/>
        <w:pageBreakBefore w:val="0"/>
        <w:spacing w:line="360" w:lineRule="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二、商务要求</w:t>
      </w:r>
    </w:p>
    <w:p w14:paraId="24FD77C2">
      <w:pPr>
        <w:keepNext w:val="0"/>
        <w:keepLines w:val="0"/>
        <w:pageBreakBefore w:val="0"/>
        <w:widowControl w:val="0"/>
        <w:kinsoku/>
        <w:wordWrap/>
        <w:overflowPunct/>
        <w:topLinePunct w:val="0"/>
        <w:autoSpaceDE/>
        <w:autoSpaceDN/>
        <w:bidi w:val="0"/>
        <w:adjustRightInd/>
        <w:spacing w:line="360" w:lineRule="auto"/>
        <w:ind w:firstLine="482" w:firstLineChars="200"/>
        <w:contextualSpacing/>
        <w:textAlignment w:val="auto"/>
        <w:outlineLvl w:val="9"/>
        <w:rPr>
          <w:rFonts w:hint="eastAsia" w:ascii="宋体" w:hAnsi="宋体" w:eastAsia="宋体" w:cs="宋体"/>
          <w:b/>
          <w:bCs w:val="0"/>
          <w:color w:val="auto"/>
          <w:sz w:val="24"/>
          <w:szCs w:val="24"/>
          <w:highlight w:val="none"/>
          <w:lang w:eastAsia="zh-CN"/>
        </w:rPr>
      </w:pPr>
      <w:r>
        <w:rPr>
          <w:rFonts w:hint="eastAsia" w:ascii="宋体" w:hAnsi="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rPr>
        <w:t>服务期限</w:t>
      </w:r>
    </w:p>
    <w:p w14:paraId="7FE2F14E">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自合同签订之日起1年。</w:t>
      </w:r>
    </w:p>
    <w:p w14:paraId="3838F38E">
      <w:pPr>
        <w:keepNext w:val="0"/>
        <w:keepLines w:val="0"/>
        <w:pageBreakBefore w:val="0"/>
        <w:widowControl w:val="0"/>
        <w:kinsoku/>
        <w:wordWrap/>
        <w:overflowPunct/>
        <w:topLinePunct w:val="0"/>
        <w:autoSpaceDE/>
        <w:autoSpaceDN/>
        <w:bidi w:val="0"/>
        <w:adjustRightInd/>
        <w:spacing w:line="360" w:lineRule="auto"/>
        <w:ind w:firstLine="482" w:firstLineChars="200"/>
        <w:contextualSpacing/>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lang w:val="en-US" w:eastAsia="zh-CN"/>
        </w:rPr>
        <w:t>.付款方式</w:t>
      </w:r>
    </w:p>
    <w:p w14:paraId="7AB803E9">
      <w:pPr>
        <w:spacing w:line="360" w:lineRule="auto"/>
        <w:ind w:firstLine="480" w:firstLineChars="200"/>
        <w:contextualSpacing/>
        <w:rPr>
          <w:rFonts w:hint="default" w:ascii="宋体" w:hAnsi="宋体" w:eastAsia="宋体" w:cs="宋体"/>
          <w:bCs/>
          <w:color w:val="auto"/>
          <w:sz w:val="24"/>
          <w:highlight w:val="none"/>
          <w:lang w:val="en-US" w:eastAsia="zh-CN"/>
        </w:rPr>
      </w:pPr>
      <w:r>
        <w:rPr>
          <w:rFonts w:hint="eastAsia" w:ascii="宋体" w:hAnsi="宋体" w:cs="宋体"/>
          <w:bCs/>
          <w:color w:val="auto"/>
          <w:sz w:val="24"/>
          <w:szCs w:val="24"/>
          <w:lang w:val="en-US" w:eastAsia="zh-CN"/>
        </w:rPr>
        <w:t>合同签订生效、服务开始后，采购人支付合同金额的30%;服务满6个月并提交半年度分析报告后，支付合同金额的30%；服务期满且提交完整的年度综合分析报告及相关成果，经采购人验收合格后，支付合同金额的40%。</w:t>
      </w:r>
    </w:p>
    <w:p w14:paraId="14394C9F">
      <w:pPr>
        <w:keepNext w:val="0"/>
        <w:keepLines w:val="0"/>
        <w:pageBreakBefore w:val="0"/>
        <w:widowControl w:val="0"/>
        <w:kinsoku/>
        <w:wordWrap/>
        <w:overflowPunct/>
        <w:topLinePunct w:val="0"/>
        <w:autoSpaceDE/>
        <w:autoSpaceDN/>
        <w:bidi w:val="0"/>
        <w:adjustRightInd/>
        <w:snapToGrid w:val="0"/>
        <w:spacing w:line="460" w:lineRule="exact"/>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w:t>
      </w:r>
      <w:r>
        <w:rPr>
          <w:rFonts w:hint="eastAsia" w:ascii="宋体" w:hAnsi="宋体" w:cs="宋体"/>
          <w:b/>
          <w:bCs/>
          <w:color w:val="auto"/>
          <w:sz w:val="24"/>
          <w:szCs w:val="24"/>
          <w:highlight w:val="none"/>
          <w:lang w:val="en-US" w:eastAsia="zh-CN"/>
        </w:rPr>
        <w:t>服务内容</w:t>
      </w:r>
    </w:p>
    <w:p w14:paraId="47C31F6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（一）保障服务</w:t>
      </w:r>
    </w:p>
    <w:p w14:paraId="1FF069A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保障新北区联防联控指挥部，确保全天候无间断协同值守。</w:t>
      </w:r>
    </w:p>
    <w:p w14:paraId="02CAA79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核心职责：</w:t>
      </w:r>
    </w:p>
    <w:p w14:paraId="45B8C1E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数据盯控：每30分钟查看一次数据，确保数据连续、有效。</w:t>
      </w:r>
    </w:p>
    <w:p w14:paraId="5AE0443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异常预警：当PM2.5、O₃等污染物小时浓度较全市平均偏高20%或出现持续恶化趋势时，10分钟内发布预警信息。</w:t>
      </w:r>
    </w:p>
    <w:p w14:paraId="50B3E602">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应急协调：接到预警后30分钟内启动应急处置流程，协调调度巡查力量。</w:t>
      </w:r>
    </w:p>
    <w:p w14:paraId="74087527">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现场溯源：对周边工业企业、餐饮油烟、工地扬尘等污染源进行动态排查，并记录归档（含问题描述、传感器浓度、现场照片、排查人员）。</w:t>
      </w:r>
    </w:p>
    <w:p w14:paraId="733D1E0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闭环管理：跟踪问题整改进展，形成“预警-排查-处置-反馈”闭环。</w:t>
      </w:r>
    </w:p>
    <w:p w14:paraId="1DF1316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（二）多维度数据分析服务</w:t>
      </w:r>
    </w:p>
    <w:p w14:paraId="73DB501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单次污染事件分析：针对污染物浓度异常高值事件，结合雷达扫描数据、微站监测数据、气象数据（风速、风向、湿度）及现场排查结果，解析污染成因（如区域传输、企业排放、扬尘贡献、VOCs泄漏等），2小时内编制单次事件污染分析报告，明确影响范围及跨站点协同处置建议。</w:t>
      </w:r>
    </w:p>
    <w:p w14:paraId="57AA1EE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2．综合分析：</w:t>
      </w:r>
    </w:p>
    <w:p w14:paraId="293A3EA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月/年度报告：按月/年统计污染物月均/年均浓度、全省排名及同比/环比变化，结合多源数据（走航、飞航、在线监控等），利用扩散模型分析污染扩散路径及传输影响，识别重点污染源及跨区域管控薄弱环节，提出针对性治理建议，形成月度/年度综合分析报告。</w:t>
      </w:r>
    </w:p>
    <w:p w14:paraId="45C7F1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（三）后勤及配套保障服务</w:t>
      </w:r>
    </w:p>
    <w:p w14:paraId="49B603B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承担新北区联防联控指挥部日常相关费用。</w:t>
      </w:r>
    </w:p>
    <w:p w14:paraId="290E25B2">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（四）餐饮油烟及VOCs在线监测设备安装及运维</w:t>
      </w:r>
    </w:p>
    <w:p w14:paraId="067546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在联防联控指挥部周边餐饮聚集区（商业综合体、夜市街区）选取不少于2家大型餐饮单位，安装具备PM2.5、非甲烷总烃（NMHC）监测功能的在线监测设备，包含1次设备挪点位服务。</w:t>
      </w:r>
    </w:p>
    <w:p w14:paraId="09201968">
      <w:pPr>
        <w:keepNext w:val="0"/>
        <w:keepLines w:val="0"/>
        <w:pageBreakBefore w:val="0"/>
        <w:widowControl w:val="0"/>
        <w:kinsoku/>
        <w:wordWrap/>
        <w:overflowPunct/>
        <w:topLinePunct w:val="0"/>
        <w:autoSpaceDE/>
        <w:autoSpaceDN/>
        <w:bidi w:val="0"/>
        <w:adjustRightInd/>
        <w:snapToGrid w:val="0"/>
        <w:spacing w:line="460" w:lineRule="exact"/>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四、服务设备及技术要求</w:t>
      </w:r>
    </w:p>
    <w:p w14:paraId="21D9343E">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数据分析能力：供应商需具备强大的大数据分析能力，熟练运用各类大气污染模型，能够高效整合多站点、多源监测数据（含国控站、省控站、微站、走航/飞航数据等），开展跨区域污染溯源研判、污染传输路径分析及污染源贡献量化评估，为管控决策提供科学支撑。</w:t>
      </w:r>
    </w:p>
    <w:p w14:paraId="34B295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现场巡查设备：配备手持式VOCs检测仪、便携式颗粒物监测仪等设备，支撑多站点周边现场排查及取证。</w:t>
      </w:r>
    </w:p>
    <w:p w14:paraId="6EA27A4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在线监测设备：餐饮油烟及VOCs监测设备需符合国家相关技术标准，监测精度满足《固定污染源废气挥发性有机物监测技术规范》《饮食业油烟排放标准》等要求。</w:t>
      </w:r>
    </w:p>
    <w:p w14:paraId="1492AE2D">
      <w:pPr>
        <w:keepNext w:val="0"/>
        <w:keepLines w:val="0"/>
        <w:pageBreakBefore w:val="0"/>
        <w:widowControl w:val="0"/>
        <w:kinsoku/>
        <w:wordWrap/>
        <w:overflowPunct/>
        <w:topLinePunct w:val="0"/>
        <w:autoSpaceDE/>
        <w:autoSpaceDN/>
        <w:bidi w:val="0"/>
        <w:adjustRightInd/>
        <w:snapToGrid w:val="0"/>
        <w:spacing w:line="460" w:lineRule="exact"/>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五、验收标准</w:t>
      </w:r>
      <w:r>
        <w:rPr>
          <w:rFonts w:hint="eastAsia" w:ascii="宋体" w:hAnsi="宋体" w:cs="宋体"/>
          <w:b w:val="0"/>
          <w:bCs w:val="0"/>
          <w:color w:val="auto"/>
          <w:sz w:val="24"/>
          <w:szCs w:val="24"/>
          <w:highlight w:val="none"/>
          <w:lang w:val="en-US" w:eastAsia="zh-CN"/>
        </w:rPr>
        <w:t xml:space="preserve"> </w:t>
      </w:r>
    </w:p>
    <w:p w14:paraId="55400612">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1.半年度/年度报告需包含：数据完整性≥95%、模型分析准确率≥90%、污染源定位误差≤</w:t>
      </w:r>
      <w:bookmarkStart w:id="660" w:name="_GoBack"/>
      <w:bookmarkEnd w:id="660"/>
      <w:r>
        <w:rPr>
          <w:rFonts w:hint="eastAsia" w:ascii="宋体" w:hAnsi="宋体" w:cs="宋体"/>
          <w:b w:val="0"/>
          <w:bCs w:val="0"/>
          <w:color w:val="auto"/>
          <w:sz w:val="24"/>
          <w:szCs w:val="24"/>
          <w:highlight w:val="none"/>
          <w:lang w:val="en-US" w:eastAsia="zh-CN"/>
        </w:rPr>
        <w:t xml:space="preserve">500米、整改闭环率≥90%；  </w:t>
      </w:r>
    </w:p>
    <w:p w14:paraId="2FD2DAA7">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2.明确知识产权归属：所有分析报告、模型成果归采购人所有；</w:t>
      </w:r>
    </w:p>
    <w:p w14:paraId="2C5A29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3.补充数据安全要求：涉及国控站数据，应要求供应商签署保密协议，符合《数据安全法》；</w:t>
      </w:r>
    </w:p>
    <w:p w14:paraId="229865E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4.设备运维部分单列技术参数：在线监测设备应列出具体型号或等效技术指标（如量程、精度、通讯协议等），避免品牌倾向。</w:t>
      </w:r>
    </w:p>
    <w:p w14:paraId="335EC8F5">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en-US" w:eastAsia="zh-CN"/>
        </w:rPr>
        <w:t>、</w:t>
      </w:r>
      <w:r>
        <w:rPr>
          <w:rFonts w:hint="eastAsia" w:ascii="宋体" w:hAnsi="宋体"/>
          <w:b/>
          <w:sz w:val="24"/>
          <w:lang w:val="en-US" w:eastAsia="zh-CN"/>
        </w:rPr>
        <w:t>服务成果</w:t>
      </w:r>
    </w:p>
    <w:p w14:paraId="7D541C79">
      <w:pPr>
        <w:pStyle w:val="447"/>
        <w:keepNext w:val="0"/>
        <w:keepLines w:val="0"/>
        <w:pageBreakBefore w:val="0"/>
        <w:widowControl w:val="0"/>
        <w:kinsoku/>
        <w:wordWrap/>
        <w:overflowPunct/>
        <w:topLinePunct w:val="0"/>
        <w:autoSpaceDE/>
        <w:autoSpaceDN/>
        <w:bidi w:val="0"/>
        <w:adjustRightInd w:val="0"/>
        <w:snapToGrid/>
        <w:spacing w:line="360" w:lineRule="auto"/>
        <w:ind w:firstLine="480"/>
        <w:contextualSpacing/>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1．单次污染事件分析报告。</w:t>
      </w:r>
    </w:p>
    <w:p w14:paraId="1BF746AA">
      <w:pPr>
        <w:pStyle w:val="447"/>
        <w:keepNext w:val="0"/>
        <w:keepLines w:val="0"/>
        <w:pageBreakBefore w:val="0"/>
        <w:widowControl w:val="0"/>
        <w:kinsoku/>
        <w:wordWrap/>
        <w:overflowPunct/>
        <w:topLinePunct w:val="0"/>
        <w:autoSpaceDE/>
        <w:autoSpaceDN/>
        <w:bidi w:val="0"/>
        <w:adjustRightInd w:val="0"/>
        <w:snapToGrid/>
        <w:spacing w:line="360" w:lineRule="auto"/>
        <w:ind w:firstLine="480"/>
        <w:contextualSpacing/>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2．半年度及年度综合分析报告。</w:t>
      </w:r>
    </w:p>
    <w:p w14:paraId="36E29583">
      <w:pPr>
        <w:pStyle w:val="447"/>
        <w:keepNext w:val="0"/>
        <w:keepLines w:val="0"/>
        <w:pageBreakBefore w:val="0"/>
        <w:widowControl w:val="0"/>
        <w:kinsoku/>
        <w:wordWrap/>
        <w:overflowPunct/>
        <w:topLinePunct w:val="0"/>
        <w:autoSpaceDE/>
        <w:autoSpaceDN/>
        <w:bidi w:val="0"/>
        <w:adjustRightInd w:val="0"/>
        <w:snapToGrid/>
        <w:spacing w:line="360" w:lineRule="auto"/>
        <w:ind w:firstLine="480"/>
        <w:contextualSpacing/>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3．动态更新的污染源排查清单及整改闭环记录。</w:t>
      </w:r>
    </w:p>
    <w:p w14:paraId="2D209FC5">
      <w:pPr>
        <w:pStyle w:val="447"/>
        <w:keepNext w:val="0"/>
        <w:keepLines w:val="0"/>
        <w:pageBreakBefore w:val="0"/>
        <w:widowControl w:val="0"/>
        <w:kinsoku/>
        <w:wordWrap/>
        <w:overflowPunct/>
        <w:topLinePunct w:val="0"/>
        <w:autoSpaceDE/>
        <w:autoSpaceDN/>
        <w:bidi w:val="0"/>
        <w:adjustRightInd w:val="0"/>
        <w:snapToGrid/>
        <w:spacing w:line="360" w:lineRule="auto"/>
        <w:ind w:firstLine="480"/>
        <w:contextualSpacing/>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4．餐饮油烟在线监测数据及运维记录。</w:t>
      </w:r>
    </w:p>
    <w:p w14:paraId="6DC2809C">
      <w:pPr>
        <w:pStyle w:val="307"/>
        <w:keepNext w:val="0"/>
        <w:keepLines w:val="0"/>
        <w:pageBreakBefore w:val="0"/>
        <w:widowControl w:val="0"/>
        <w:spacing w:line="360" w:lineRule="auto"/>
        <w:ind w:left="0" w:firstLine="0"/>
        <w:contextualSpacing/>
        <w:jc w:val="left"/>
        <w:outlineLvl w:val="9"/>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、其他要求</w:t>
      </w:r>
    </w:p>
    <w:p w14:paraId="2C89516B">
      <w:pPr>
        <w:pStyle w:val="307"/>
        <w:keepNext w:val="0"/>
        <w:keepLines w:val="0"/>
        <w:pageBreakBefore w:val="0"/>
        <w:widowControl w:val="0"/>
        <w:spacing w:line="360" w:lineRule="auto"/>
        <w:ind w:firstLine="480"/>
        <w:contextualSpacing/>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按照《政府采购促进中小企业发展管理办法》（财库〔2020〕46号）的相关要求，采购人应当面向中小企业预留采购份额，本项目面向中小企业预留份额</w:t>
      </w:r>
      <w:r>
        <w:rPr>
          <w:rFonts w:hint="eastAsia" w:ascii="宋体" w:hAnsi="宋体" w:eastAsia="宋体" w:cs="宋体"/>
          <w:color w:val="auto"/>
          <w:sz w:val="24"/>
          <w:szCs w:val="24"/>
          <w:highlight w:val="none"/>
          <w:u w:val="single"/>
          <w:lang w:val="en-US" w:eastAsia="zh-CN"/>
        </w:rPr>
        <w:t xml:space="preserve"> 100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A57E810">
      <w:pPr>
        <w:keepNext w:val="0"/>
        <w:keepLines w:val="0"/>
        <w:pageBreakBefore w:val="0"/>
        <w:widowControl w:val="0"/>
        <w:spacing w:line="360" w:lineRule="auto"/>
        <w:ind w:right="210"/>
        <w:jc w:val="left"/>
        <w:outlineLvl w:val="9"/>
        <w:rPr>
          <w:rFonts w:hint="eastAsia" w:ascii="宋体" w:hAnsi="宋体" w:eastAsia="宋体" w:cs="宋体"/>
          <w:b/>
          <w:color w:val="auto"/>
          <w:sz w:val="24"/>
          <w:szCs w:val="24"/>
          <w:highlight w:val="none"/>
          <w:u w:val="none"/>
        </w:rPr>
      </w:pPr>
      <w:r>
        <w:rPr>
          <w:rFonts w:hint="eastAsia" w:ascii="宋体" w:hAnsi="宋体" w:cs="宋体"/>
          <w:b/>
          <w:color w:val="auto"/>
          <w:sz w:val="24"/>
          <w:szCs w:val="24"/>
          <w:highlight w:val="none"/>
          <w:u w:val="none"/>
          <w:lang w:val="en-US" w:eastAsia="zh-CN"/>
        </w:rPr>
        <w:t>八</w:t>
      </w:r>
      <w:r>
        <w:rPr>
          <w:rFonts w:hint="eastAsia" w:ascii="宋体" w:hAnsi="宋体" w:eastAsia="宋体" w:cs="宋体"/>
          <w:b/>
          <w:color w:val="auto"/>
          <w:sz w:val="24"/>
          <w:szCs w:val="24"/>
          <w:highlight w:val="none"/>
          <w:u w:val="none"/>
        </w:rPr>
        <w:t>、报价方式</w:t>
      </w:r>
    </w:p>
    <w:p w14:paraId="062FB131">
      <w:pPr>
        <w:keepNext w:val="0"/>
        <w:keepLines w:val="0"/>
        <w:pageBreakBefore w:val="0"/>
        <w:widowControl w:val="0"/>
        <w:kinsoku/>
        <w:wordWrap/>
        <w:overflowPunct/>
        <w:topLinePunct w:val="0"/>
        <w:autoSpaceDE/>
        <w:autoSpaceDN/>
        <w:bidi w:val="0"/>
        <w:adjustRightInd/>
        <w:snapToGrid w:val="0"/>
        <w:spacing w:line="360" w:lineRule="auto"/>
        <w:ind w:firstLine="488" w:firstLineChars="200"/>
        <w:textAlignment w:val="auto"/>
        <w:outlineLvl w:val="9"/>
        <w:rPr>
          <w:rFonts w:hint="eastAsia" w:ascii="宋体" w:hAnsi="宋体" w:eastAsia="宋体" w:cs="宋体"/>
          <w:color w:val="auto"/>
          <w:spacing w:val="2"/>
          <w:sz w:val="24"/>
          <w:szCs w:val="24"/>
          <w:highlight w:val="none"/>
          <w:u w:val="none"/>
          <w:lang w:val="en-US" w:eastAsia="zh-CN"/>
        </w:rPr>
      </w:pPr>
      <w:r>
        <w:rPr>
          <w:rFonts w:hint="eastAsia" w:ascii="宋体" w:hAnsi="宋体" w:eastAsia="宋体" w:cs="宋体"/>
          <w:color w:val="auto"/>
          <w:spacing w:val="2"/>
          <w:sz w:val="24"/>
          <w:szCs w:val="24"/>
          <w:highlight w:val="none"/>
          <w:u w:val="none"/>
          <w:lang w:val="en-US" w:eastAsia="zh-CN"/>
        </w:rPr>
        <w:t>本项目报价为</w:t>
      </w:r>
      <w:r>
        <w:rPr>
          <w:rFonts w:hint="eastAsia" w:ascii="宋体" w:hAnsi="宋体" w:eastAsia="宋体" w:cs="宋体"/>
          <w:b/>
          <w:bCs/>
          <w:color w:val="auto"/>
          <w:spacing w:val="2"/>
          <w:sz w:val="24"/>
          <w:szCs w:val="24"/>
          <w:highlight w:val="none"/>
          <w:u w:val="none"/>
          <w:lang w:val="en-US" w:eastAsia="zh-CN"/>
        </w:rPr>
        <w:t>固定</w:t>
      </w:r>
      <w:r>
        <w:rPr>
          <w:rFonts w:hint="eastAsia" w:ascii="宋体" w:hAnsi="宋体" w:cs="宋体"/>
          <w:b/>
          <w:bCs/>
          <w:color w:val="auto"/>
          <w:spacing w:val="2"/>
          <w:sz w:val="24"/>
          <w:szCs w:val="24"/>
          <w:highlight w:val="none"/>
          <w:u w:val="none"/>
          <w:lang w:val="en-US" w:eastAsia="zh-CN"/>
        </w:rPr>
        <w:t>总</w:t>
      </w:r>
      <w:r>
        <w:rPr>
          <w:rFonts w:hint="eastAsia" w:ascii="宋体" w:hAnsi="宋体" w:eastAsia="宋体" w:cs="宋体"/>
          <w:b/>
          <w:bCs/>
          <w:color w:val="auto"/>
          <w:spacing w:val="2"/>
          <w:sz w:val="24"/>
          <w:szCs w:val="24"/>
          <w:highlight w:val="none"/>
          <w:u w:val="none"/>
          <w:lang w:val="en-US" w:eastAsia="zh-CN"/>
        </w:rPr>
        <w:t>价</w:t>
      </w:r>
      <w:r>
        <w:rPr>
          <w:rFonts w:hint="eastAsia" w:ascii="宋体" w:hAnsi="宋体" w:eastAsia="宋体" w:cs="宋体"/>
          <w:color w:val="auto"/>
          <w:spacing w:val="2"/>
          <w:sz w:val="24"/>
          <w:szCs w:val="24"/>
          <w:highlight w:val="none"/>
          <w:u w:val="none"/>
          <w:lang w:val="en-US" w:eastAsia="zh-CN"/>
        </w:rPr>
        <w:t>，磋商报价应包括竞争性磋商文件所确定的采购范围相应服务的提供、人员（包括工资和补贴）、</w:t>
      </w:r>
      <w:r>
        <w:rPr>
          <w:rFonts w:hint="eastAsia" w:ascii="宋体" w:hAnsi="宋体" w:cs="宋体"/>
          <w:color w:val="auto"/>
          <w:spacing w:val="2"/>
          <w:sz w:val="24"/>
          <w:szCs w:val="24"/>
          <w:highlight w:val="none"/>
          <w:u w:val="none"/>
          <w:lang w:val="en-US" w:eastAsia="zh-CN"/>
        </w:rPr>
        <w:t>设备、</w:t>
      </w:r>
      <w:r>
        <w:rPr>
          <w:rFonts w:hint="eastAsia" w:ascii="宋体" w:hAnsi="宋体" w:eastAsia="宋体" w:cs="宋体"/>
          <w:color w:val="auto"/>
          <w:spacing w:val="2"/>
          <w:sz w:val="24"/>
          <w:szCs w:val="24"/>
          <w:highlight w:val="none"/>
          <w:u w:val="none"/>
          <w:lang w:val="en-US" w:eastAsia="zh-CN"/>
        </w:rPr>
        <w:t>办公场所及设施、保险、劳保、管理、各种税费、利润、税金、政策性文件规定及合同包含的所有风险、责任等各项应有费用，以及为完成该项服务项目所涉及到的一切相关费用，采购人不再支付其他任何费用。</w:t>
      </w:r>
    </w:p>
    <w:p w14:paraId="6CA794F7">
      <w:pPr>
        <w:pStyle w:val="307"/>
        <w:keepNext w:val="0"/>
        <w:keepLines w:val="0"/>
        <w:pageBreakBefore w:val="0"/>
        <w:widowControl w:val="0"/>
        <w:spacing w:line="360" w:lineRule="auto"/>
        <w:ind w:firstLine="480"/>
        <w:contextualSpacing/>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报价货币为人民币，评审时以人民币为准。</w:t>
      </w:r>
    </w:p>
    <w:p w14:paraId="7C4C629C">
      <w:pPr>
        <w:keepNext w:val="0"/>
        <w:keepLines w:val="0"/>
        <w:pageBreakBefore w:val="0"/>
        <w:spacing w:line="360" w:lineRule="auto"/>
        <w:ind w:firstLine="488"/>
        <w:outlineLvl w:val="9"/>
        <w:rPr>
          <w:rFonts w:hint="eastAsia" w:ascii="宋体" w:hAnsi="宋体" w:eastAsia="宋体" w:cs="宋体"/>
          <w:color w:val="auto"/>
          <w:spacing w:val="2"/>
          <w:sz w:val="24"/>
          <w:szCs w:val="24"/>
          <w:highlight w:val="none"/>
          <w:u w:val="none"/>
          <w:lang w:val="en-US" w:eastAsia="zh-CN"/>
        </w:rPr>
      </w:pPr>
    </w:p>
    <w:p w14:paraId="6B2DACFC">
      <w:pPr>
        <w:keepNext w:val="0"/>
        <w:keepLines w:val="0"/>
        <w:pageBreakBefore w:val="0"/>
        <w:spacing w:line="360" w:lineRule="auto"/>
        <w:ind w:firstLine="480"/>
        <w:outlineLvl w:val="9"/>
        <w:rPr>
          <w:rFonts w:hint="eastAsia" w:ascii="宋体" w:hAnsi="宋体" w:eastAsia="宋体" w:cs="宋体"/>
          <w:color w:val="auto"/>
          <w:sz w:val="24"/>
          <w:szCs w:val="24"/>
          <w:highlight w:val="none"/>
          <w:lang w:val="en-US" w:eastAsia="zh-CN"/>
        </w:rPr>
        <w:sectPr>
          <w:pgSz w:w="11906" w:h="16838"/>
          <w:pgMar w:top="1440" w:right="1800" w:bottom="1440" w:left="1800" w:header="851" w:footer="992" w:gutter="0"/>
          <w:pgNumType w:fmt="decimal"/>
          <w:cols w:space="1701" w:num="1"/>
          <w:docGrid w:linePitch="360" w:charSpace="0"/>
        </w:sectPr>
      </w:pPr>
    </w:p>
    <w:p w14:paraId="47E14519">
      <w:pPr>
        <w:keepNext w:val="0"/>
        <w:keepLines w:val="0"/>
        <w:pageBreakBefore w:val="0"/>
        <w:widowControl w:val="0"/>
        <w:spacing w:line="360" w:lineRule="auto"/>
        <w:ind w:firstLine="723"/>
        <w:jc w:val="center"/>
        <w:outlineLvl w:val="0"/>
        <w:rPr>
          <w:b/>
          <w:color w:val="auto"/>
          <w:sz w:val="36"/>
          <w:szCs w:val="36"/>
          <w:highlight w:val="none"/>
        </w:rPr>
      </w:pPr>
      <w:bookmarkStart w:id="610" w:name="_Toc104818929"/>
      <w:bookmarkStart w:id="611" w:name="_Toc20525"/>
      <w:r>
        <w:rPr>
          <w:b/>
          <w:color w:val="auto"/>
          <w:sz w:val="36"/>
          <w:szCs w:val="36"/>
          <w:highlight w:val="none"/>
        </w:rPr>
        <w:t>第五章   合同草案条款</w:t>
      </w:r>
      <w:bookmarkEnd w:id="610"/>
      <w:bookmarkEnd w:id="611"/>
    </w:p>
    <w:p w14:paraId="092F0E3B">
      <w:pPr>
        <w:pStyle w:val="20"/>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4"/>
          <w:szCs w:val="24"/>
          <w:highlight w:val="none"/>
        </w:rPr>
      </w:pPr>
      <w:bookmarkStart w:id="612" w:name="_Toc104818930"/>
      <w:r>
        <w:rPr>
          <w:rFonts w:hint="eastAsia" w:ascii="宋体" w:hAnsi="宋体" w:cs="宋体"/>
          <w:b/>
          <w:color w:val="auto"/>
          <w:sz w:val="24"/>
          <w:szCs w:val="24"/>
          <w:highlight w:val="none"/>
          <w:lang w:val="en-US" w:eastAsia="zh-CN"/>
        </w:rPr>
        <w:t>采购</w:t>
      </w:r>
      <w:r>
        <w:rPr>
          <w:rFonts w:hint="eastAsia" w:ascii="宋体" w:hAnsi="宋体" w:eastAsia="宋体" w:cs="宋体"/>
          <w:b/>
          <w:color w:val="auto"/>
          <w:sz w:val="24"/>
          <w:szCs w:val="24"/>
          <w:highlight w:val="none"/>
          <w:lang w:val="zh-CN"/>
        </w:rPr>
        <w:t>人（以下称甲</w:t>
      </w:r>
      <w:r>
        <w:rPr>
          <w:rFonts w:hint="eastAsia" w:ascii="宋体" w:hAnsi="宋体" w:eastAsia="宋体" w:cs="宋体"/>
          <w:b/>
          <w:color w:val="auto"/>
          <w:sz w:val="24"/>
          <w:szCs w:val="24"/>
          <w:highlight w:val="none"/>
        </w:rPr>
        <w:t>方）:</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常州高新技术产业开发区（新北）生态环境局</w:t>
      </w:r>
      <w:r>
        <w:rPr>
          <w:rFonts w:hint="eastAsia" w:ascii="宋体" w:hAnsi="宋体" w:eastAsia="宋体" w:cs="宋体"/>
          <w:color w:val="auto"/>
          <w:sz w:val="24"/>
          <w:szCs w:val="24"/>
          <w:highlight w:val="none"/>
          <w:u w:val="single"/>
        </w:rPr>
        <w:t xml:space="preserve"> </w:t>
      </w:r>
    </w:p>
    <w:p w14:paraId="19E31B49">
      <w:pPr>
        <w:pStyle w:val="20"/>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4"/>
          <w:szCs w:val="24"/>
          <w:highlight w:val="none"/>
          <w:u w:val="single"/>
        </w:rPr>
      </w:pPr>
      <w:r>
        <w:rPr>
          <w:rFonts w:hint="eastAsia" w:ascii="宋体" w:hAnsi="宋体" w:cs="宋体"/>
          <w:b/>
          <w:color w:val="auto"/>
          <w:sz w:val="24"/>
          <w:szCs w:val="24"/>
          <w:highlight w:val="none"/>
          <w:lang w:val="en-US" w:eastAsia="zh-CN"/>
        </w:rPr>
        <w:t>成交供应商</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zh-CN"/>
        </w:rPr>
        <w:t>以下称</w:t>
      </w:r>
      <w:r>
        <w:rPr>
          <w:rFonts w:hint="eastAsia" w:ascii="宋体" w:hAnsi="宋体" w:eastAsia="宋体" w:cs="宋体"/>
          <w:b/>
          <w:color w:val="auto"/>
          <w:sz w:val="24"/>
          <w:szCs w:val="24"/>
          <w:highlight w:val="none"/>
        </w:rPr>
        <w:t>乙方）:</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p>
    <w:p w14:paraId="39BD78D0">
      <w:pPr>
        <w:pStyle w:val="6"/>
        <w:keepNext w:val="0"/>
        <w:keepLines w:val="0"/>
        <w:pageBreakBefore w:val="0"/>
        <w:widowControl w:val="0"/>
        <w:kinsoku/>
        <w:wordWrap/>
        <w:overflowPunct/>
        <w:topLinePunct w:val="0"/>
        <w:bidi w:val="0"/>
        <w:spacing w:line="360" w:lineRule="auto"/>
        <w:ind w:firstLine="960" w:firstLineChars="4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625C0B2E">
      <w:pPr>
        <w:pStyle w:val="6"/>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xml:space="preserve">        </w:t>
      </w:r>
    </w:p>
    <w:p w14:paraId="36FCB583">
      <w:pPr>
        <w:pStyle w:val="6"/>
        <w:keepNext w:val="0"/>
        <w:keepLines w:val="0"/>
        <w:pageBreakBefore w:val="0"/>
        <w:widowControl w:val="0"/>
        <w:kinsoku/>
        <w:wordWrap/>
        <w:overflowPunct/>
        <w:topLinePunct w:val="0"/>
        <w:bidi w:val="0"/>
        <w:spacing w:line="360" w:lineRule="auto"/>
        <w:jc w:val="righ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合同时间: </w:t>
      </w:r>
      <w:r>
        <w:rPr>
          <w:rFonts w:hint="eastAsia" w:ascii="宋体" w:hAnsi="宋体" w:eastAsia="宋体" w:cs="宋体"/>
          <w:color w:val="auto"/>
          <w:sz w:val="24"/>
          <w:szCs w:val="24"/>
          <w:highlight w:val="none"/>
          <w:u w:val="single"/>
        </w:rPr>
        <w:t xml:space="preserve">    年   月   日</w:t>
      </w:r>
    </w:p>
    <w:p w14:paraId="3327C916">
      <w:pPr>
        <w:pStyle w:val="20"/>
        <w:keepNext w:val="0"/>
        <w:keepLines w:val="0"/>
        <w:pageBreakBefore w:val="0"/>
        <w:kinsoku/>
        <w:wordWrap/>
        <w:overflowPunct/>
        <w:topLinePunct w:val="0"/>
        <w:bidi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甲乙双方依据</w:t>
      </w:r>
      <w:r>
        <w:rPr>
          <w:rFonts w:hint="eastAsia" w:ascii="宋体" w:hAnsi="宋体" w:eastAsia="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以及有关法律、法规的规定，经协商一致，订立本合同，以便共同遵守。</w:t>
      </w:r>
    </w:p>
    <w:p w14:paraId="16249F45">
      <w:pPr>
        <w:pStyle w:val="20"/>
        <w:keepNext w:val="0"/>
        <w:keepLines w:val="0"/>
        <w:pageBreakBefore w:val="0"/>
        <w:kinsoku/>
        <w:wordWrap/>
        <w:overflowPunct/>
        <w:topLinePunct w:val="0"/>
        <w:bidi w:val="0"/>
        <w:spacing w:line="360" w:lineRule="auto"/>
        <w:ind w:firstLine="487" w:firstLineChars="202"/>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 合同标的</w:t>
      </w:r>
    </w:p>
    <w:p w14:paraId="122B462A">
      <w:pPr>
        <w:keepNext w:val="0"/>
        <w:keepLines w:val="0"/>
        <w:pageBreakBefore w:val="0"/>
        <w:widowControl/>
        <w:kinsoku/>
        <w:wordWrap/>
        <w:overflowPunct/>
        <w:topLinePunct w:val="0"/>
        <w:bidi w:val="0"/>
        <w:adjustRightInd w:val="0"/>
        <w:spacing w:line="360" w:lineRule="auto"/>
        <w:ind w:firstLine="484" w:firstLineChars="202"/>
        <w:jc w:val="left"/>
        <w:textAlignment w:val="auto"/>
        <w:outlineLvl w:val="9"/>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乙方根据甲方需求提供下列服务：</w:t>
      </w:r>
      <w:r>
        <w:rPr>
          <w:rFonts w:hint="eastAsia" w:ascii="宋体" w:hAnsi="宋体" w:eastAsia="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新北区联防联控指挥部保障项目</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rPr>
        <w:t>系指根据合同规定乙方须承担与服务有关的所有辅助服务</w:t>
      </w:r>
      <w:r>
        <w:rPr>
          <w:rFonts w:hint="eastAsia" w:ascii="宋体" w:hAnsi="宋体" w:eastAsia="宋体" w:cs="宋体"/>
          <w:color w:val="auto"/>
          <w:kern w:val="0"/>
          <w:sz w:val="24"/>
          <w:szCs w:val="24"/>
          <w:highlight w:val="none"/>
          <w:lang w:val="zh-CN"/>
        </w:rPr>
        <w:t>。</w:t>
      </w:r>
    </w:p>
    <w:p w14:paraId="066B027A">
      <w:pPr>
        <w:pStyle w:val="20"/>
        <w:keepNext w:val="0"/>
        <w:keepLines w:val="0"/>
        <w:pageBreakBefore w:val="0"/>
        <w:kinsoku/>
        <w:wordWrap/>
        <w:overflowPunct/>
        <w:topLinePunct w:val="0"/>
        <w:bidi w:val="0"/>
        <w:spacing w:line="360" w:lineRule="auto"/>
        <w:ind w:firstLine="487" w:firstLineChars="202"/>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 合同价格</w:t>
      </w:r>
    </w:p>
    <w:p w14:paraId="2E8CFA2F">
      <w:pPr>
        <w:pStyle w:val="20"/>
        <w:keepNext w:val="0"/>
        <w:keepLines w:val="0"/>
        <w:pageBreakBefore w:val="0"/>
        <w:kinsoku/>
        <w:wordWrap/>
        <w:overflowPunct/>
        <w:topLinePunct w:val="0"/>
        <w:bidi w:val="0"/>
        <w:spacing w:line="360" w:lineRule="auto"/>
        <w:ind w:firstLine="487" w:firstLineChars="202"/>
        <w:jc w:val="left"/>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签约合同价（人民币，下同）</w:t>
      </w:r>
      <w:r>
        <w:rPr>
          <w:rFonts w:hint="eastAsia" w:ascii="宋体" w:hAnsi="宋体" w:eastAsia="宋体" w:cs="宋体"/>
          <w:b/>
          <w:color w:val="auto"/>
          <w:sz w:val="24"/>
          <w:szCs w:val="24"/>
          <w:highlight w:val="none"/>
          <w:u w:val="single"/>
        </w:rPr>
        <w:t xml:space="preserve">：    元（小写   </w:t>
      </w:r>
      <w:r>
        <w:rPr>
          <w:rFonts w:hint="eastAsia" w:hAnsi="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元）</w:t>
      </w:r>
      <w:r>
        <w:rPr>
          <w:rFonts w:hint="eastAsia" w:ascii="宋体" w:hAnsi="宋体" w:eastAsia="宋体" w:cs="宋体"/>
          <w:b/>
          <w:color w:val="auto"/>
          <w:sz w:val="24"/>
          <w:szCs w:val="24"/>
          <w:highlight w:val="none"/>
        </w:rPr>
        <w:t>。</w:t>
      </w:r>
    </w:p>
    <w:p w14:paraId="736057A7">
      <w:pPr>
        <w:pStyle w:val="20"/>
        <w:keepNext w:val="0"/>
        <w:keepLines w:val="0"/>
        <w:pageBreakBefore w:val="0"/>
        <w:kinsoku/>
        <w:wordWrap/>
        <w:overflowPunct/>
        <w:topLinePunct w:val="0"/>
        <w:bidi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本合同价</w:t>
      </w:r>
      <w:r>
        <w:rPr>
          <w:rFonts w:hint="eastAsia" w:ascii="宋体" w:hAnsi="宋体" w:eastAsia="宋体" w:cs="宋体"/>
          <w:color w:val="auto"/>
          <w:spacing w:val="2"/>
          <w:sz w:val="24"/>
          <w:szCs w:val="24"/>
          <w:highlight w:val="none"/>
          <w:u w:val="none"/>
          <w:lang w:val="en-US" w:eastAsia="zh-CN"/>
        </w:rPr>
        <w:t>包括竞争性磋商文件所确定的采购范围相应服务的提供、人员（包括工资和补贴）、</w:t>
      </w:r>
      <w:r>
        <w:rPr>
          <w:rFonts w:hint="eastAsia" w:hAnsi="宋体" w:cs="宋体"/>
          <w:color w:val="auto"/>
          <w:spacing w:val="2"/>
          <w:sz w:val="24"/>
          <w:szCs w:val="24"/>
          <w:highlight w:val="none"/>
          <w:u w:val="none"/>
          <w:lang w:val="en-US" w:eastAsia="zh-CN"/>
        </w:rPr>
        <w:t>设备、</w:t>
      </w:r>
      <w:r>
        <w:rPr>
          <w:rFonts w:hint="eastAsia" w:ascii="宋体" w:hAnsi="宋体" w:eastAsia="宋体" w:cs="宋体"/>
          <w:color w:val="auto"/>
          <w:spacing w:val="2"/>
          <w:sz w:val="24"/>
          <w:szCs w:val="24"/>
          <w:highlight w:val="none"/>
          <w:u w:val="none"/>
          <w:lang w:val="en-US" w:eastAsia="zh-CN"/>
        </w:rPr>
        <w:t>办公场所及设施、保险、劳保、管理、各种税费、利润、税金、政策性文件规定及合同包含的所有风险、责任等各项应有费用，以及为完成该项服务项目所涉及到的一切相关费用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不再支付其他任何费用。</w:t>
      </w:r>
    </w:p>
    <w:p w14:paraId="1F5B7AF2">
      <w:pPr>
        <w:pStyle w:val="20"/>
        <w:keepNext w:val="0"/>
        <w:keepLines w:val="0"/>
        <w:pageBreakBefore w:val="0"/>
        <w:kinsoku/>
        <w:wordWrap/>
        <w:overflowPunct/>
        <w:topLinePunct w:val="0"/>
        <w:bidi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本合同总价款还包含乙方应当提供的伴随服务/售后服务费用。</w:t>
      </w:r>
    </w:p>
    <w:p w14:paraId="072773AB">
      <w:pPr>
        <w:pStyle w:val="20"/>
        <w:keepNext w:val="0"/>
        <w:keepLines w:val="0"/>
        <w:pageBreakBefore w:val="0"/>
        <w:kinsoku/>
        <w:wordWrap/>
        <w:overflowPunct/>
        <w:topLinePunct w:val="0"/>
        <w:bidi w:val="0"/>
        <w:spacing w:line="360" w:lineRule="auto"/>
        <w:ind w:firstLine="487" w:firstLineChars="202"/>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hAnsi="宋体" w:cs="宋体"/>
          <w:b/>
          <w:color w:val="auto"/>
          <w:sz w:val="24"/>
          <w:szCs w:val="24"/>
          <w:highlight w:val="none"/>
          <w:lang w:val="en-US" w:eastAsia="zh-CN"/>
        </w:rPr>
        <w:t>三</w:t>
      </w:r>
      <w:r>
        <w:rPr>
          <w:rFonts w:hint="eastAsia" w:ascii="宋体" w:hAnsi="宋体" w:eastAsia="宋体" w:cs="宋体"/>
          <w:b/>
          <w:color w:val="auto"/>
          <w:sz w:val="24"/>
          <w:szCs w:val="24"/>
          <w:highlight w:val="none"/>
        </w:rPr>
        <w:t>条 组成本合同的有关文件</w:t>
      </w:r>
    </w:p>
    <w:p w14:paraId="5C154FA0">
      <w:pPr>
        <w:pStyle w:val="20"/>
        <w:keepNext w:val="0"/>
        <w:keepLines w:val="0"/>
        <w:pageBreakBefore w:val="0"/>
        <w:kinsoku/>
        <w:wordWrap/>
        <w:overflowPunct/>
        <w:topLinePunct w:val="0"/>
        <w:bidi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下列与本次采购活动有关的文件及有关附件是本合同不可分割的组成部分，与本合同具有同等法律效力，这些文件包括但不限于：</w:t>
      </w:r>
    </w:p>
    <w:p w14:paraId="325837A8">
      <w:pPr>
        <w:pStyle w:val="20"/>
        <w:keepNext w:val="0"/>
        <w:keepLines w:val="0"/>
        <w:pageBreakBefore w:val="0"/>
        <w:kinsoku/>
        <w:wordWrap/>
        <w:overflowPunct/>
        <w:topLinePunct w:val="0"/>
        <w:bidi w:val="0"/>
        <w:spacing w:line="360" w:lineRule="auto"/>
        <w:ind w:firstLine="484" w:firstLineChars="202"/>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（1）竞争性磋商文件（编号）</w:t>
      </w:r>
      <w:r>
        <w:rPr>
          <w:rFonts w:hint="eastAsia" w:hAnsi="宋体" w:eastAsia="宋体" w:cs="宋体"/>
          <w:color w:val="auto"/>
          <w:sz w:val="24"/>
          <w:szCs w:val="24"/>
          <w:highlight w:val="none"/>
          <w:lang w:eastAsia="zh-CN"/>
        </w:rPr>
        <w:t>；</w:t>
      </w:r>
    </w:p>
    <w:p w14:paraId="68686BC7">
      <w:pPr>
        <w:pStyle w:val="20"/>
        <w:keepNext w:val="0"/>
        <w:keepLines w:val="0"/>
        <w:pageBreakBefore w:val="0"/>
        <w:kinsoku/>
        <w:wordWrap/>
        <w:overflowPunct/>
        <w:topLinePunct w:val="0"/>
        <w:bidi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（2）乙方提供的磋商响应文件；</w:t>
      </w:r>
    </w:p>
    <w:p w14:paraId="3B54522B">
      <w:pPr>
        <w:pStyle w:val="20"/>
        <w:keepNext w:val="0"/>
        <w:keepLines w:val="0"/>
        <w:pageBreakBefore w:val="0"/>
        <w:kinsoku/>
        <w:wordWrap/>
        <w:overflowPunct/>
        <w:topLinePunct w:val="0"/>
        <w:bidi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（3）成交通知书；</w:t>
      </w:r>
    </w:p>
    <w:p w14:paraId="0570F537">
      <w:pPr>
        <w:pStyle w:val="20"/>
        <w:keepNext w:val="0"/>
        <w:keepLines w:val="0"/>
        <w:pageBreakBefore w:val="0"/>
        <w:kinsoku/>
        <w:wordWrap/>
        <w:overflowPunct/>
        <w:topLinePunct w:val="0"/>
        <w:bidi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（4）甲乙双方商定的其他文件等。</w:t>
      </w:r>
    </w:p>
    <w:p w14:paraId="036DE99E">
      <w:pPr>
        <w:keepNext w:val="0"/>
        <w:keepLines w:val="0"/>
        <w:pageBreakBefore w:val="0"/>
        <w:kinsoku/>
        <w:wordWrap/>
        <w:overflowPunct/>
        <w:topLinePunct w:val="0"/>
        <w:bidi w:val="0"/>
        <w:adjustRightInd w:val="0"/>
        <w:snapToGrid w:val="0"/>
        <w:spacing w:line="360" w:lineRule="auto"/>
        <w:ind w:firstLine="487" w:firstLineChars="202"/>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cs="宋体"/>
          <w:b/>
          <w:color w:val="auto"/>
          <w:sz w:val="24"/>
          <w:szCs w:val="24"/>
          <w:highlight w:val="none"/>
          <w:lang w:val="en-US" w:eastAsia="zh-CN"/>
        </w:rPr>
        <w:t>四</w:t>
      </w:r>
      <w:r>
        <w:rPr>
          <w:rFonts w:hint="eastAsia" w:ascii="宋体" w:hAnsi="宋体" w:eastAsia="宋体" w:cs="宋体"/>
          <w:b/>
          <w:color w:val="auto"/>
          <w:sz w:val="24"/>
          <w:szCs w:val="24"/>
          <w:highlight w:val="none"/>
        </w:rPr>
        <w:t>条 合同款结算及支付</w:t>
      </w:r>
    </w:p>
    <w:p w14:paraId="571CD34B">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1.本合同项下所有款项均以人民币支付。</w:t>
      </w:r>
    </w:p>
    <w:p w14:paraId="608BCC99">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2.本合同项下的采购资金由甲方自行支付，乙方向甲方开具发票。</w:t>
      </w:r>
    </w:p>
    <w:p w14:paraId="582B18F2">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结算方式：固定总价。</w:t>
      </w:r>
    </w:p>
    <w:p w14:paraId="48B72F8E">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.付款方式：</w:t>
      </w:r>
      <w:r>
        <w:rPr>
          <w:rFonts w:hint="eastAsia" w:ascii="宋体" w:hAnsi="宋体" w:cs="宋体"/>
          <w:bCs/>
          <w:color w:val="auto"/>
          <w:sz w:val="24"/>
          <w:szCs w:val="24"/>
          <w:lang w:val="en-US" w:eastAsia="zh-CN"/>
        </w:rPr>
        <w:t>合同签订生效、服务开始后，甲方支付合同金额的30%;服务满6个月并提交半年度分析报告后，支付合同金额的30%；服务期满且提交完整的年度综合分析报告及相关成果，经甲方验收合格后，支付合同金额的40%。</w:t>
      </w:r>
    </w:p>
    <w:p w14:paraId="5E392CBF">
      <w:pPr>
        <w:keepNext w:val="0"/>
        <w:keepLines w:val="0"/>
        <w:pageBreakBefore w:val="0"/>
        <w:kinsoku/>
        <w:wordWrap/>
        <w:overflowPunct/>
        <w:topLinePunct w:val="0"/>
        <w:bidi w:val="0"/>
        <w:adjustRightInd w:val="0"/>
        <w:snapToGrid w:val="0"/>
        <w:spacing w:line="360" w:lineRule="auto"/>
        <w:ind w:firstLine="487" w:firstLineChars="202"/>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cs="宋体"/>
          <w:b/>
          <w:color w:val="auto"/>
          <w:sz w:val="24"/>
          <w:szCs w:val="24"/>
          <w:highlight w:val="none"/>
          <w:lang w:val="en-US" w:eastAsia="zh-CN"/>
        </w:rPr>
        <w:t>五</w:t>
      </w:r>
      <w:r>
        <w:rPr>
          <w:rFonts w:hint="eastAsia" w:ascii="宋体" w:hAnsi="宋体" w:eastAsia="宋体" w:cs="宋体"/>
          <w:b/>
          <w:color w:val="auto"/>
          <w:sz w:val="24"/>
          <w:szCs w:val="24"/>
          <w:highlight w:val="none"/>
        </w:rPr>
        <w:t>条 违约责任</w:t>
      </w:r>
    </w:p>
    <w:p w14:paraId="2F3B673C">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1.如乙方不能按约定进行服务的，甲方有权解除合同，同时有权要求乙方按照合同总价5%的标准支付违约金，解除合同的通知自发出之日生效。</w:t>
      </w:r>
    </w:p>
    <w:p w14:paraId="0A0D4F71">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.乙方未按本合同的规定和“服务承诺”提供伴随服务的，甲方有权提前解除本合同，同时乙方应按合同总价款的5%向甲方承担违约责任。</w:t>
      </w:r>
    </w:p>
    <w:p w14:paraId="2D658C56">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278598D7">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.乙方有虚假承诺，或是由于乙方的过错造成合同无法继续履行的，应向甲方支付不少于合同总价30%违约金，若该违约金不足以弥补甲方损失，则应当赔偿甲方所有损失。</w:t>
      </w:r>
    </w:p>
    <w:p w14:paraId="4E6DEB9A">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.其他未尽事宜，以《中华人民共和国民法典》等有关法律法规规定为准，无相关规定的，双方协商解决。</w:t>
      </w:r>
    </w:p>
    <w:p w14:paraId="3EE52DD6">
      <w:pPr>
        <w:keepNext w:val="0"/>
        <w:keepLines w:val="0"/>
        <w:pageBreakBefore w:val="0"/>
        <w:kinsoku/>
        <w:wordWrap/>
        <w:overflowPunct/>
        <w:topLinePunct w:val="0"/>
        <w:bidi w:val="0"/>
        <w:adjustRightInd w:val="0"/>
        <w:snapToGrid w:val="0"/>
        <w:spacing w:line="360" w:lineRule="auto"/>
        <w:ind w:firstLine="487" w:firstLineChars="202"/>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cs="宋体"/>
          <w:b/>
          <w:color w:val="auto"/>
          <w:sz w:val="24"/>
          <w:szCs w:val="24"/>
          <w:highlight w:val="none"/>
          <w:lang w:val="en-US" w:eastAsia="zh-CN"/>
        </w:rPr>
        <w:t>六</w:t>
      </w:r>
      <w:r>
        <w:rPr>
          <w:rFonts w:hint="eastAsia" w:ascii="宋体" w:hAnsi="宋体" w:eastAsia="宋体" w:cs="宋体"/>
          <w:b/>
          <w:color w:val="auto"/>
          <w:sz w:val="24"/>
          <w:szCs w:val="24"/>
          <w:highlight w:val="none"/>
        </w:rPr>
        <w:t>条 合同的变更和终止</w:t>
      </w:r>
    </w:p>
    <w:p w14:paraId="58A33398">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1.本合同一经签订，甲乙双方不得擅自变更、中止或终止合同。</w:t>
      </w:r>
    </w:p>
    <w:p w14:paraId="1689F0A0">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2.除发生法律规定的不能预见、不能避免并不能克服的客观情况外，甲乙双方不得放弃或拒绝履行合同。</w:t>
      </w:r>
    </w:p>
    <w:p w14:paraId="7BA34460">
      <w:pPr>
        <w:keepNext w:val="0"/>
        <w:keepLines w:val="0"/>
        <w:pageBreakBefore w:val="0"/>
        <w:kinsoku/>
        <w:wordWrap/>
        <w:overflowPunct/>
        <w:topLinePunct w:val="0"/>
        <w:bidi w:val="0"/>
        <w:adjustRightInd w:val="0"/>
        <w:snapToGrid w:val="0"/>
        <w:spacing w:line="360" w:lineRule="auto"/>
        <w:ind w:firstLine="487" w:firstLineChars="202"/>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cs="宋体"/>
          <w:b/>
          <w:color w:val="auto"/>
          <w:sz w:val="24"/>
          <w:szCs w:val="24"/>
          <w:highlight w:val="none"/>
          <w:lang w:val="en-US" w:eastAsia="zh-CN"/>
        </w:rPr>
        <w:t>七</w:t>
      </w:r>
      <w:r>
        <w:rPr>
          <w:rFonts w:hint="eastAsia" w:ascii="宋体" w:hAnsi="宋体" w:eastAsia="宋体" w:cs="宋体"/>
          <w:b/>
          <w:color w:val="auto"/>
          <w:sz w:val="24"/>
          <w:szCs w:val="24"/>
          <w:highlight w:val="none"/>
        </w:rPr>
        <w:t>条 合同的转让</w:t>
      </w:r>
    </w:p>
    <w:p w14:paraId="41F94578">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乙方不得擅自部分或全部转让其应履行的合同义务。</w:t>
      </w:r>
    </w:p>
    <w:p w14:paraId="350C5ED1">
      <w:pPr>
        <w:keepNext w:val="0"/>
        <w:keepLines w:val="0"/>
        <w:pageBreakBefore w:val="0"/>
        <w:kinsoku/>
        <w:wordWrap/>
        <w:overflowPunct/>
        <w:topLinePunct w:val="0"/>
        <w:bidi w:val="0"/>
        <w:adjustRightInd w:val="0"/>
        <w:snapToGrid w:val="0"/>
        <w:spacing w:line="360" w:lineRule="auto"/>
        <w:ind w:firstLine="487" w:firstLineChars="202"/>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cs="宋体"/>
          <w:b/>
          <w:color w:val="auto"/>
          <w:sz w:val="24"/>
          <w:szCs w:val="24"/>
          <w:highlight w:val="none"/>
          <w:lang w:val="en-US" w:eastAsia="zh-CN"/>
        </w:rPr>
        <w:t>八</w:t>
      </w:r>
      <w:r>
        <w:rPr>
          <w:rFonts w:hint="eastAsia" w:ascii="宋体" w:hAnsi="宋体" w:eastAsia="宋体" w:cs="宋体"/>
          <w:b/>
          <w:color w:val="auto"/>
          <w:sz w:val="24"/>
          <w:szCs w:val="24"/>
          <w:highlight w:val="none"/>
        </w:rPr>
        <w:t>条 不可抗力</w:t>
      </w:r>
    </w:p>
    <w:p w14:paraId="740F009A">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甲、乙方中任何一方，因不可抗力不能按时或完全履行合同的，应及时通知对方，并在</w:t>
      </w:r>
      <w:r>
        <w:rPr>
          <w:rFonts w:hint="eastAsia" w:ascii="宋体" w:hAnsi="宋体" w:eastAsia="宋体" w:cs="宋体"/>
          <w:color w:val="auto"/>
          <w:sz w:val="24"/>
          <w:szCs w:val="24"/>
          <w:highlight w:val="none"/>
          <w:u w:val="single"/>
        </w:rPr>
        <w:t xml:space="preserve">   个</w:t>
      </w:r>
      <w:r>
        <w:rPr>
          <w:rFonts w:hint="eastAsia" w:ascii="宋体" w:hAnsi="宋体" w:eastAsia="宋体" w:cs="宋体"/>
          <w:color w:val="auto"/>
          <w:sz w:val="24"/>
          <w:szCs w:val="24"/>
          <w:highlight w:val="none"/>
        </w:rPr>
        <w:t>工作日内提供相应证明。未履行完合同部分是否继续履行、如何履行等问题，可由双方初步协商，并向主管部门报告。确定为不可抗力原因造成的损失，免予承担责任。</w:t>
      </w:r>
    </w:p>
    <w:p w14:paraId="4E0E3523">
      <w:pPr>
        <w:keepNext w:val="0"/>
        <w:keepLines w:val="0"/>
        <w:pageBreakBefore w:val="0"/>
        <w:kinsoku/>
        <w:wordWrap/>
        <w:overflowPunct/>
        <w:topLinePunct w:val="0"/>
        <w:bidi w:val="0"/>
        <w:adjustRightInd w:val="0"/>
        <w:snapToGrid w:val="0"/>
        <w:spacing w:line="360" w:lineRule="auto"/>
        <w:ind w:firstLine="487" w:firstLineChars="202"/>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cs="宋体"/>
          <w:b/>
          <w:color w:val="auto"/>
          <w:sz w:val="24"/>
          <w:szCs w:val="24"/>
          <w:highlight w:val="none"/>
          <w:lang w:val="en-US" w:eastAsia="zh-CN"/>
        </w:rPr>
        <w:t>九</w:t>
      </w:r>
      <w:r>
        <w:rPr>
          <w:rFonts w:hint="eastAsia" w:ascii="宋体" w:hAnsi="宋体" w:eastAsia="宋体" w:cs="宋体"/>
          <w:b/>
          <w:color w:val="auto"/>
          <w:sz w:val="24"/>
          <w:szCs w:val="24"/>
          <w:highlight w:val="none"/>
        </w:rPr>
        <w:t>条 争议的解决</w:t>
      </w:r>
    </w:p>
    <w:p w14:paraId="6A09796F">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1.因履行本合同引起的或与本合同有关的争议，甲、乙双方应首先通过友好协商解决，如果协商不能解决争议，则采取以下第</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种方式解决争议：</w:t>
      </w:r>
    </w:p>
    <w:p w14:paraId="1DB613DB">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（1）向甲方所在地人民法院提起诉讼；</w:t>
      </w:r>
    </w:p>
    <w:p w14:paraId="17F8780D">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（2）向甲方所在地仲裁委员会按其仲裁规则申请仲裁。</w:t>
      </w:r>
    </w:p>
    <w:p w14:paraId="32119034">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如没有约定，默认采取第2种方式解决争议。</w:t>
      </w:r>
    </w:p>
    <w:p w14:paraId="7C3ADE52">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2.在法院审理和仲裁期间，除有争议部分外，本合同其他部分应继续履行。</w:t>
      </w:r>
    </w:p>
    <w:p w14:paraId="41D3046E">
      <w:pPr>
        <w:keepNext w:val="0"/>
        <w:keepLines w:val="0"/>
        <w:pageBreakBefore w:val="0"/>
        <w:kinsoku/>
        <w:wordWrap/>
        <w:overflowPunct/>
        <w:topLinePunct w:val="0"/>
        <w:bidi w:val="0"/>
        <w:adjustRightInd w:val="0"/>
        <w:snapToGrid w:val="0"/>
        <w:spacing w:line="360" w:lineRule="auto"/>
        <w:ind w:firstLine="487" w:firstLineChars="202"/>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第十条 诚实信用 </w:t>
      </w:r>
    </w:p>
    <w:p w14:paraId="5ECB8AB4">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乙方应诚实信用，严格按照竞争性磋商文件要求和磋商承诺履行合同，不向甲方进行商业贿赂或者提供不正当利益。</w:t>
      </w:r>
    </w:p>
    <w:p w14:paraId="6D918051">
      <w:pPr>
        <w:keepNext w:val="0"/>
        <w:keepLines w:val="0"/>
        <w:pageBreakBefore w:val="0"/>
        <w:kinsoku/>
        <w:wordWrap/>
        <w:overflowPunct/>
        <w:topLinePunct w:val="0"/>
        <w:bidi w:val="0"/>
        <w:adjustRightInd w:val="0"/>
        <w:snapToGrid w:val="0"/>
        <w:spacing w:line="360" w:lineRule="auto"/>
        <w:ind w:firstLine="487" w:firstLineChars="202"/>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cs="宋体"/>
          <w:b/>
          <w:color w:val="auto"/>
          <w:sz w:val="24"/>
          <w:szCs w:val="24"/>
          <w:highlight w:val="none"/>
          <w:lang w:val="en-US" w:eastAsia="zh-CN"/>
        </w:rPr>
        <w:t>一</w:t>
      </w:r>
      <w:r>
        <w:rPr>
          <w:rFonts w:hint="eastAsia" w:ascii="宋体" w:hAnsi="宋体" w:eastAsia="宋体" w:cs="宋体"/>
          <w:b/>
          <w:color w:val="auto"/>
          <w:sz w:val="24"/>
          <w:szCs w:val="24"/>
          <w:highlight w:val="none"/>
        </w:rPr>
        <w:t>条 合同生效及其他</w:t>
      </w:r>
    </w:p>
    <w:p w14:paraId="7DF2FB8C">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1.本合同自经甲乙双方授权代表签订并加盖公章后，自签订之日起生效。</w:t>
      </w:r>
    </w:p>
    <w:p w14:paraId="79A139B7">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2.本合同一式</w:t>
      </w:r>
      <w:r>
        <w:rPr>
          <w:rFonts w:hint="eastAsia" w:ascii="宋体" w:hAnsi="宋体" w:cs="宋体"/>
          <w:color w:val="auto"/>
          <w:sz w:val="24"/>
          <w:szCs w:val="24"/>
          <w:highlight w:val="none"/>
          <w:lang w:val="en-US" w:eastAsia="zh-CN"/>
        </w:rPr>
        <w:t>捌</w:t>
      </w:r>
      <w:r>
        <w:rPr>
          <w:rFonts w:hint="eastAsia" w:ascii="宋体" w:hAnsi="宋体" w:eastAsia="宋体" w:cs="宋体"/>
          <w:color w:val="auto"/>
          <w:sz w:val="24"/>
          <w:szCs w:val="24"/>
          <w:highlight w:val="none"/>
        </w:rPr>
        <w:t>份，甲方贰份，乙方伍份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见证方壹份</w:t>
      </w:r>
      <w:r>
        <w:rPr>
          <w:rFonts w:hint="eastAsia" w:ascii="宋体" w:hAnsi="宋体" w:eastAsia="宋体" w:cs="宋体"/>
          <w:color w:val="auto"/>
          <w:sz w:val="24"/>
          <w:szCs w:val="24"/>
          <w:highlight w:val="none"/>
        </w:rPr>
        <w:t>。</w:t>
      </w:r>
    </w:p>
    <w:p w14:paraId="1D1DE844">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3.本合同应按照中华人民共和国的现行法律进行解释。</w:t>
      </w:r>
    </w:p>
    <w:p w14:paraId="480B50F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b/>
          <w:bCs/>
          <w:color w:val="auto"/>
          <w:sz w:val="24"/>
          <w:szCs w:val="24"/>
          <w:highlight w:val="none"/>
        </w:rPr>
      </w:pPr>
    </w:p>
    <w:p w14:paraId="6058EBA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甲    方</w:t>
      </w:r>
      <w:r>
        <w:rPr>
          <w:rFonts w:hint="eastAsia" w:ascii="宋体" w:hAnsi="宋体" w:eastAsia="宋体" w:cs="宋体"/>
          <w:color w:val="auto"/>
          <w:sz w:val="24"/>
          <w:szCs w:val="24"/>
          <w:highlight w:val="none"/>
        </w:rPr>
        <w:t>：</w:t>
      </w:r>
    </w:p>
    <w:p w14:paraId="693B35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单位名称（章）：</w:t>
      </w:r>
    </w:p>
    <w:p w14:paraId="1DF9EF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单位地址：</w:t>
      </w:r>
    </w:p>
    <w:p w14:paraId="61C407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p w14:paraId="2A7717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7ED51CA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乙    方</w:t>
      </w:r>
      <w:r>
        <w:rPr>
          <w:rFonts w:hint="eastAsia" w:ascii="宋体" w:hAnsi="宋体" w:eastAsia="宋体" w:cs="宋体"/>
          <w:color w:val="auto"/>
          <w:sz w:val="24"/>
          <w:szCs w:val="24"/>
          <w:highlight w:val="none"/>
        </w:rPr>
        <w:t>：</w:t>
      </w:r>
    </w:p>
    <w:p w14:paraId="18E03C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单位名称（章）：</w:t>
      </w:r>
    </w:p>
    <w:p w14:paraId="15AB68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单位地址：</w:t>
      </w:r>
    </w:p>
    <w:p w14:paraId="47F7E5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委托代理人：</w:t>
      </w:r>
    </w:p>
    <w:p w14:paraId="6D5593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7BA5C8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5FB9B7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号：</w:t>
      </w:r>
    </w:p>
    <w:p w14:paraId="3790FD3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见证方：</w:t>
      </w:r>
    </w:p>
    <w:p w14:paraId="63B2B2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代理机构（章）：  </w:t>
      </w:r>
    </w:p>
    <w:p w14:paraId="364F70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经办人：                               电  话：</w:t>
      </w:r>
    </w:p>
    <w:p w14:paraId="1097FFFA">
      <w:pPr>
        <w:pStyle w:val="43"/>
        <w:rPr>
          <w:rFonts w:hint="eastAsia"/>
          <w:color w:val="auto"/>
          <w:lang w:eastAsia="zh-CN"/>
        </w:rPr>
        <w:sectPr>
          <w:pgSz w:w="11906" w:h="16838"/>
          <w:pgMar w:top="1440" w:right="1800" w:bottom="1440" w:left="1800" w:header="851" w:footer="992" w:gutter="0"/>
          <w:pgNumType w:fmt="decimal"/>
          <w:cols w:space="1701" w:num="1"/>
          <w:docGrid w:linePitch="360" w:charSpace="0"/>
        </w:sectPr>
      </w:pPr>
    </w:p>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612"/>
    <w:p w14:paraId="333CCE0F">
      <w:pPr>
        <w:keepNext w:val="0"/>
        <w:keepLines w:val="0"/>
        <w:pageBreakBefore w:val="0"/>
        <w:widowControl w:val="0"/>
        <w:spacing w:line="360" w:lineRule="auto"/>
        <w:ind w:firstLine="723"/>
        <w:jc w:val="center"/>
        <w:outlineLvl w:val="0"/>
        <w:rPr>
          <w:rFonts w:hint="eastAsia"/>
          <w:b/>
          <w:color w:val="auto"/>
          <w:sz w:val="36"/>
          <w:szCs w:val="36"/>
          <w:highlight w:val="none"/>
        </w:rPr>
      </w:pPr>
      <w:bookmarkStart w:id="613" w:name="_Toc26791"/>
      <w:r>
        <w:rPr>
          <w:rFonts w:hint="eastAsia"/>
          <w:b/>
          <w:color w:val="auto"/>
          <w:sz w:val="36"/>
          <w:szCs w:val="36"/>
          <w:highlight w:val="none"/>
        </w:rPr>
        <w:t>第六章   响应文件格式</w:t>
      </w:r>
      <w:bookmarkEnd w:id="613"/>
    </w:p>
    <w:p w14:paraId="61BB8493">
      <w:pPr>
        <w:widowControl/>
        <w:spacing w:line="360" w:lineRule="auto"/>
        <w:jc w:val="left"/>
        <w:rPr>
          <w:b/>
          <w:color w:val="auto"/>
          <w:sz w:val="24"/>
          <w:highlight w:val="none"/>
        </w:rPr>
      </w:pPr>
    </w:p>
    <w:p w14:paraId="584AE94B">
      <w:pPr>
        <w:widowControl/>
        <w:spacing w:line="360" w:lineRule="auto"/>
        <w:jc w:val="left"/>
        <w:rPr>
          <w:b/>
          <w:color w:val="auto"/>
          <w:sz w:val="24"/>
          <w:highlight w:val="none"/>
        </w:rPr>
      </w:pPr>
    </w:p>
    <w:p w14:paraId="686BA0BC">
      <w:pPr>
        <w:tabs>
          <w:tab w:val="left" w:pos="900"/>
          <w:tab w:val="left" w:pos="1980"/>
        </w:tabs>
        <w:snapToGrid w:val="0"/>
        <w:spacing w:line="360" w:lineRule="auto"/>
        <w:ind w:left="142"/>
        <w:rPr>
          <w:b/>
          <w:color w:val="auto"/>
          <w:kern w:val="0"/>
          <w:sz w:val="24"/>
          <w:highlight w:val="none"/>
        </w:rPr>
      </w:pPr>
      <w:r>
        <w:rPr>
          <w:rFonts w:hint="eastAsia"/>
          <w:b/>
          <w:color w:val="auto"/>
          <w:kern w:val="0"/>
          <w:sz w:val="24"/>
          <w:highlight w:val="none"/>
        </w:rPr>
        <w:t>供应商编制文件须知</w:t>
      </w:r>
    </w:p>
    <w:p w14:paraId="32875AF6">
      <w:pPr>
        <w:tabs>
          <w:tab w:val="left" w:pos="900"/>
          <w:tab w:val="left" w:pos="1980"/>
        </w:tabs>
        <w:snapToGrid w:val="0"/>
        <w:spacing w:line="360" w:lineRule="auto"/>
        <w:ind w:left="142"/>
        <w:rPr>
          <w:color w:val="auto"/>
          <w:sz w:val="24"/>
          <w:highlight w:val="none"/>
        </w:rPr>
      </w:pPr>
      <w:r>
        <w:rPr>
          <w:color w:val="auto"/>
          <w:sz w:val="24"/>
          <w:highlight w:val="none"/>
        </w:rPr>
        <w:t>1、供应商按照本部分的顺序编制响应文件，编制中涉及格式资料的，应按照本部分提供的内容和格式（所有表格的格式可扩展）填写提交。</w:t>
      </w:r>
    </w:p>
    <w:p w14:paraId="09CBE907">
      <w:pPr>
        <w:tabs>
          <w:tab w:val="left" w:pos="900"/>
          <w:tab w:val="left" w:pos="1980"/>
        </w:tabs>
        <w:snapToGrid w:val="0"/>
        <w:spacing w:line="360" w:lineRule="auto"/>
        <w:ind w:left="142"/>
        <w:rPr>
          <w:color w:val="auto"/>
          <w:kern w:val="0"/>
          <w:sz w:val="24"/>
          <w:highlight w:val="none"/>
        </w:rPr>
      </w:pPr>
      <w:r>
        <w:rPr>
          <w:color w:val="auto"/>
          <w:sz w:val="24"/>
          <w:highlight w:val="none"/>
        </w:rPr>
        <w:t>2、</w:t>
      </w:r>
      <w:r>
        <w:rPr>
          <w:color w:val="auto"/>
          <w:kern w:val="0"/>
          <w:sz w:val="24"/>
          <w:highlight w:val="none"/>
        </w:rPr>
        <w:t>对于竞争性磋商文件中标记了“实质性格式”文件的，供应商</w:t>
      </w:r>
      <w:r>
        <w:rPr>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b/>
          <w:color w:val="auto"/>
          <w:kern w:val="0"/>
          <w:sz w:val="24"/>
          <w:highlight w:val="none"/>
        </w:rPr>
        <w:t>否则响应无效</w:t>
      </w:r>
      <w:r>
        <w:rPr>
          <w:color w:val="auto"/>
          <w:kern w:val="0"/>
          <w:sz w:val="24"/>
          <w:highlight w:val="none"/>
        </w:rPr>
        <w:t>。未标记“实质性格式”的文件和竞争性磋商文件未提供格式的内容，可由供应商自行编写。</w:t>
      </w:r>
    </w:p>
    <w:p w14:paraId="60E5CE6E">
      <w:pPr>
        <w:tabs>
          <w:tab w:val="left" w:pos="900"/>
          <w:tab w:val="left" w:pos="1980"/>
        </w:tabs>
        <w:snapToGrid w:val="0"/>
        <w:spacing w:line="360" w:lineRule="auto"/>
        <w:ind w:left="142"/>
        <w:rPr>
          <w:color w:val="auto"/>
          <w:sz w:val="24"/>
          <w:highlight w:val="none"/>
        </w:rPr>
      </w:pPr>
      <w:r>
        <w:rPr>
          <w:color w:val="auto"/>
          <w:sz w:val="24"/>
          <w:highlight w:val="none"/>
        </w:rPr>
        <w:t>3、全部声明和问题的回答及所附材料必须是真实的、准确的和完整的。</w:t>
      </w:r>
    </w:p>
    <w:p w14:paraId="3A8FD50A">
      <w:pPr>
        <w:tabs>
          <w:tab w:val="left" w:pos="900"/>
          <w:tab w:val="left" w:pos="1980"/>
        </w:tabs>
        <w:snapToGrid w:val="0"/>
        <w:spacing w:line="360" w:lineRule="auto"/>
        <w:ind w:left="142"/>
        <w:rPr>
          <w:color w:val="auto"/>
          <w:sz w:val="24"/>
          <w:highlight w:val="none"/>
        </w:rPr>
      </w:pPr>
      <w:r>
        <w:rPr>
          <w:rFonts w:hint="eastAsia"/>
          <w:color w:val="auto"/>
          <w:sz w:val="24"/>
          <w:highlight w:val="none"/>
        </w:rPr>
        <w:t>4、实行电子化不见面交易方式的，加盖公章、签名等均通过响应文件编制工具加盖电子公章、签字、签章或印鉴。</w:t>
      </w:r>
    </w:p>
    <w:p w14:paraId="1FB232E8">
      <w:pPr>
        <w:tabs>
          <w:tab w:val="left" w:pos="900"/>
          <w:tab w:val="left" w:pos="1980"/>
        </w:tabs>
        <w:snapToGrid w:val="0"/>
        <w:spacing w:line="360" w:lineRule="auto"/>
        <w:ind w:left="142"/>
        <w:rPr>
          <w:color w:val="auto"/>
          <w:sz w:val="24"/>
          <w:highlight w:val="none"/>
        </w:rPr>
      </w:pPr>
    </w:p>
    <w:p w14:paraId="45BC05CA">
      <w:pPr>
        <w:outlineLvl w:val="9"/>
        <w:rPr>
          <w:b/>
          <w:color w:val="auto"/>
          <w:spacing w:val="20"/>
          <w:sz w:val="24"/>
          <w:highlight w:val="none"/>
        </w:rPr>
        <w:sectPr>
          <w:pgSz w:w="11907" w:h="16840"/>
          <w:pgMar w:top="1418" w:right="1134" w:bottom="1418" w:left="1701" w:header="851" w:footer="851" w:gutter="0"/>
          <w:pgNumType w:fmt="decimal"/>
          <w:cols w:space="1701" w:num="1"/>
          <w:docGrid w:linePitch="360" w:charSpace="0"/>
        </w:sectPr>
      </w:pPr>
    </w:p>
    <w:p w14:paraId="0388EBDE">
      <w:pPr>
        <w:outlineLvl w:val="9"/>
        <w:rPr>
          <w:b/>
          <w:color w:val="auto"/>
          <w:sz w:val="24"/>
          <w:highlight w:val="none"/>
        </w:rPr>
      </w:pPr>
      <w:r>
        <w:rPr>
          <w:b/>
          <w:color w:val="auto"/>
          <w:spacing w:val="20"/>
          <w:sz w:val="24"/>
          <w:highlight w:val="none"/>
        </w:rPr>
        <w:t>响应文件</w:t>
      </w:r>
      <w:r>
        <w:rPr>
          <w:b/>
          <w:color w:val="auto"/>
          <w:sz w:val="24"/>
          <w:highlight w:val="none"/>
        </w:rPr>
        <w:t>封面（非实质性格式）</w:t>
      </w:r>
    </w:p>
    <w:p w14:paraId="27810F89">
      <w:pPr>
        <w:jc w:val="center"/>
        <w:outlineLvl w:val="9"/>
        <w:rPr>
          <w:color w:val="auto"/>
          <w:szCs w:val="21"/>
          <w:highlight w:val="none"/>
        </w:rPr>
      </w:pPr>
    </w:p>
    <w:p w14:paraId="19D79EB9">
      <w:pPr>
        <w:jc w:val="center"/>
        <w:outlineLvl w:val="9"/>
        <w:rPr>
          <w:b/>
          <w:color w:val="auto"/>
          <w:spacing w:val="60"/>
          <w:sz w:val="84"/>
          <w:szCs w:val="84"/>
          <w:highlight w:val="none"/>
        </w:rPr>
      </w:pPr>
      <w:r>
        <w:rPr>
          <w:b/>
          <w:color w:val="auto"/>
          <w:spacing w:val="60"/>
          <w:sz w:val="84"/>
          <w:szCs w:val="84"/>
          <w:highlight w:val="none"/>
        </w:rPr>
        <w:t>响 应 文 件</w:t>
      </w:r>
    </w:p>
    <w:p w14:paraId="3009CA9D">
      <w:pPr>
        <w:jc w:val="center"/>
        <w:outlineLvl w:val="9"/>
        <w:rPr>
          <w:b/>
          <w:color w:val="auto"/>
          <w:spacing w:val="60"/>
          <w:sz w:val="52"/>
          <w:szCs w:val="52"/>
          <w:highlight w:val="none"/>
        </w:rPr>
      </w:pPr>
    </w:p>
    <w:p w14:paraId="6282C7E1">
      <w:pPr>
        <w:ind w:firstLine="542"/>
        <w:outlineLvl w:val="9"/>
        <w:rPr>
          <w:b/>
          <w:color w:val="auto"/>
          <w:spacing w:val="20"/>
          <w:sz w:val="32"/>
          <w:szCs w:val="32"/>
          <w:highlight w:val="none"/>
        </w:rPr>
      </w:pPr>
    </w:p>
    <w:p w14:paraId="776CCFFC">
      <w:pPr>
        <w:ind w:firstLine="542"/>
        <w:outlineLvl w:val="9"/>
        <w:rPr>
          <w:b/>
          <w:color w:val="auto"/>
          <w:spacing w:val="20"/>
          <w:sz w:val="32"/>
          <w:szCs w:val="32"/>
          <w:highlight w:val="none"/>
        </w:rPr>
      </w:pPr>
    </w:p>
    <w:p w14:paraId="2549F395">
      <w:pPr>
        <w:ind w:firstLine="1084"/>
        <w:outlineLvl w:val="9"/>
        <w:rPr>
          <w:rFonts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503BCCDB">
      <w:pPr>
        <w:ind w:firstLine="1084"/>
        <w:outlineLvl w:val="9"/>
        <w:rPr>
          <w:rFonts w:ascii="宋体" w:hAnsi="宋体"/>
          <w:b/>
          <w:color w:val="auto"/>
          <w:sz w:val="36"/>
          <w:highlight w:val="none"/>
          <w:u w:val="single"/>
        </w:rPr>
      </w:pPr>
      <w:r>
        <w:rPr>
          <w:rFonts w:hint="eastAsia" w:ascii="宋体" w:hAnsi="宋体"/>
          <w:b/>
          <w:color w:val="auto"/>
          <w:sz w:val="36"/>
          <w:highlight w:val="none"/>
        </w:rPr>
        <w:t>项 目 编 号：</w:t>
      </w:r>
      <w:r>
        <w:rPr>
          <w:rFonts w:hint="eastAsia" w:ascii="宋体" w:hAnsi="宋体"/>
          <w:b/>
          <w:color w:val="auto"/>
          <w:sz w:val="36"/>
          <w:highlight w:val="none"/>
          <w:u w:val="single"/>
        </w:rPr>
        <w:t xml:space="preserve">               </w:t>
      </w:r>
    </w:p>
    <w:p w14:paraId="696F6D05">
      <w:pPr>
        <w:outlineLvl w:val="9"/>
        <w:rPr>
          <w:rFonts w:ascii="宋体" w:hAnsi="宋体"/>
          <w:b/>
          <w:color w:val="auto"/>
          <w:sz w:val="36"/>
          <w:highlight w:val="none"/>
          <w:u w:val="single"/>
        </w:rPr>
      </w:pPr>
      <w:r>
        <w:rPr>
          <w:rFonts w:hint="eastAsia" w:ascii="宋体" w:hAnsi="宋体"/>
          <w:b/>
          <w:color w:val="auto"/>
          <w:sz w:val="36"/>
          <w:highlight w:val="none"/>
        </w:rPr>
        <w:t xml:space="preserve">      供应商名称 ：</w:t>
      </w:r>
      <w:r>
        <w:rPr>
          <w:rFonts w:hint="eastAsia" w:ascii="宋体" w:hAnsi="宋体"/>
          <w:b/>
          <w:color w:val="auto"/>
          <w:sz w:val="36"/>
          <w:highlight w:val="none"/>
          <w:u w:val="single"/>
        </w:rPr>
        <w:t xml:space="preserve">               </w:t>
      </w:r>
    </w:p>
    <w:p w14:paraId="1BE57DCD">
      <w:pPr>
        <w:outlineLvl w:val="9"/>
        <w:rPr>
          <w:rFonts w:ascii="宋体" w:hAnsi="宋体"/>
          <w:b/>
          <w:color w:val="auto"/>
          <w:sz w:val="36"/>
          <w:highlight w:val="non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14:paraId="374BABB5">
      <w:pPr>
        <w:jc w:val="center"/>
        <w:outlineLvl w:val="9"/>
        <w:rPr>
          <w:b/>
          <w:color w:val="auto"/>
          <w:sz w:val="32"/>
          <w:szCs w:val="32"/>
          <w:highlight w:val="none"/>
        </w:rPr>
      </w:pPr>
    </w:p>
    <w:p w14:paraId="7CB3EFF8">
      <w:pPr>
        <w:outlineLvl w:val="9"/>
        <w:rPr>
          <w:color w:val="auto"/>
          <w:sz w:val="24"/>
          <w:szCs w:val="20"/>
          <w:highlight w:val="none"/>
        </w:rPr>
      </w:pPr>
      <w:r>
        <w:rPr>
          <w:b/>
          <w:color w:val="auto"/>
          <w:spacing w:val="20"/>
          <w:sz w:val="32"/>
          <w:szCs w:val="32"/>
          <w:highlight w:val="none"/>
        </w:rPr>
        <w:br w:type="page" w:clear="all"/>
      </w:r>
      <w:r>
        <w:rPr>
          <w:color w:val="auto"/>
          <w:sz w:val="24"/>
          <w:szCs w:val="20"/>
          <w:highlight w:val="none"/>
        </w:rPr>
        <w:t xml:space="preserve">1 </w:t>
      </w:r>
      <w:r>
        <w:rPr>
          <w:color w:val="auto"/>
          <w:sz w:val="24"/>
          <w:highlight w:val="none"/>
        </w:rPr>
        <w:t>满足《中华人民共和国政府采购法》第二十二条规定及法律法规的其他规定</w:t>
      </w:r>
    </w:p>
    <w:p w14:paraId="4177210B">
      <w:pPr>
        <w:outlineLvl w:val="9"/>
        <w:rPr>
          <w:rFonts w:ascii="Times New Roman"/>
          <w:b/>
          <w:bCs/>
          <w:color w:val="auto"/>
          <w:highlight w:val="none"/>
          <w:u w:val="none"/>
        </w:rPr>
      </w:pPr>
      <w:r>
        <w:rPr>
          <w:rFonts w:ascii="Times New Roman"/>
          <w:b/>
          <w:color w:val="auto"/>
          <w:highlight w:val="none"/>
          <w:u w:val="none"/>
        </w:rPr>
        <w:t>1-</w:t>
      </w:r>
      <w:r>
        <w:rPr>
          <w:rFonts w:hint="eastAsia" w:ascii="Times New Roman"/>
          <w:b/>
          <w:color w:val="auto"/>
          <w:highlight w:val="none"/>
          <w:u w:val="none"/>
        </w:rPr>
        <w:t>1</w:t>
      </w:r>
      <w:r>
        <w:rPr>
          <w:rFonts w:ascii="Times New Roman"/>
          <w:b/>
          <w:color w:val="auto"/>
          <w:highlight w:val="none"/>
          <w:u w:val="none"/>
        </w:rPr>
        <w:t xml:space="preserve"> 供应商资格声明</w:t>
      </w:r>
      <w:r>
        <w:rPr>
          <w:rFonts w:hint="eastAsia" w:ascii="Times New Roman"/>
          <w:b/>
          <w:color w:val="auto"/>
          <w:highlight w:val="none"/>
          <w:u w:val="none"/>
        </w:rPr>
        <w:t>函</w:t>
      </w:r>
      <w:r>
        <w:rPr>
          <w:rFonts w:ascii="Times New Roman"/>
          <w:b/>
          <w:color w:val="auto"/>
          <w:highlight w:val="none"/>
          <w:u w:val="none"/>
        </w:rPr>
        <w:t>（实质性格式）</w:t>
      </w:r>
    </w:p>
    <w:p w14:paraId="0482A12D">
      <w:pPr>
        <w:widowControl/>
        <w:spacing w:before="120" w:line="360" w:lineRule="auto"/>
        <w:jc w:val="center"/>
        <w:outlineLvl w:val="9"/>
        <w:rPr>
          <w:rFonts w:hint="eastAsia" w:ascii="宋体" w:hAnsi="宋体" w:cs="宋体"/>
          <w:b/>
          <w:color w:val="auto"/>
          <w:sz w:val="28"/>
          <w:szCs w:val="28"/>
          <w:highlight w:val="none"/>
        </w:rPr>
      </w:pPr>
    </w:p>
    <w:p w14:paraId="45B4FBA4">
      <w:pPr>
        <w:widowControl/>
        <w:spacing w:before="120" w:line="360" w:lineRule="auto"/>
        <w:jc w:val="center"/>
        <w:outlineLvl w:val="9"/>
        <w:rPr>
          <w:rFonts w:ascii="宋体" w:hAnsi="宋体" w:cs="宋体"/>
          <w:color w:val="auto"/>
          <w:szCs w:val="21"/>
          <w:highlight w:val="none"/>
        </w:rPr>
      </w:pPr>
      <w:r>
        <w:rPr>
          <w:rFonts w:hint="eastAsia" w:ascii="宋体" w:hAnsi="宋体" w:cs="宋体"/>
          <w:b/>
          <w:color w:val="auto"/>
          <w:sz w:val="28"/>
          <w:szCs w:val="28"/>
          <w:highlight w:val="none"/>
        </w:rPr>
        <w:t>供应商资格声明函</w:t>
      </w:r>
    </w:p>
    <w:p w14:paraId="1C741295">
      <w:pPr>
        <w:pStyle w:val="193"/>
        <w:spacing w:line="460" w:lineRule="exact"/>
        <w:ind w:firstLine="480"/>
        <w:outlineLvl w:val="9"/>
        <w:rPr>
          <w:color w:val="auto"/>
          <w:highlight w:val="none"/>
        </w:rPr>
      </w:pPr>
    </w:p>
    <w:p w14:paraId="4A99962D">
      <w:pPr>
        <w:pStyle w:val="193"/>
        <w:spacing w:line="460" w:lineRule="exact"/>
        <w:ind w:firstLine="480"/>
        <w:outlineLvl w:val="9"/>
        <w:rPr>
          <w:rFonts w:hint="eastAsia" w:eastAsia="宋体"/>
          <w:color w:val="auto"/>
          <w:highlight w:val="none"/>
          <w:lang w:eastAsia="zh-CN"/>
        </w:rPr>
      </w:pPr>
      <w:r>
        <w:rPr>
          <w:rFonts w:hint="eastAsia"/>
          <w:color w:val="auto"/>
          <w:highlight w:val="none"/>
        </w:rPr>
        <w:t>致：</w:t>
      </w:r>
    </w:p>
    <w:p w14:paraId="456D715D">
      <w:pPr>
        <w:pStyle w:val="193"/>
        <w:spacing w:line="460" w:lineRule="exact"/>
        <w:ind w:firstLine="960"/>
        <w:outlineLvl w:val="9"/>
        <w:rPr>
          <w:color w:val="auto"/>
          <w:highlight w:val="none"/>
          <w:u w:val="single"/>
        </w:rPr>
      </w:pPr>
      <w:r>
        <w:rPr>
          <w:rFonts w:hint="eastAsia"/>
          <w:color w:val="auto"/>
          <w:highlight w:val="none"/>
          <w:u w:val="single"/>
        </w:rPr>
        <w:t>（采购人名称）</w:t>
      </w:r>
    </w:p>
    <w:p w14:paraId="702E041C">
      <w:pPr>
        <w:pStyle w:val="193"/>
        <w:spacing w:line="460" w:lineRule="exact"/>
        <w:ind w:firstLine="480"/>
        <w:outlineLvl w:val="9"/>
        <w:rPr>
          <w:color w:val="auto"/>
          <w:highlight w:val="none"/>
        </w:rPr>
      </w:pPr>
    </w:p>
    <w:p w14:paraId="40392C64">
      <w:pPr>
        <w:pStyle w:val="193"/>
        <w:spacing w:line="460" w:lineRule="exact"/>
        <w:ind w:firstLine="480"/>
        <w:outlineLvl w:val="9"/>
        <w:rPr>
          <w:color w:val="auto"/>
          <w:highlight w:val="none"/>
        </w:rPr>
      </w:pPr>
      <w:r>
        <w:rPr>
          <w:rFonts w:hint="eastAsia"/>
          <w:color w:val="auto"/>
          <w:highlight w:val="none"/>
        </w:rPr>
        <w:t>按照《中华人民共和国政府采购法》第二十二条和磋商文件的规定，我单位郑重声明如下：</w:t>
      </w:r>
    </w:p>
    <w:p w14:paraId="28AE782C">
      <w:pPr>
        <w:pStyle w:val="193"/>
        <w:spacing w:line="460" w:lineRule="exact"/>
        <w:ind w:firstLine="480"/>
        <w:outlineLvl w:val="9"/>
        <w:rPr>
          <w:color w:val="auto"/>
          <w:highlight w:val="none"/>
        </w:rPr>
      </w:pPr>
      <w:r>
        <w:rPr>
          <w:rFonts w:hint="eastAsia"/>
          <w:color w:val="auto"/>
          <w:highlight w:val="none"/>
        </w:rPr>
        <w:t>一、我单位是按照中华人民共和国法律规定登记注册的，注册地点为</w:t>
      </w:r>
      <w:r>
        <w:rPr>
          <w:rFonts w:hint="eastAsia"/>
          <w:color w:val="auto"/>
          <w:highlight w:val="none"/>
          <w:u w:val="single"/>
        </w:rPr>
        <w:t xml:space="preserve">         </w:t>
      </w:r>
      <w:r>
        <w:rPr>
          <w:rFonts w:hint="eastAsia"/>
          <w:color w:val="auto"/>
          <w:highlight w:val="none"/>
        </w:rPr>
        <w:t>，全称为</w:t>
      </w:r>
      <w:r>
        <w:rPr>
          <w:rFonts w:hint="eastAsia"/>
          <w:color w:val="auto"/>
          <w:highlight w:val="none"/>
          <w:u w:val="single"/>
        </w:rPr>
        <w:t xml:space="preserve">        </w:t>
      </w:r>
      <w:r>
        <w:rPr>
          <w:rFonts w:hint="eastAsia"/>
          <w:color w:val="auto"/>
          <w:highlight w:val="none"/>
        </w:rPr>
        <w:t>，统一社会信用代码为</w:t>
      </w:r>
      <w:r>
        <w:rPr>
          <w:rFonts w:hint="eastAsia"/>
          <w:color w:val="auto"/>
          <w:highlight w:val="none"/>
          <w:u w:val="single"/>
        </w:rPr>
        <w:t xml:space="preserve">           </w:t>
      </w:r>
      <w:r>
        <w:rPr>
          <w:rFonts w:hint="eastAsia"/>
          <w:color w:val="auto"/>
          <w:highlight w:val="none"/>
        </w:rPr>
        <w:t xml:space="preserve"> ，法定代表人（单位负责人）为</w:t>
      </w:r>
      <w:r>
        <w:rPr>
          <w:rFonts w:hint="eastAsia"/>
          <w:color w:val="auto"/>
          <w:highlight w:val="none"/>
          <w:u w:val="single"/>
        </w:rPr>
        <w:t xml:space="preserve">         </w:t>
      </w:r>
      <w:r>
        <w:rPr>
          <w:rFonts w:hint="eastAsia"/>
          <w:color w:val="auto"/>
          <w:highlight w:val="none"/>
        </w:rPr>
        <w:t>，具有独立承担民事责任的能力</w:t>
      </w:r>
      <w:r>
        <w:rPr>
          <w:rFonts w:hint="eastAsia"/>
          <w:b/>
          <w:color w:val="auto"/>
          <w:highlight w:val="none"/>
        </w:rPr>
        <w:t>（如属于分公司经总公司授权参与项目，由总公司承担民事责任的，需提供总公司项目授权书）</w:t>
      </w:r>
      <w:r>
        <w:rPr>
          <w:rFonts w:hint="eastAsia"/>
          <w:color w:val="auto"/>
          <w:highlight w:val="none"/>
        </w:rPr>
        <w:t>。</w:t>
      </w:r>
    </w:p>
    <w:p w14:paraId="777D0D91">
      <w:pPr>
        <w:pStyle w:val="193"/>
        <w:spacing w:line="460" w:lineRule="exact"/>
        <w:ind w:firstLine="480"/>
        <w:outlineLvl w:val="9"/>
        <w:rPr>
          <w:color w:val="auto"/>
          <w:highlight w:val="none"/>
        </w:rPr>
      </w:pPr>
      <w:r>
        <w:rPr>
          <w:rFonts w:hint="eastAsia"/>
          <w:color w:val="auto"/>
          <w:highlight w:val="none"/>
        </w:rPr>
        <w:t>二、我单位未被“国家企业信用信息系统”列入经营异常名录或者严重违法企业名单。</w:t>
      </w:r>
    </w:p>
    <w:p w14:paraId="3E89E726">
      <w:pPr>
        <w:pStyle w:val="193"/>
        <w:spacing w:line="460" w:lineRule="exact"/>
        <w:ind w:firstLine="480"/>
        <w:outlineLvl w:val="9"/>
        <w:rPr>
          <w:color w:val="auto"/>
          <w:highlight w:val="none"/>
        </w:rPr>
      </w:pPr>
      <w:r>
        <w:rPr>
          <w:rFonts w:hint="eastAsia"/>
          <w:color w:val="auto"/>
          <w:highlight w:val="none"/>
        </w:rPr>
        <w:t>三、我单位具有良好的商业信誉（指供应商经营状况良好，无本资格声明第十条情形）和健全的财务会计制度。</w:t>
      </w:r>
    </w:p>
    <w:p w14:paraId="73FB7FB6">
      <w:pPr>
        <w:pStyle w:val="193"/>
        <w:spacing w:line="460" w:lineRule="exact"/>
        <w:ind w:firstLine="480"/>
        <w:outlineLvl w:val="9"/>
        <w:rPr>
          <w:color w:val="auto"/>
          <w:highlight w:val="none"/>
        </w:rPr>
      </w:pPr>
      <w:r>
        <w:rPr>
          <w:rFonts w:hint="eastAsia"/>
          <w:color w:val="auto"/>
          <w:highlight w:val="none"/>
        </w:rPr>
        <w:t>四、我单位依法进行纳税和社会保险申报并实际履行了义务。</w:t>
      </w:r>
    </w:p>
    <w:p w14:paraId="664F0F94">
      <w:pPr>
        <w:pStyle w:val="193"/>
        <w:spacing w:line="460" w:lineRule="exact"/>
        <w:ind w:firstLine="480"/>
        <w:outlineLvl w:val="9"/>
        <w:rPr>
          <w:color w:val="auto"/>
          <w:highlight w:val="none"/>
        </w:rPr>
      </w:pPr>
      <w:r>
        <w:rPr>
          <w:rFonts w:hint="eastAsia"/>
          <w:color w:val="auto"/>
          <w:highlight w:val="none"/>
        </w:rPr>
        <w:t>五、我单位具有履行本项目采购合同所必需的设备和专业技术能力，并具有履行合同的良好</w:t>
      </w:r>
      <w:r>
        <w:rPr>
          <w:color w:val="auto"/>
          <w:highlight w:val="none"/>
        </w:rPr>
        <w:t>记录</w:t>
      </w:r>
      <w:r>
        <w:rPr>
          <w:rFonts w:hint="eastAsia"/>
          <w:color w:val="auto"/>
          <w:highlight w:val="none"/>
        </w:rPr>
        <w:t>。为履行本项采购合同我单位具备如下主要设备和主要专业技术能力:</w:t>
      </w:r>
    </w:p>
    <w:p w14:paraId="10DE01D1">
      <w:pPr>
        <w:pStyle w:val="193"/>
        <w:spacing w:line="460" w:lineRule="exact"/>
        <w:ind w:firstLine="480"/>
        <w:outlineLvl w:val="9"/>
        <w:rPr>
          <w:color w:val="auto"/>
          <w:highlight w:val="none"/>
        </w:rPr>
      </w:pPr>
      <w:r>
        <w:rPr>
          <w:rFonts w:hint="eastAsia"/>
          <w:color w:val="auto"/>
          <w:highlight w:val="none"/>
        </w:rPr>
        <w:t>主要设备有：</w:t>
      </w:r>
      <w:r>
        <w:rPr>
          <w:color w:val="auto"/>
          <w:highlight w:val="none"/>
          <w:u w:val="single"/>
        </w:rPr>
        <w:t xml:space="preserve">            </w:t>
      </w:r>
    </w:p>
    <w:p w14:paraId="319B2460">
      <w:pPr>
        <w:pStyle w:val="193"/>
        <w:spacing w:line="460" w:lineRule="exact"/>
        <w:ind w:firstLine="480"/>
        <w:outlineLvl w:val="9"/>
        <w:rPr>
          <w:color w:val="auto"/>
          <w:highlight w:val="none"/>
        </w:rPr>
      </w:pPr>
      <w:r>
        <w:rPr>
          <w:rFonts w:hint="eastAsia"/>
          <w:color w:val="auto"/>
          <w:highlight w:val="none"/>
        </w:rPr>
        <w:t>主要专业技术能力有</w:t>
      </w:r>
      <w:r>
        <w:rPr>
          <w:rFonts w:hint="eastAsia"/>
          <w:color w:val="auto"/>
          <w:highlight w:val="none"/>
          <w:u w:val="single"/>
        </w:rPr>
        <w:t xml:space="preserve">                 </w:t>
      </w:r>
    </w:p>
    <w:p w14:paraId="5C3482DA">
      <w:pPr>
        <w:pStyle w:val="193"/>
        <w:spacing w:line="460" w:lineRule="exact"/>
        <w:ind w:firstLine="480"/>
        <w:outlineLvl w:val="9"/>
        <w:rPr>
          <w:color w:val="auto"/>
          <w:highlight w:val="none"/>
        </w:rPr>
      </w:pPr>
      <w:r>
        <w:rPr>
          <w:rFonts w:hint="eastAsia"/>
          <w:color w:val="auto"/>
          <w:highlight w:val="none"/>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477AA409">
      <w:pPr>
        <w:pStyle w:val="193"/>
        <w:spacing w:line="460" w:lineRule="exact"/>
        <w:ind w:firstLine="480"/>
        <w:outlineLvl w:val="9"/>
        <w:rPr>
          <w:color w:val="auto"/>
          <w:highlight w:val="none"/>
        </w:rPr>
      </w:pPr>
      <w:r>
        <w:rPr>
          <w:rFonts w:hint="eastAsia"/>
          <w:color w:val="auto"/>
          <w:highlight w:val="none"/>
        </w:rPr>
        <w:t>七、我单位具备法律、行政法规规定的其他条件。</w:t>
      </w:r>
    </w:p>
    <w:p w14:paraId="50B44737">
      <w:pPr>
        <w:pStyle w:val="193"/>
        <w:spacing w:line="460" w:lineRule="exact"/>
        <w:ind w:firstLine="480"/>
        <w:outlineLvl w:val="9"/>
        <w:rPr>
          <w:color w:val="auto"/>
          <w:highlight w:val="none"/>
        </w:rPr>
      </w:pPr>
      <w:r>
        <w:rPr>
          <w:rFonts w:hint="eastAsia"/>
          <w:color w:val="auto"/>
          <w:highlight w:val="none"/>
        </w:rPr>
        <w:t>八、与我单位存在“单位负责人为同一人或者存在直接控股、管理关系”的其他单位信息如下（如无此情形的，填写“无”）：</w:t>
      </w:r>
    </w:p>
    <w:p w14:paraId="542C9948">
      <w:pPr>
        <w:pStyle w:val="193"/>
        <w:spacing w:line="460" w:lineRule="exact"/>
        <w:ind w:firstLine="480"/>
        <w:outlineLvl w:val="9"/>
        <w:rPr>
          <w:color w:val="auto"/>
          <w:highlight w:val="none"/>
        </w:rPr>
      </w:pPr>
      <w:r>
        <w:rPr>
          <w:rFonts w:hint="eastAsia"/>
          <w:color w:val="auto"/>
          <w:highlight w:val="none"/>
        </w:rPr>
        <w:t>1、与我单位的法定代表人（单位负责人）为同一人的其他单位如下：</w:t>
      </w:r>
      <w:r>
        <w:rPr>
          <w:rFonts w:hint="eastAsia"/>
          <w:color w:val="auto"/>
          <w:highlight w:val="none"/>
          <w:u w:val="single"/>
        </w:rPr>
        <w:t xml:space="preserve">     </w:t>
      </w:r>
      <w:r>
        <w:rPr>
          <w:rFonts w:hint="eastAsia"/>
          <w:color w:val="auto"/>
          <w:highlight w:val="none"/>
        </w:rPr>
        <w:t xml:space="preserve">          </w:t>
      </w:r>
    </w:p>
    <w:p w14:paraId="37AE7485">
      <w:pPr>
        <w:pStyle w:val="193"/>
        <w:spacing w:line="460" w:lineRule="exact"/>
        <w:ind w:firstLine="480"/>
        <w:outlineLvl w:val="9"/>
        <w:rPr>
          <w:color w:val="auto"/>
          <w:highlight w:val="none"/>
        </w:rPr>
      </w:pPr>
      <w:r>
        <w:rPr>
          <w:rFonts w:hint="eastAsia"/>
          <w:color w:val="auto"/>
          <w:highlight w:val="none"/>
        </w:rPr>
        <w:t>2、我单位直接控股的其他单位如下：</w:t>
      </w:r>
      <w:r>
        <w:rPr>
          <w:rFonts w:hint="eastAsia"/>
          <w:color w:val="auto"/>
          <w:highlight w:val="none"/>
          <w:u w:val="single"/>
        </w:rPr>
        <w:t xml:space="preserve">                    </w:t>
      </w:r>
      <w:r>
        <w:rPr>
          <w:rFonts w:hint="eastAsia"/>
          <w:color w:val="auto"/>
          <w:highlight w:val="none"/>
        </w:rPr>
        <w:t xml:space="preserve"> </w:t>
      </w:r>
    </w:p>
    <w:p w14:paraId="535CD2E5">
      <w:pPr>
        <w:pStyle w:val="193"/>
        <w:spacing w:line="460" w:lineRule="exact"/>
        <w:ind w:firstLine="480"/>
        <w:outlineLvl w:val="9"/>
        <w:rPr>
          <w:color w:val="auto"/>
          <w:highlight w:val="none"/>
        </w:rPr>
      </w:pPr>
      <w:r>
        <w:rPr>
          <w:rFonts w:hint="eastAsia"/>
          <w:color w:val="auto"/>
          <w:highlight w:val="none"/>
        </w:rPr>
        <w:t>3、与我单位存在管理关系的其他单位如下：</w:t>
      </w:r>
      <w:r>
        <w:rPr>
          <w:rFonts w:hint="eastAsia"/>
          <w:color w:val="auto"/>
          <w:highlight w:val="none"/>
          <w:u w:val="single"/>
        </w:rPr>
        <w:t xml:space="preserve">              </w:t>
      </w:r>
      <w:r>
        <w:rPr>
          <w:rFonts w:hint="eastAsia"/>
          <w:color w:val="auto"/>
          <w:highlight w:val="none"/>
        </w:rPr>
        <w:t xml:space="preserve"> </w:t>
      </w:r>
    </w:p>
    <w:p w14:paraId="45E3C16E">
      <w:pPr>
        <w:pStyle w:val="193"/>
        <w:spacing w:line="460" w:lineRule="exact"/>
        <w:ind w:firstLine="480"/>
        <w:outlineLvl w:val="9"/>
        <w:rPr>
          <w:color w:val="auto"/>
          <w:highlight w:val="none"/>
        </w:rPr>
      </w:pPr>
      <w:r>
        <w:rPr>
          <w:rFonts w:hint="eastAsia"/>
          <w:color w:val="auto"/>
          <w:highlight w:val="none"/>
        </w:rPr>
        <w:t>九、</w:t>
      </w:r>
      <w:r>
        <w:rPr>
          <w:color w:val="auto"/>
          <w:highlight w:val="none"/>
        </w:rPr>
        <w:t>我</w:t>
      </w:r>
      <w:r>
        <w:rPr>
          <w:rFonts w:hint="eastAsia"/>
          <w:color w:val="auto"/>
          <w:highlight w:val="none"/>
        </w:rPr>
        <w:t>单位</w:t>
      </w:r>
      <w:r>
        <w:rPr>
          <w:color w:val="auto"/>
          <w:highlight w:val="none"/>
        </w:rPr>
        <w:t>不属于为本项目提供整体设计、规范编制或者项目管理、监理、检测等服务的供应商。</w:t>
      </w:r>
    </w:p>
    <w:p w14:paraId="5F6995AD">
      <w:pPr>
        <w:pStyle w:val="193"/>
        <w:spacing w:line="460" w:lineRule="exact"/>
        <w:ind w:firstLine="480"/>
        <w:outlineLvl w:val="9"/>
        <w:rPr>
          <w:color w:val="auto"/>
          <w:highlight w:val="none"/>
        </w:rPr>
      </w:pPr>
      <w:r>
        <w:rPr>
          <w:rFonts w:hint="eastAsia"/>
          <w:color w:val="auto"/>
          <w:highlight w:val="none"/>
        </w:rPr>
        <w:t>十、</w:t>
      </w:r>
      <w:r>
        <w:rPr>
          <w:color w:val="auto"/>
          <w:highlight w:val="none"/>
        </w:rPr>
        <w:t>我单位无以下不良信用记录情形：</w:t>
      </w:r>
    </w:p>
    <w:p w14:paraId="40A86CBD">
      <w:pPr>
        <w:pStyle w:val="193"/>
        <w:spacing w:line="460" w:lineRule="exact"/>
        <w:ind w:firstLine="480"/>
        <w:outlineLvl w:val="9"/>
        <w:rPr>
          <w:color w:val="auto"/>
          <w:highlight w:val="none"/>
        </w:rPr>
      </w:pPr>
      <w:r>
        <w:rPr>
          <w:color w:val="auto"/>
          <w:highlight w:val="none"/>
        </w:rPr>
        <w:t>1</w:t>
      </w:r>
      <w:r>
        <w:rPr>
          <w:rFonts w:hint="eastAsia"/>
          <w:color w:val="auto"/>
          <w:highlight w:val="none"/>
        </w:rPr>
        <w:t>、在“信用中国”网站被列入失信被执行人和重大税收违法案件当事人名单；</w:t>
      </w:r>
    </w:p>
    <w:p w14:paraId="342F3218">
      <w:pPr>
        <w:pStyle w:val="193"/>
        <w:spacing w:line="460" w:lineRule="exact"/>
        <w:ind w:firstLine="480"/>
        <w:outlineLvl w:val="9"/>
        <w:rPr>
          <w:color w:val="auto"/>
          <w:highlight w:val="none"/>
        </w:rPr>
      </w:pPr>
      <w:r>
        <w:rPr>
          <w:color w:val="auto"/>
          <w:highlight w:val="none"/>
        </w:rPr>
        <w:t>2</w:t>
      </w:r>
      <w:r>
        <w:rPr>
          <w:rFonts w:hint="eastAsia"/>
          <w:color w:val="auto"/>
          <w:highlight w:val="none"/>
        </w:rPr>
        <w:t>、在“中国政府采购网”网站被列入政府采购严重违法失信行为记录名单；</w:t>
      </w:r>
    </w:p>
    <w:p w14:paraId="083938F4">
      <w:pPr>
        <w:pStyle w:val="193"/>
        <w:spacing w:line="460" w:lineRule="exact"/>
        <w:ind w:firstLine="480"/>
        <w:outlineLvl w:val="9"/>
        <w:rPr>
          <w:color w:val="auto"/>
          <w:highlight w:val="none"/>
        </w:rPr>
      </w:pPr>
      <w:r>
        <w:rPr>
          <w:color w:val="auto"/>
          <w:highlight w:val="none"/>
        </w:rPr>
        <w:t>3</w:t>
      </w:r>
      <w:r>
        <w:rPr>
          <w:rFonts w:hint="eastAsia"/>
          <w:color w:val="auto"/>
          <w:highlight w:val="none"/>
        </w:rPr>
        <w:t>、</w:t>
      </w:r>
      <w:r>
        <w:rPr>
          <w:color w:val="auto"/>
          <w:highlight w:val="none"/>
        </w:rPr>
        <w:t>不符合《政府采购法》第二十二条规定的条件。</w:t>
      </w:r>
    </w:p>
    <w:p w14:paraId="74C070B5">
      <w:pPr>
        <w:pStyle w:val="193"/>
        <w:spacing w:line="460" w:lineRule="exact"/>
        <w:ind w:firstLine="480"/>
        <w:outlineLvl w:val="9"/>
        <w:rPr>
          <w:color w:val="auto"/>
          <w:highlight w:val="none"/>
        </w:rPr>
      </w:pPr>
    </w:p>
    <w:p w14:paraId="1702CFFD">
      <w:pPr>
        <w:pStyle w:val="193"/>
        <w:spacing w:line="460" w:lineRule="exact"/>
        <w:ind w:firstLine="480"/>
        <w:outlineLvl w:val="9"/>
        <w:rPr>
          <w:color w:val="auto"/>
          <w:highlight w:val="none"/>
        </w:rPr>
      </w:pPr>
      <w:r>
        <w:rPr>
          <w:rFonts w:hint="eastAsia"/>
          <w:color w:val="auto"/>
          <w:highlight w:val="none"/>
        </w:rPr>
        <w:t>我单位保证上述声明的事项都是真实的，如有虚假，我单位愿意承担相应的法律责任，并承担因此所造成的一切损失。</w:t>
      </w:r>
    </w:p>
    <w:p w14:paraId="305B265C">
      <w:pPr>
        <w:pStyle w:val="193"/>
        <w:spacing w:line="460" w:lineRule="exact"/>
        <w:ind w:firstLine="480"/>
        <w:outlineLvl w:val="9"/>
        <w:rPr>
          <w:color w:val="auto"/>
          <w:highlight w:val="none"/>
        </w:rPr>
      </w:pPr>
    </w:p>
    <w:p w14:paraId="08CA0C28">
      <w:pPr>
        <w:pStyle w:val="193"/>
        <w:spacing w:line="460" w:lineRule="exact"/>
        <w:ind w:firstLine="480"/>
        <w:outlineLvl w:val="9"/>
        <w:rPr>
          <w:color w:val="auto"/>
          <w:highlight w:val="none"/>
        </w:rPr>
      </w:pPr>
    </w:p>
    <w:p w14:paraId="224623E9">
      <w:pPr>
        <w:pStyle w:val="193"/>
        <w:spacing w:line="460" w:lineRule="exact"/>
        <w:ind w:firstLine="480"/>
        <w:outlineLvl w:val="9"/>
        <w:rPr>
          <w:color w:val="auto"/>
          <w:highlight w:val="none"/>
        </w:rPr>
      </w:pPr>
      <w:r>
        <w:rPr>
          <w:rFonts w:hint="eastAsia"/>
          <w:color w:val="auto"/>
          <w:highlight w:val="none"/>
        </w:rPr>
        <w:t>                                            供应商：（加盖公章）</w:t>
      </w:r>
    </w:p>
    <w:p w14:paraId="357EF521">
      <w:pPr>
        <w:pStyle w:val="193"/>
        <w:spacing w:line="460" w:lineRule="exact"/>
        <w:ind w:firstLine="480"/>
        <w:outlineLvl w:val="9"/>
        <w:rPr>
          <w:color w:val="auto"/>
          <w:highlight w:val="none"/>
        </w:rPr>
      </w:pPr>
      <w:r>
        <w:rPr>
          <w:rFonts w:hint="eastAsia"/>
          <w:color w:val="auto"/>
          <w:highlight w:val="none"/>
        </w:rPr>
        <w:t>                                           法定代表人（或单位负责人）签字或盖章：</w:t>
      </w:r>
    </w:p>
    <w:p w14:paraId="65762F9E">
      <w:pPr>
        <w:pStyle w:val="193"/>
        <w:spacing w:line="460" w:lineRule="exact"/>
        <w:ind w:firstLine="4920"/>
        <w:outlineLvl w:val="9"/>
        <w:rPr>
          <w:rFonts w:hint="eastAsia"/>
          <w:color w:val="auto"/>
          <w:highlight w:val="none"/>
        </w:rPr>
      </w:pPr>
      <w:r>
        <w:rPr>
          <w:rFonts w:hint="eastAsia"/>
          <w:color w:val="auto"/>
          <w:highlight w:val="none"/>
        </w:rPr>
        <w:t>日期：    年    月    日</w:t>
      </w:r>
    </w:p>
    <w:p w14:paraId="6CB40879">
      <w:pPr>
        <w:spacing w:line="360" w:lineRule="auto"/>
        <w:outlineLvl w:val="9"/>
        <w:rPr>
          <w:rFonts w:hint="eastAsia"/>
          <w:color w:val="auto"/>
          <w:sz w:val="24"/>
          <w:highlight w:val="none"/>
        </w:rPr>
      </w:pPr>
    </w:p>
    <w:p w14:paraId="403C344A">
      <w:pPr>
        <w:spacing w:line="360" w:lineRule="auto"/>
        <w:outlineLvl w:val="9"/>
        <w:rPr>
          <w:rFonts w:hint="eastAsia"/>
          <w:color w:val="auto"/>
          <w:sz w:val="24"/>
          <w:highlight w:val="none"/>
        </w:rPr>
      </w:pPr>
    </w:p>
    <w:p w14:paraId="00C39399">
      <w:pPr>
        <w:spacing w:line="360" w:lineRule="auto"/>
        <w:outlineLvl w:val="9"/>
        <w:rPr>
          <w:rFonts w:hint="eastAsia"/>
          <w:color w:val="auto"/>
          <w:sz w:val="24"/>
          <w:highlight w:val="none"/>
        </w:rPr>
      </w:pPr>
    </w:p>
    <w:p w14:paraId="09B9B65D">
      <w:pPr>
        <w:spacing w:line="360" w:lineRule="auto"/>
        <w:outlineLvl w:val="9"/>
        <w:rPr>
          <w:color w:val="auto"/>
          <w:sz w:val="24"/>
          <w:highlight w:val="none"/>
        </w:rPr>
      </w:pPr>
      <w:r>
        <w:rPr>
          <w:color w:val="auto"/>
          <w:sz w:val="24"/>
          <w:highlight w:val="none"/>
        </w:rPr>
        <w:t>说明：</w:t>
      </w:r>
      <w:r>
        <w:rPr>
          <w:rFonts w:hint="eastAsia"/>
          <w:color w:val="auto"/>
          <w:sz w:val="24"/>
          <w:highlight w:val="none"/>
        </w:rPr>
        <w:t>供应商承诺不实的，依据《政府采购法》第七十七条“提供虚假材料谋取中标、成交的”有关规定予以处理</w:t>
      </w:r>
      <w:r>
        <w:rPr>
          <w:color w:val="auto"/>
          <w:sz w:val="24"/>
          <w:highlight w:val="none"/>
        </w:rPr>
        <w:t>。</w:t>
      </w:r>
    </w:p>
    <w:p w14:paraId="6C703712">
      <w:pPr>
        <w:tabs>
          <w:tab w:val="left" w:pos="5580"/>
        </w:tabs>
        <w:spacing w:line="360" w:lineRule="auto"/>
        <w:outlineLvl w:val="9"/>
        <w:rPr>
          <w:color w:val="auto"/>
          <w:sz w:val="24"/>
          <w:highlight w:val="none"/>
        </w:rPr>
        <w:sectPr>
          <w:pgSz w:w="11907" w:h="16840"/>
          <w:pgMar w:top="1418" w:right="1134" w:bottom="1418" w:left="1701" w:header="851" w:footer="851" w:gutter="0"/>
          <w:pgNumType w:fmt="decimal"/>
          <w:cols w:space="1701" w:num="1"/>
          <w:docGrid w:linePitch="360" w:charSpace="0"/>
        </w:sectPr>
      </w:pPr>
    </w:p>
    <w:p w14:paraId="012170E0">
      <w:pPr>
        <w:pStyle w:val="6"/>
        <w:keepNext w:val="0"/>
        <w:keepLines w:val="0"/>
        <w:pageBreakBefore w:val="0"/>
        <w:widowControl w:val="0"/>
        <w:kinsoku/>
        <w:wordWrap/>
        <w:overflowPunct/>
        <w:topLinePunct w:val="0"/>
        <w:bidi w:val="0"/>
        <w:spacing w:line="360" w:lineRule="auto"/>
        <w:ind w:left="0" w:leftChars="0" w:firstLine="0" w:firstLineChars="0"/>
        <w:textAlignment w:val="auto"/>
        <w:outlineLvl w:val="9"/>
        <w:rPr>
          <w:rFonts w:hint="eastAsia" w:ascii="宋体" w:hAnsi="Times New Roman" w:eastAsia="宋体" w:cs="Times New Roman"/>
          <w:color w:val="auto"/>
          <w:highlight w:val="none"/>
        </w:rPr>
      </w:pPr>
      <w:bookmarkStart w:id="614" w:name="_Toc226965747"/>
      <w:bookmarkStart w:id="615" w:name="_Toc480942350"/>
      <w:bookmarkStart w:id="616" w:name="_Toc195842922"/>
      <w:bookmarkStart w:id="617" w:name="_Toc142311059"/>
      <w:bookmarkStart w:id="618" w:name="_Toc305158825"/>
      <w:bookmarkStart w:id="619" w:name="_Toc226965830"/>
      <w:bookmarkStart w:id="620" w:name="_Toc150480795"/>
      <w:bookmarkStart w:id="621" w:name="_Toc520356218"/>
      <w:bookmarkStart w:id="622" w:name="_Toc226309801"/>
      <w:bookmarkStart w:id="623" w:name="_Ref467988705"/>
      <w:bookmarkStart w:id="624" w:name="_Toc265228395"/>
      <w:bookmarkStart w:id="625" w:name="_Toc127151557"/>
      <w:bookmarkStart w:id="626" w:name="_Toc150774762"/>
      <w:bookmarkStart w:id="627" w:name="_Toc226337253"/>
      <w:bookmarkStart w:id="628" w:name="_Toc264969247"/>
      <w:bookmarkStart w:id="629" w:name="_Toc305158899"/>
      <w:r>
        <w:rPr>
          <w:rFonts w:hint="eastAsia" w:ascii="宋体" w:hAnsi="Times New Roman" w:eastAsia="宋体" w:cs="Times New Roman"/>
          <w:color w:val="auto"/>
          <w:highlight w:val="none"/>
          <w:lang w:val="en-US" w:eastAsia="zh-CN"/>
        </w:rPr>
        <w:t>2</w:t>
      </w:r>
      <w:r>
        <w:rPr>
          <w:rFonts w:hint="eastAsia" w:ascii="宋体" w:hAnsi="Times New Roman" w:eastAsia="宋体" w:cs="Times New Roman"/>
          <w:color w:val="auto"/>
          <w:highlight w:val="none"/>
        </w:rPr>
        <w:t>其他特定资格要求</w:t>
      </w:r>
    </w:p>
    <w:p w14:paraId="057F383D">
      <w:pPr>
        <w:spacing w:line="360" w:lineRule="auto"/>
        <w:ind w:firstLine="480" w:firstLineChars="200"/>
        <w:outlineLvl w:val="9"/>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w:t>
      </w:r>
    </w:p>
    <w:p w14:paraId="72E792BD">
      <w:pPr>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br w:type="page"/>
      </w:r>
    </w:p>
    <w:p w14:paraId="349E5DB2">
      <w:pPr>
        <w:spacing w:line="360" w:lineRule="auto"/>
        <w:outlineLvl w:val="9"/>
        <w:rPr>
          <w:color w:val="auto"/>
          <w:sz w:val="24"/>
          <w:szCs w:val="20"/>
          <w:highlight w:val="none"/>
        </w:rPr>
      </w:pPr>
      <w:r>
        <w:rPr>
          <w:rFonts w:hint="eastAsia"/>
          <w:color w:val="auto"/>
          <w:sz w:val="24"/>
          <w:szCs w:val="20"/>
          <w:highlight w:val="none"/>
          <w:lang w:val="en-US" w:eastAsia="zh-CN"/>
        </w:rPr>
        <w:t>3</w:t>
      </w:r>
      <w:r>
        <w:rPr>
          <w:color w:val="auto"/>
          <w:sz w:val="24"/>
          <w:szCs w:val="20"/>
          <w:highlight w:val="none"/>
        </w:rPr>
        <w:t xml:space="preserve"> 落实政府采购政策需满足的资格要求</w:t>
      </w:r>
    </w:p>
    <w:p w14:paraId="345B7102">
      <w:pPr>
        <w:spacing w:line="360" w:lineRule="auto"/>
        <w:outlineLvl w:val="9"/>
        <w:rPr>
          <w:color w:val="auto"/>
          <w:sz w:val="24"/>
          <w:szCs w:val="20"/>
          <w:highlight w:val="none"/>
        </w:rPr>
      </w:pPr>
      <w:r>
        <w:rPr>
          <w:rFonts w:hint="eastAsia"/>
          <w:color w:val="auto"/>
          <w:sz w:val="24"/>
          <w:szCs w:val="20"/>
          <w:highlight w:val="none"/>
          <w:lang w:val="en-US" w:eastAsia="zh-CN"/>
        </w:rPr>
        <w:t>3</w:t>
      </w:r>
      <w:r>
        <w:rPr>
          <w:color w:val="auto"/>
          <w:sz w:val="24"/>
          <w:szCs w:val="20"/>
          <w:highlight w:val="none"/>
        </w:rPr>
        <w:t>-1 中小企业声明函</w:t>
      </w:r>
    </w:p>
    <w:p w14:paraId="51E7B30D">
      <w:pPr>
        <w:tabs>
          <w:tab w:val="left" w:pos="5580"/>
        </w:tabs>
        <w:spacing w:line="360" w:lineRule="auto"/>
        <w:outlineLvl w:val="9"/>
        <w:rPr>
          <w:color w:val="auto"/>
          <w:sz w:val="24"/>
          <w:highlight w:val="none"/>
        </w:rPr>
      </w:pPr>
    </w:p>
    <w:p w14:paraId="30AA8C6A">
      <w:pPr>
        <w:tabs>
          <w:tab w:val="left" w:pos="5580"/>
        </w:tabs>
        <w:spacing w:line="360" w:lineRule="auto"/>
        <w:outlineLvl w:val="9"/>
        <w:rPr>
          <w:color w:val="auto"/>
          <w:sz w:val="24"/>
          <w:highlight w:val="none"/>
        </w:rPr>
      </w:pPr>
      <w:r>
        <w:rPr>
          <w:color w:val="auto"/>
          <w:sz w:val="24"/>
          <w:highlight w:val="none"/>
        </w:rPr>
        <w:t>说明：</w:t>
      </w:r>
    </w:p>
    <w:p w14:paraId="25CE5EDB">
      <w:pPr>
        <w:tabs>
          <w:tab w:val="left" w:pos="5580"/>
        </w:tabs>
        <w:spacing w:line="360" w:lineRule="auto"/>
        <w:outlineLvl w:val="9"/>
        <w:rPr>
          <w:color w:val="auto"/>
          <w:sz w:val="24"/>
          <w:highlight w:val="none"/>
        </w:rPr>
      </w:pPr>
      <w:r>
        <w:rPr>
          <w:color w:val="auto"/>
          <w:sz w:val="24"/>
          <w:highlight w:val="none"/>
        </w:rPr>
        <w:t>（1）本项目专门面向中小企业采购，须提供《中小企业声明函》</w:t>
      </w:r>
      <w:r>
        <w:rPr>
          <w:color w:val="auto"/>
          <w:sz w:val="24"/>
          <w:szCs w:val="20"/>
          <w:highlight w:val="none"/>
        </w:rPr>
        <w:t>（实质性格式）</w:t>
      </w:r>
      <w:r>
        <w:rPr>
          <w:color w:val="auto"/>
          <w:sz w:val="24"/>
          <w:highlight w:val="none"/>
        </w:rPr>
        <w:t>。</w:t>
      </w:r>
    </w:p>
    <w:p w14:paraId="07F28773">
      <w:pPr>
        <w:tabs>
          <w:tab w:val="left" w:pos="5580"/>
        </w:tabs>
        <w:spacing w:line="360" w:lineRule="auto"/>
        <w:outlineLvl w:val="9"/>
        <w:rPr>
          <w:color w:val="auto"/>
          <w:sz w:val="24"/>
          <w:highlight w:val="none"/>
        </w:rPr>
      </w:pPr>
      <w:r>
        <w:rPr>
          <w:color w:val="auto"/>
          <w:sz w:val="24"/>
          <w:highlight w:val="none"/>
        </w:rPr>
        <w:t>（2）其它</w:t>
      </w:r>
      <w:r>
        <w:rPr>
          <w:rFonts w:hint="eastAsia"/>
          <w:color w:val="auto"/>
          <w:sz w:val="24"/>
          <w:highlight w:val="none"/>
          <w:lang w:eastAsia="zh-CN"/>
        </w:rPr>
        <w:t>：</w:t>
      </w:r>
      <w:r>
        <w:rPr>
          <w:color w:val="auto"/>
          <w:sz w:val="24"/>
          <w:highlight w:val="none"/>
        </w:rPr>
        <w:t>中小企业参加政府采购活动，应当出具此格式文件。《中小企业声明函》由参加政府采购活动的供应商出具。</w:t>
      </w:r>
    </w:p>
    <w:p w14:paraId="513B058A">
      <w:pPr>
        <w:tabs>
          <w:tab w:val="left" w:pos="5580"/>
        </w:tabs>
        <w:spacing w:line="360" w:lineRule="auto"/>
        <w:outlineLvl w:val="9"/>
        <w:rPr>
          <w:color w:val="auto"/>
          <w:sz w:val="24"/>
          <w:highlight w:val="none"/>
        </w:rPr>
      </w:pPr>
      <w:r>
        <w:rPr>
          <w:color w:val="auto"/>
          <w:sz w:val="24"/>
          <w:highlight w:val="none"/>
        </w:rPr>
        <w:t>（</w:t>
      </w:r>
      <w:r>
        <w:rPr>
          <w:rFonts w:hint="eastAsia"/>
          <w:color w:val="auto"/>
          <w:sz w:val="24"/>
          <w:highlight w:val="none"/>
          <w:lang w:val="en-US" w:eastAsia="zh-CN"/>
        </w:rPr>
        <w:t>3</w:t>
      </w:r>
      <w:r>
        <w:rPr>
          <w:color w:val="auto"/>
          <w:sz w:val="24"/>
          <w:highlight w:val="none"/>
        </w:rPr>
        <w:t>）</w:t>
      </w:r>
      <w:r>
        <w:rPr>
          <w:rFonts w:hint="eastAsia"/>
          <w:color w:val="auto"/>
          <w:sz w:val="24"/>
          <w:highlight w:val="none"/>
        </w:rPr>
        <w:t>中小企业认定标准以《关于印发中小企业划型标准规定的通知》（工信部联企业〔2011〕300号）文件规定为准。</w:t>
      </w:r>
    </w:p>
    <w:p w14:paraId="36CBDC23">
      <w:pPr>
        <w:tabs>
          <w:tab w:val="left" w:pos="5580"/>
        </w:tabs>
        <w:spacing w:line="360" w:lineRule="auto"/>
        <w:outlineLvl w:val="9"/>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4</w:t>
      </w:r>
      <w:r>
        <w:rPr>
          <w:rFonts w:hint="eastAsia"/>
          <w:color w:val="auto"/>
          <w:sz w:val="24"/>
          <w:highlight w:val="none"/>
          <w:lang w:eastAsia="zh-CN"/>
        </w:rPr>
        <w:t>）</w:t>
      </w:r>
      <w:r>
        <w:rPr>
          <w:color w:val="auto"/>
          <w:sz w:val="24"/>
          <w:highlight w:val="none"/>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rFonts w:hint="eastAsia"/>
          <w:color w:val="auto"/>
          <w:sz w:val="24"/>
          <w:highlight w:val="none"/>
        </w:rPr>
        <w:t>（工信部网址：https</w:t>
      </w:r>
      <w:r>
        <w:rPr>
          <w:rFonts w:hint="eastAsia"/>
          <w:color w:val="auto"/>
          <w:sz w:val="24"/>
          <w:highlight w:val="none"/>
          <w:lang w:eastAsia="zh-CN"/>
        </w:rPr>
        <w:t>：</w:t>
      </w:r>
      <w:r>
        <w:rPr>
          <w:rFonts w:hint="eastAsia"/>
          <w:color w:val="auto"/>
          <w:sz w:val="24"/>
          <w:highlight w:val="none"/>
        </w:rPr>
        <w:t>//baosong.miit.gov.cn/ScaleTest）</w:t>
      </w:r>
    </w:p>
    <w:p w14:paraId="6BA8174E">
      <w:pPr>
        <w:tabs>
          <w:tab w:val="left" w:pos="5580"/>
        </w:tabs>
        <w:spacing w:line="360" w:lineRule="auto"/>
        <w:outlineLvl w:val="9"/>
        <w:rPr>
          <w:color w:val="auto"/>
          <w:sz w:val="24"/>
          <w:highlight w:val="none"/>
        </w:rPr>
      </w:pPr>
    </w:p>
    <w:p w14:paraId="411767AE">
      <w:pPr>
        <w:tabs>
          <w:tab w:val="left" w:pos="5580"/>
        </w:tabs>
        <w:spacing w:line="360" w:lineRule="auto"/>
        <w:outlineLvl w:val="9"/>
        <w:rPr>
          <w:color w:val="auto"/>
          <w:sz w:val="24"/>
          <w:highlight w:val="none"/>
        </w:rPr>
      </w:pPr>
    </w:p>
    <w:p w14:paraId="73E71E9B">
      <w:pPr>
        <w:spacing w:before="240" w:after="240" w:line="360" w:lineRule="auto"/>
        <w:jc w:val="center"/>
        <w:outlineLvl w:val="9"/>
        <w:rPr>
          <w:rFonts w:ascii="方正小标宋简体" w:hAnsi="宋体" w:eastAsia="方正小标宋简体" w:cs="Times New Roman"/>
          <w:color w:val="auto"/>
          <w:sz w:val="44"/>
          <w:szCs w:val="44"/>
          <w:highlight w:val="none"/>
        </w:rPr>
      </w:pPr>
      <w:r>
        <w:rPr>
          <w:color w:val="auto"/>
          <w:sz w:val="24"/>
          <w:highlight w:val="none"/>
        </w:rPr>
        <w:br w:type="page" w:clear="all"/>
      </w:r>
      <w:r>
        <w:rPr>
          <w:rFonts w:ascii="方正小标宋简体" w:hAnsi="宋体" w:eastAsia="方正小标宋简体" w:cs="Times New Roman"/>
          <w:color w:val="auto"/>
          <w:sz w:val="44"/>
          <w:szCs w:val="44"/>
          <w:highlight w:val="none"/>
        </w:rPr>
        <w:t>中小企业声明函</w:t>
      </w:r>
      <w:r>
        <w:rPr>
          <w:rFonts w:hint="eastAsia" w:ascii="方正小标宋简体" w:hAnsi="宋体" w:eastAsia="方正小标宋简体" w:cs="Times New Roman"/>
          <w:color w:val="auto"/>
          <w:sz w:val="44"/>
          <w:szCs w:val="44"/>
          <w:highlight w:val="none"/>
        </w:rPr>
        <w:t>格式</w:t>
      </w:r>
    </w:p>
    <w:p w14:paraId="4F18D603">
      <w:pPr>
        <w:spacing w:line="570" w:lineRule="exact"/>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w:t>
      </w:r>
      <w:r>
        <w:rPr>
          <w:color w:val="auto"/>
          <w:spacing w:val="6"/>
          <w:sz w:val="24"/>
          <w:highlight w:val="none"/>
          <w:u w:val="single"/>
        </w:rPr>
        <w:t>（</w:t>
      </w:r>
      <w:r>
        <w:rPr>
          <w:rFonts w:hint="eastAsia"/>
          <w:color w:val="auto"/>
          <w:spacing w:val="6"/>
          <w:sz w:val="24"/>
          <w:highlight w:val="none"/>
          <w:u w:val="single"/>
        </w:rPr>
        <w:t>此处填</w:t>
      </w:r>
      <w:r>
        <w:rPr>
          <w:rFonts w:hint="eastAsia"/>
          <w:color w:val="auto"/>
          <w:spacing w:val="6"/>
          <w:sz w:val="24"/>
          <w:highlight w:val="none"/>
          <w:u w:val="single"/>
          <w:lang w:val="en-US" w:eastAsia="zh-CN"/>
        </w:rPr>
        <w:t>供应商</w:t>
      </w:r>
      <w:r>
        <w:rPr>
          <w:color w:val="auto"/>
          <w:spacing w:val="6"/>
          <w:sz w:val="24"/>
          <w:highlight w:val="none"/>
          <w:u w:val="single"/>
        </w:rPr>
        <w:t>单位名称）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组织的</w:t>
      </w:r>
      <w:r>
        <w:rPr>
          <w:rFonts w:hint="eastAsia" w:ascii="宋体" w:hAnsi="宋体" w:eastAsia="宋体" w:cs="宋体"/>
          <w:color w:val="auto"/>
          <w:sz w:val="24"/>
          <w:szCs w:val="24"/>
          <w:highlight w:val="none"/>
          <w:u w:val="single"/>
        </w:rPr>
        <w:t>（采购单位名称①）</w:t>
      </w:r>
      <w:r>
        <w:rPr>
          <w:rFonts w:hint="eastAsia" w:ascii="宋体" w:hAnsi="宋体" w:eastAsia="宋体" w:cs="宋体"/>
          <w:color w:val="auto"/>
          <w:sz w:val="24"/>
          <w:szCs w:val="24"/>
          <w:highlight w:val="none"/>
        </w:rPr>
        <w:t>采购编号为</w:t>
      </w:r>
      <w:r>
        <w:rPr>
          <w:rFonts w:hint="eastAsia" w:ascii="宋体" w:hAnsi="宋体" w:eastAsia="宋体" w:cs="宋体"/>
          <w:color w:val="auto"/>
          <w:sz w:val="24"/>
          <w:szCs w:val="24"/>
          <w:highlight w:val="none"/>
          <w:u w:val="single"/>
        </w:rPr>
        <w:t>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（项目名称③）（分包号：④）</w:t>
      </w:r>
      <w:r>
        <w:rPr>
          <w:rFonts w:hint="eastAsia" w:ascii="宋体" w:hAnsi="宋体" w:eastAsia="宋体" w:cs="宋体"/>
          <w:color w:val="auto"/>
          <w:sz w:val="24"/>
          <w:szCs w:val="24"/>
          <w:highlight w:val="none"/>
        </w:rPr>
        <w:t>的采购活动，服务全部由符合政策的中小企业承接。根据《工业和信息化部、国家统计局、国家发展和改革委员会、财政部关于印发中小企业划型标准规定的通知》(工信部联企业[2011]300号)的规定，相关企业的具体情况如下：</w:t>
      </w:r>
    </w:p>
    <w:p w14:paraId="417E8CBC">
      <w:pPr>
        <w:spacing w:line="570" w:lineRule="exact"/>
        <w:ind w:firstLine="360"/>
        <w:rPr>
          <w:rFonts w:hint="eastAsia" w:ascii="宋体" w:hAnsi="宋体" w:eastAsia="宋体" w:cs="宋体"/>
          <w:i/>
          <w:color w:val="auto"/>
          <w:sz w:val="24"/>
          <w:szCs w:val="24"/>
          <w:highlight w:val="none"/>
          <w:u w:val="single"/>
        </w:rPr>
      </w:pPr>
      <w:r>
        <w:rPr>
          <w:rFonts w:hint="eastAsia" w:ascii="宋体" w:hAnsi="宋体" w:eastAsia="宋体" w:cs="宋体"/>
          <w:color w:val="auto"/>
          <w:sz w:val="24"/>
          <w:szCs w:val="24"/>
          <w:highlight w:val="none"/>
          <w:u w:val="single"/>
        </w:rPr>
        <w:t>（标的名称⑤）</w:t>
      </w:r>
      <w:r>
        <w:rPr>
          <w:rFonts w:hint="eastAsia" w:ascii="宋体" w:hAnsi="宋体" w:eastAsia="宋体" w:cs="宋体"/>
          <w:i/>
          <w:color w:val="auto"/>
          <w:sz w:val="24"/>
          <w:szCs w:val="24"/>
          <w:highlight w:val="non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（采购文件中明确的所属行业⑥）</w:t>
      </w:r>
      <w:r>
        <w:rPr>
          <w:rFonts w:hint="eastAsia" w:ascii="宋体" w:hAnsi="宋体" w:eastAsia="宋体" w:cs="宋体"/>
          <w:color w:val="auto"/>
          <w:sz w:val="24"/>
          <w:szCs w:val="24"/>
          <w:highlight w:val="none"/>
        </w:rPr>
        <w:t>行业；承接企业为</w:t>
      </w:r>
      <w:r>
        <w:rPr>
          <w:rFonts w:hint="eastAsia" w:ascii="宋体" w:hAnsi="宋体" w:eastAsia="宋体" w:cs="宋体"/>
          <w:color w:val="auto"/>
          <w:sz w:val="24"/>
          <w:szCs w:val="24"/>
          <w:highlight w:val="none"/>
          <w:u w:val="single"/>
        </w:rPr>
        <w:t>（企业名称⑦）</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⑧</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⑨</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⑩</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（中型企业、小型企业、微型企业⑪）；</w:t>
      </w:r>
    </w:p>
    <w:p w14:paraId="2D92ACFA">
      <w:pPr>
        <w:spacing w:line="570" w:lineRule="exact"/>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69296B9A">
      <w:pPr>
        <w:spacing w:line="570" w:lineRule="exact"/>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1E42E1A9">
      <w:pPr>
        <w:spacing w:line="570" w:lineRule="exact"/>
        <w:ind w:right="180" w:firstLine="360"/>
        <w:jc w:val="right"/>
        <w:rPr>
          <w:rFonts w:hint="eastAsia" w:ascii="宋体" w:hAnsi="宋体" w:eastAsia="宋体" w:cs="宋体"/>
          <w:color w:val="auto"/>
          <w:sz w:val="24"/>
          <w:szCs w:val="24"/>
          <w:highlight w:val="none"/>
        </w:rPr>
      </w:pPr>
    </w:p>
    <w:p w14:paraId="6642EB10">
      <w:pPr>
        <w:spacing w:line="570" w:lineRule="exact"/>
        <w:ind w:right="180" w:firstLine="360"/>
        <w:jc w:val="right"/>
        <w:rPr>
          <w:rFonts w:hint="eastAsia" w:ascii="宋体" w:hAnsi="宋体" w:eastAsia="宋体" w:cs="宋体"/>
          <w:color w:val="auto"/>
          <w:sz w:val="24"/>
          <w:szCs w:val="24"/>
          <w:highlight w:val="none"/>
        </w:rPr>
      </w:pPr>
    </w:p>
    <w:p w14:paraId="7A4A2576">
      <w:pPr>
        <w:spacing w:line="570" w:lineRule="exact"/>
        <w:ind w:right="180" w:firstLine="360"/>
        <w:jc w:val="right"/>
        <w:rPr>
          <w:rFonts w:hint="eastAsia" w:ascii="宋体" w:hAnsi="宋体" w:eastAsia="宋体" w:cs="宋体"/>
          <w:color w:val="auto"/>
          <w:sz w:val="24"/>
          <w:szCs w:val="24"/>
          <w:highlight w:val="none"/>
        </w:rPr>
      </w:pPr>
    </w:p>
    <w:p w14:paraId="469DAFF0">
      <w:pPr>
        <w:spacing w:line="570" w:lineRule="exact"/>
        <w:ind w:right="180" w:firstLine="36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企业名称（加盖CA电子公章）⑫：</w:t>
      </w:r>
    </w:p>
    <w:p w14:paraId="2C9685DD">
      <w:pPr>
        <w:spacing w:line="570" w:lineRule="exact"/>
        <w:ind w:right="480" w:firstLine="5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525FC1A8">
      <w:pPr>
        <w:spacing w:line="570" w:lineRule="exact"/>
        <w:rPr>
          <w:rFonts w:hint="eastAsia" w:ascii="宋体" w:hAnsi="宋体" w:eastAsia="宋体" w:cs="宋体"/>
          <w:color w:val="auto"/>
          <w:sz w:val="24"/>
          <w:szCs w:val="24"/>
          <w:highlight w:val="none"/>
        </w:rPr>
      </w:pPr>
    </w:p>
    <w:p w14:paraId="54E3A1FB">
      <w:pPr>
        <w:spacing w:line="570" w:lineRule="exact"/>
        <w:rPr>
          <w:rFonts w:hint="eastAsia" w:ascii="宋体" w:hAnsi="宋体" w:eastAsia="宋体" w:cs="宋体"/>
          <w:b/>
          <w:color w:val="auto"/>
          <w:sz w:val="24"/>
          <w:szCs w:val="24"/>
          <w:highlight w:val="none"/>
        </w:rPr>
      </w:pPr>
    </w:p>
    <w:p w14:paraId="6A0EE3C5">
      <w:pPr>
        <w:spacing w:line="570" w:lineRule="exact"/>
        <w:rPr>
          <w:rFonts w:hint="eastAsia" w:ascii="宋体" w:hAnsi="宋体" w:eastAsia="宋体" w:cs="宋体"/>
          <w:color w:val="auto"/>
          <w:sz w:val="24"/>
          <w:szCs w:val="24"/>
          <w:highlight w:val="none"/>
        </w:rPr>
      </w:pPr>
    </w:p>
    <w:p w14:paraId="539A23C5">
      <w:pPr>
        <w:spacing w:line="570" w:lineRule="exact"/>
        <w:rPr>
          <w:rFonts w:hint="eastAsia" w:ascii="宋体" w:hAnsi="宋体" w:eastAsia="宋体" w:cs="宋体"/>
          <w:color w:val="auto"/>
          <w:sz w:val="24"/>
          <w:szCs w:val="24"/>
          <w:highlight w:val="none"/>
        </w:rPr>
      </w:pPr>
    </w:p>
    <w:p w14:paraId="47B05197">
      <w:pPr>
        <w:spacing w:line="57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填写说明：</w:t>
      </w:r>
    </w:p>
    <w:p w14:paraId="1C8B55F5">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1.（采购单位名称①）：填写本项目采购人单位名称，如常州市XXX局。</w:t>
      </w:r>
    </w:p>
    <w:p w14:paraId="2B160358">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2.采购编号为②：填写本项目编号，如</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44C7B341">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3.（项目名称③）：填写本项目名称，如常州市XXX项目。</w:t>
      </w:r>
    </w:p>
    <w:p w14:paraId="5B5141A4">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4.（分包号：④）：填写分包编号，如有分包的，分别填写分包号，没有的填“无”。</w:t>
      </w:r>
    </w:p>
    <w:p w14:paraId="0B0CF1F1">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5.（标的名称⑤）：填写本项目标的名称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如XXX</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w:t>
      </w:r>
    </w:p>
    <w:p w14:paraId="33D88705">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6.（采购文件中明确的所属行业⑥）：填写本项目采购标的所属行业。须根据采购文件“第二章  供应商须知”表格中列明的所属行业进行填写。如：</w:t>
      </w:r>
      <w:r>
        <w:rPr>
          <w:rFonts w:hint="eastAsia" w:ascii="宋体" w:hAnsi="宋体" w:eastAsia="宋体" w:cs="宋体"/>
          <w:color w:val="auto"/>
          <w:sz w:val="24"/>
          <w:szCs w:val="24"/>
          <w:highlight w:val="none"/>
          <w:lang w:val="en-US" w:eastAsia="zh-CN"/>
        </w:rPr>
        <w:t>其他未列明行业</w:t>
      </w:r>
      <w:r>
        <w:rPr>
          <w:rFonts w:hint="eastAsia" w:ascii="宋体" w:hAnsi="宋体" w:eastAsia="宋体" w:cs="宋体"/>
          <w:color w:val="auto"/>
          <w:sz w:val="24"/>
          <w:szCs w:val="24"/>
          <w:highlight w:val="none"/>
        </w:rPr>
        <w:t>。</w:t>
      </w:r>
    </w:p>
    <w:p w14:paraId="0FB65792">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7.（企业名称⑦）：填写</w:t>
      </w:r>
      <w:r>
        <w:rPr>
          <w:rFonts w:hint="eastAsia" w:ascii="宋体" w:hAnsi="宋体" w:eastAsia="宋体" w:cs="宋体"/>
          <w:b/>
          <w:bCs/>
          <w:color w:val="auto"/>
          <w:sz w:val="24"/>
          <w:szCs w:val="24"/>
          <w:highlight w:val="none"/>
        </w:rPr>
        <w:t>投标人或供应商的名称</w:t>
      </w:r>
      <w:r>
        <w:rPr>
          <w:rFonts w:hint="eastAsia" w:ascii="宋体" w:hAnsi="宋体" w:eastAsia="宋体" w:cs="宋体"/>
          <w:color w:val="auto"/>
          <w:sz w:val="24"/>
          <w:szCs w:val="24"/>
          <w:highlight w:val="none"/>
        </w:rPr>
        <w:t>，如XXX公司。</w:t>
      </w:r>
    </w:p>
    <w:p w14:paraId="703E4E70">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8.从业人员⑧人，营业收入为⑨万元，资产总额为⑩万元：填报</w:t>
      </w:r>
      <w:r>
        <w:rPr>
          <w:rFonts w:hint="eastAsia" w:ascii="宋体" w:hAnsi="宋体" w:eastAsia="宋体" w:cs="宋体"/>
          <w:b/>
          <w:bCs/>
          <w:color w:val="auto"/>
          <w:sz w:val="24"/>
          <w:szCs w:val="24"/>
          <w:highlight w:val="none"/>
        </w:rPr>
        <w:t>投标人或供应商</w:t>
      </w:r>
      <w:r>
        <w:rPr>
          <w:rFonts w:hint="eastAsia" w:ascii="宋体" w:hAnsi="宋体" w:eastAsia="宋体" w:cs="宋体"/>
          <w:color w:val="auto"/>
          <w:sz w:val="24"/>
          <w:szCs w:val="24"/>
          <w:highlight w:val="none"/>
        </w:rPr>
        <w:t>的从业人员、营业收入、资产总额上一年度数据，无上一年度数据的新成立企业可不填报。</w:t>
      </w:r>
    </w:p>
    <w:p w14:paraId="42019315">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9.（中型企业、小型企业、微型企业</w:t>
      </w:r>
      <w:r>
        <w:rPr>
          <w:rFonts w:hint="eastAsia" w:ascii="宋体" w:hAnsi="宋体" w:eastAsia="宋体" w:cs="宋体"/>
          <w:color w:val="auto"/>
          <w:sz w:val="24"/>
          <w:szCs w:val="24"/>
          <w:highlight w:val="none"/>
          <w:u w:val="single"/>
        </w:rPr>
        <w:t>⑪</w:t>
      </w:r>
      <w:r>
        <w:rPr>
          <w:rFonts w:hint="eastAsia" w:ascii="宋体" w:hAnsi="宋体" w:eastAsia="宋体" w:cs="宋体"/>
          <w:color w:val="auto"/>
          <w:sz w:val="24"/>
          <w:szCs w:val="24"/>
          <w:highlight w:val="none"/>
        </w:rPr>
        <w:t>）：根据</w:t>
      </w:r>
      <w:r>
        <w:rPr>
          <w:rFonts w:hint="eastAsia" w:ascii="宋体" w:hAnsi="宋体" w:eastAsia="宋体" w:cs="宋体"/>
          <w:b/>
          <w:bCs/>
          <w:color w:val="auto"/>
          <w:sz w:val="24"/>
          <w:szCs w:val="24"/>
          <w:highlight w:val="none"/>
        </w:rPr>
        <w:t>投标人或供应商</w:t>
      </w:r>
      <w:r>
        <w:rPr>
          <w:rFonts w:hint="eastAsia" w:ascii="宋体" w:hAnsi="宋体" w:eastAsia="宋体" w:cs="宋体"/>
          <w:color w:val="auto"/>
          <w:sz w:val="24"/>
          <w:szCs w:val="24"/>
          <w:highlight w:val="none"/>
        </w:rPr>
        <w:t>的企业规模情况填写中型企业、小型企业或微型企业</w:t>
      </w:r>
      <w:r>
        <w:rPr>
          <w:rFonts w:hint="eastAsia" w:ascii="宋体" w:hAnsi="宋体" w:eastAsia="宋体" w:cs="宋体"/>
          <w:b/>
          <w:bCs/>
          <w:color w:val="auto"/>
          <w:sz w:val="24"/>
          <w:szCs w:val="24"/>
          <w:highlight w:val="none"/>
        </w:rPr>
        <w:t>（只能填写三种其中的一种）</w:t>
      </w:r>
      <w:r>
        <w:rPr>
          <w:rFonts w:hint="eastAsia" w:ascii="宋体" w:hAnsi="宋体" w:eastAsia="宋体" w:cs="宋体"/>
          <w:color w:val="auto"/>
          <w:sz w:val="24"/>
          <w:szCs w:val="24"/>
          <w:highlight w:val="none"/>
        </w:rPr>
        <w:t>。中小企业划分见《关于印发中小企业划型标准规定的通知》（工信部联企业〔2011〕300号) 。</w:t>
      </w:r>
    </w:p>
    <w:p w14:paraId="4B0F4A23">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10.企业名称（盖章）⑫：加盖</w:t>
      </w:r>
      <w:r>
        <w:rPr>
          <w:rFonts w:hint="eastAsia" w:ascii="宋体" w:hAnsi="宋体" w:eastAsia="宋体" w:cs="宋体"/>
          <w:b/>
          <w:bCs/>
          <w:color w:val="auto"/>
          <w:sz w:val="24"/>
          <w:szCs w:val="24"/>
          <w:highlight w:val="none"/>
        </w:rPr>
        <w:t>投标人或供应商</w:t>
      </w:r>
      <w:r>
        <w:rPr>
          <w:rFonts w:hint="eastAsia" w:ascii="宋体" w:hAnsi="宋体" w:eastAsia="宋体" w:cs="宋体"/>
          <w:color w:val="auto"/>
          <w:sz w:val="24"/>
          <w:szCs w:val="24"/>
          <w:highlight w:val="none"/>
        </w:rPr>
        <w:t>CA电子公章。</w:t>
      </w:r>
    </w:p>
    <w:p w14:paraId="365ABEBF">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11.如是</w:t>
      </w:r>
      <w:r>
        <w:rPr>
          <w:rFonts w:hint="eastAsia" w:ascii="宋体" w:hAnsi="宋体" w:eastAsia="宋体" w:cs="宋体"/>
          <w:b/>
          <w:color w:val="auto"/>
          <w:sz w:val="24"/>
          <w:szCs w:val="24"/>
          <w:highlight w:val="none"/>
        </w:rPr>
        <w:t>专门面向中小企业预留份额</w:t>
      </w:r>
      <w:r>
        <w:rPr>
          <w:rFonts w:hint="eastAsia" w:ascii="宋体" w:hAnsi="宋体" w:eastAsia="宋体" w:cs="宋体"/>
          <w:color w:val="auto"/>
          <w:sz w:val="24"/>
          <w:szCs w:val="24"/>
          <w:highlight w:val="none"/>
        </w:rPr>
        <w:t>的采购项目，供应商未提供此声明函的，资格审查不予通过，作为</w:t>
      </w:r>
      <w:r>
        <w:rPr>
          <w:rFonts w:hint="eastAsia" w:ascii="宋体" w:hAnsi="宋体" w:eastAsia="宋体" w:cs="宋体"/>
          <w:b/>
          <w:color w:val="auto"/>
          <w:sz w:val="24"/>
          <w:szCs w:val="24"/>
          <w:highlight w:val="none"/>
        </w:rPr>
        <w:t>无效投标（响应）</w:t>
      </w:r>
      <w:r>
        <w:rPr>
          <w:rFonts w:hint="eastAsia" w:ascii="宋体" w:hAnsi="宋体" w:eastAsia="宋体" w:cs="宋体"/>
          <w:color w:val="auto"/>
          <w:sz w:val="24"/>
          <w:szCs w:val="24"/>
          <w:highlight w:val="none"/>
        </w:rPr>
        <w:t>。如是非专门面向中小企业预留份额的采购项目，供应商未提供此声明函的，评审时不享受小微型企业价格扣除政策。此声明函将随成交结果同时公告，接受社会监督。供应商应当自行核实是否属于中小微企业，并认真填写声明函，若有虚假将追究其责任。</w:t>
      </w:r>
    </w:p>
    <w:p w14:paraId="5936CE18">
      <w:pPr>
        <w:pStyle w:val="451"/>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12.温馨提示</w:t>
      </w:r>
    </w:p>
    <w:p w14:paraId="1115FCD4">
      <w:pPr>
        <w:pStyle w:val="451"/>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（1）对于已纳入统计部门统计范围的企业，所属行业、从业人员、营业收入、资产总额、规模类型应与统计部门报表保持一致。</w:t>
      </w:r>
    </w:p>
    <w:p w14:paraId="192EBF7E">
      <w:pPr>
        <w:pStyle w:val="451"/>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14:paraId="1E0FE574">
      <w:pPr>
        <w:pStyle w:val="451"/>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提供第三方（如制造商）书面声明、检测报告等资料作为投标文件组成部分的，供应商应保证投标所提供第三方资料内容真实、完整、准确。如相关第三方书面声明、相关检测报告等资料虚假，监管部门有权根据调查情形认定其是否属于提供虚假材料谋取中标，并严肃处理。</w:t>
      </w:r>
    </w:p>
    <w:p w14:paraId="10CE8D57">
      <w:pPr>
        <w:pStyle w:val="451"/>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（4）对于采购文件确实允许非独立法人参与采购活动的，应按其所属集团公司合并财务报表数据情况予以填报。</w:t>
      </w:r>
    </w:p>
    <w:p w14:paraId="154F6D35">
      <w:pPr>
        <w:pStyle w:val="451"/>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（5）《中小企业声明函》真实性由其出具的供应商负责。《中小企业声明函》中相关企业[制造商、承接企业]所属行业应当与采购标的的所属行业相一致。《中小企业声明函》应当充分、准确反映供应商的信息。</w:t>
      </w:r>
    </w:p>
    <w:p w14:paraId="105EF5A6">
      <w:pPr>
        <w:pStyle w:val="451"/>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（6）经调查发现供应商提供《中小企业声明函》内容与实际不符的，政府采购监管部门有权根据《中小企业声明函》与实际情况的差异视情形认定其是否属于虚假材料谋取中标。</w:t>
      </w:r>
    </w:p>
    <w:p w14:paraId="193E78EF">
      <w:pPr>
        <w:pStyle w:val="451"/>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（7）根据《财政部关于规范政府采购行政处罚有关问题的通知》（财库〔2015〕150 号）规定，各级人民政府财政部门依法对供应商作出的禁止参加政府采购活动的行政处罚决定在全国范围内生效。</w:t>
      </w:r>
    </w:p>
    <w:p w14:paraId="43C99519">
      <w:pPr>
        <w:tabs>
          <w:tab w:val="left" w:pos="5580"/>
        </w:tabs>
        <w:spacing w:line="360" w:lineRule="auto"/>
        <w:outlineLvl w:val="9"/>
        <w:rPr>
          <w:rFonts w:ascii="Times New Roman" w:hAnsi="Times New Roman" w:eastAsia="宋体" w:cs="Times New Roman"/>
          <w:color w:val="auto"/>
          <w:sz w:val="24"/>
          <w:highlight w:val="none"/>
        </w:rPr>
      </w:pPr>
    </w:p>
    <w:p w14:paraId="4AFEEC57">
      <w:pPr>
        <w:spacing w:before="240" w:after="240" w:line="360" w:lineRule="auto"/>
        <w:jc w:val="center"/>
        <w:outlineLvl w:val="9"/>
        <w:rPr>
          <w:rFonts w:hint="eastAsia"/>
          <w:color w:val="auto"/>
          <w:sz w:val="24"/>
          <w:szCs w:val="20"/>
          <w:highlight w:val="none"/>
        </w:rPr>
      </w:pPr>
    </w:p>
    <w:p w14:paraId="3F40A602">
      <w:pPr>
        <w:spacing w:before="240" w:after="240" w:line="360" w:lineRule="auto"/>
        <w:jc w:val="center"/>
        <w:outlineLvl w:val="9"/>
        <w:rPr>
          <w:color w:val="auto"/>
          <w:sz w:val="24"/>
          <w:szCs w:val="20"/>
          <w:highlight w:val="none"/>
        </w:rPr>
        <w:sectPr>
          <w:headerReference r:id="rId11" w:type="first"/>
          <w:footerReference r:id="rId13" w:type="first"/>
          <w:headerReference r:id="rId10" w:type="even"/>
          <w:footerReference r:id="rId12" w:type="even"/>
          <w:pgSz w:w="11907" w:h="16840"/>
          <w:pgMar w:top="1440" w:right="1304" w:bottom="1440" w:left="1304" w:header="851" w:footer="851" w:gutter="0"/>
          <w:pgNumType w:fmt="decimal"/>
          <w:cols w:space="1701" w:num="1"/>
          <w:docGrid w:linePitch="360" w:charSpace="0"/>
        </w:sectPr>
      </w:pPr>
    </w:p>
    <w:p w14:paraId="177060E0">
      <w:pPr>
        <w:jc w:val="center"/>
        <w:outlineLvl w:val="9"/>
        <w:rPr>
          <w:b/>
          <w:color w:val="auto"/>
          <w:sz w:val="36"/>
          <w:szCs w:val="36"/>
          <w:highlight w:val="none"/>
        </w:rPr>
      </w:pPr>
      <w:r>
        <w:rPr>
          <w:rFonts w:hint="eastAsia"/>
          <w:b/>
          <w:color w:val="auto"/>
          <w:sz w:val="36"/>
          <w:szCs w:val="36"/>
          <w:highlight w:val="none"/>
        </w:rPr>
        <w:t>残疾人福利性单位声明函格式</w:t>
      </w:r>
      <w:r>
        <w:rPr>
          <w:b/>
          <w:color w:val="auto"/>
          <w:sz w:val="36"/>
          <w:szCs w:val="36"/>
          <w:highlight w:val="none"/>
        </w:rPr>
        <w:t xml:space="preserve">       </w:t>
      </w:r>
    </w:p>
    <w:p w14:paraId="7F63A389">
      <w:pPr>
        <w:jc w:val="center"/>
        <w:outlineLvl w:val="9"/>
        <w:rPr>
          <w:color w:val="auto"/>
          <w:sz w:val="36"/>
          <w:szCs w:val="36"/>
          <w:highlight w:val="none"/>
        </w:rPr>
      </w:pPr>
    </w:p>
    <w:p w14:paraId="0D224EAB">
      <w:pPr>
        <w:spacing w:line="588" w:lineRule="exact"/>
        <w:ind w:firstLine="504"/>
        <w:outlineLvl w:val="9"/>
        <w:rPr>
          <w:color w:val="auto"/>
          <w:spacing w:val="6"/>
          <w:sz w:val="24"/>
          <w:highlight w:val="none"/>
        </w:rPr>
      </w:pPr>
      <w:r>
        <w:rPr>
          <w:color w:val="auto"/>
          <w:spacing w:val="6"/>
          <w:sz w:val="24"/>
          <w:highlight w:val="none"/>
        </w:rPr>
        <w:t>本单位郑重声明，根据《财政部 民政部 中国残疾人联合会关于促进残疾人就业政府采购政策的通知》（财库</w:t>
      </w:r>
      <w:r>
        <w:rPr>
          <w:color w:val="auto"/>
          <w:sz w:val="24"/>
          <w:highlight w:val="none"/>
        </w:rPr>
        <w:t>〔2017〕 141</w:t>
      </w:r>
      <w:r>
        <w:rPr>
          <w:color w:val="auto"/>
          <w:spacing w:val="6"/>
          <w:sz w:val="24"/>
          <w:highlight w:val="none"/>
        </w:rPr>
        <w:t>号）的规定，本单位</w:t>
      </w:r>
      <w:r>
        <w:rPr>
          <w:b/>
          <w:color w:val="auto"/>
          <w:sz w:val="24"/>
          <w:highlight w:val="none"/>
        </w:rPr>
        <w:t>（请进行勾选）</w:t>
      </w:r>
      <w:r>
        <w:rPr>
          <w:color w:val="auto"/>
          <w:spacing w:val="6"/>
          <w:sz w:val="24"/>
          <w:highlight w:val="none"/>
        </w:rPr>
        <w:t>：</w:t>
      </w:r>
    </w:p>
    <w:p w14:paraId="41F0F316">
      <w:pPr>
        <w:spacing w:line="588" w:lineRule="exact"/>
        <w:ind w:firstLine="482"/>
        <w:outlineLvl w:val="9"/>
        <w:rPr>
          <w:b/>
          <w:color w:val="auto"/>
          <w:spacing w:val="6"/>
          <w:sz w:val="24"/>
          <w:highlight w:val="none"/>
        </w:rPr>
      </w:pPr>
      <w:r>
        <w:rPr>
          <w:b/>
          <w:color w:val="auto"/>
          <w:sz w:val="24"/>
          <w:highlight w:val="none"/>
        </w:rPr>
        <w:t>□</w:t>
      </w:r>
      <w:r>
        <w:rPr>
          <w:b/>
          <w:color w:val="auto"/>
          <w:spacing w:val="6"/>
          <w:sz w:val="24"/>
          <w:highlight w:val="none"/>
        </w:rPr>
        <w:t>不属于符合条件的残疾人福利性单位。</w:t>
      </w:r>
    </w:p>
    <w:p w14:paraId="3524ECEA">
      <w:pPr>
        <w:spacing w:line="588" w:lineRule="exact"/>
        <w:ind w:firstLine="482"/>
        <w:outlineLvl w:val="9"/>
        <w:rPr>
          <w:color w:val="auto"/>
          <w:spacing w:val="6"/>
          <w:sz w:val="24"/>
          <w:highlight w:val="none"/>
        </w:rPr>
      </w:pPr>
      <w:r>
        <w:rPr>
          <w:b/>
          <w:color w:val="auto"/>
          <w:sz w:val="24"/>
          <w:highlight w:val="none"/>
        </w:rPr>
        <w:t>□</w:t>
      </w:r>
      <w:r>
        <w:rPr>
          <w:b/>
          <w:color w:val="auto"/>
          <w:spacing w:val="6"/>
          <w:sz w:val="24"/>
          <w:highlight w:val="none"/>
        </w:rPr>
        <w:t>属于符合条件的残疾人福利性单位，</w:t>
      </w:r>
      <w:r>
        <w:rPr>
          <w:color w:val="auto"/>
          <w:spacing w:val="6"/>
          <w:sz w:val="24"/>
          <w:highlight w:val="none"/>
        </w:rPr>
        <w:t>且本单位参加______单位的______项目采购活动</w:t>
      </w:r>
      <w:r>
        <w:rPr>
          <w:rFonts w:hint="eastAsia"/>
          <w:color w:val="auto"/>
          <w:spacing w:val="6"/>
          <w:sz w:val="24"/>
          <w:highlight w:val="none"/>
          <w:lang w:eastAsia="zh-CN"/>
        </w:rPr>
        <w:t>，</w:t>
      </w:r>
      <w:r>
        <w:rPr>
          <w:color w:val="auto"/>
          <w:spacing w:val="6"/>
          <w:sz w:val="24"/>
          <w:highlight w:val="none"/>
        </w:rPr>
        <w:t>由本单位提供服务。</w:t>
      </w:r>
    </w:p>
    <w:p w14:paraId="315BC3F2">
      <w:pPr>
        <w:spacing w:line="588" w:lineRule="exact"/>
        <w:ind w:firstLine="506"/>
        <w:outlineLvl w:val="9"/>
        <w:rPr>
          <w:color w:val="auto"/>
          <w:spacing w:val="6"/>
          <w:sz w:val="24"/>
          <w:highlight w:val="none"/>
        </w:rPr>
      </w:pPr>
      <w:r>
        <w:rPr>
          <w:b/>
          <w:color w:val="auto"/>
          <w:spacing w:val="6"/>
          <w:sz w:val="24"/>
          <w:highlight w:val="none"/>
        </w:rPr>
        <w:t>本单位对上述声明的真实性负责。如有虚假，将依法承担相应责任。</w:t>
      </w:r>
    </w:p>
    <w:p w14:paraId="1A76C349">
      <w:pPr>
        <w:spacing w:line="588" w:lineRule="exact"/>
        <w:ind w:firstLine="504"/>
        <w:outlineLvl w:val="9"/>
        <w:rPr>
          <w:color w:val="auto"/>
          <w:spacing w:val="6"/>
          <w:sz w:val="24"/>
          <w:highlight w:val="none"/>
        </w:rPr>
      </w:pPr>
    </w:p>
    <w:p w14:paraId="2610E8EC">
      <w:pPr>
        <w:spacing w:line="588" w:lineRule="exact"/>
        <w:ind w:firstLine="504"/>
        <w:outlineLvl w:val="9"/>
        <w:rPr>
          <w:color w:val="auto"/>
          <w:spacing w:val="6"/>
          <w:sz w:val="24"/>
          <w:highlight w:val="none"/>
        </w:rPr>
      </w:pPr>
    </w:p>
    <w:p w14:paraId="5B848A48">
      <w:pPr>
        <w:tabs>
          <w:tab w:val="left" w:pos="4860"/>
        </w:tabs>
        <w:spacing w:line="588" w:lineRule="exact"/>
        <w:ind w:right="1560" w:firstLine="504"/>
        <w:jc w:val="center"/>
        <w:outlineLvl w:val="9"/>
        <w:rPr>
          <w:color w:val="auto"/>
          <w:spacing w:val="6"/>
          <w:sz w:val="24"/>
          <w:highlight w:val="none"/>
        </w:rPr>
      </w:pPr>
      <w:r>
        <w:rPr>
          <w:color w:val="auto"/>
          <w:spacing w:val="6"/>
          <w:sz w:val="24"/>
          <w:highlight w:val="none"/>
        </w:rPr>
        <w:t xml:space="preserve">               单位名称（盖章）：</w:t>
      </w:r>
    </w:p>
    <w:p w14:paraId="32C6BB4D">
      <w:pPr>
        <w:tabs>
          <w:tab w:val="left" w:pos="4860"/>
        </w:tabs>
        <w:spacing w:line="588" w:lineRule="exact"/>
        <w:ind w:right="1560" w:firstLine="504"/>
        <w:jc w:val="center"/>
        <w:outlineLvl w:val="9"/>
        <w:rPr>
          <w:color w:val="auto"/>
          <w:spacing w:val="6"/>
          <w:sz w:val="24"/>
          <w:highlight w:val="none"/>
        </w:rPr>
      </w:pPr>
      <w:r>
        <w:rPr>
          <w:color w:val="auto"/>
          <w:spacing w:val="6"/>
          <w:sz w:val="24"/>
          <w:highlight w:val="none"/>
        </w:rPr>
        <w:t xml:space="preserve">       日  期：</w:t>
      </w:r>
    </w:p>
    <w:p w14:paraId="61E2918D">
      <w:pPr>
        <w:tabs>
          <w:tab w:val="left" w:pos="5580"/>
        </w:tabs>
        <w:spacing w:line="360" w:lineRule="auto"/>
        <w:ind w:firstLine="408"/>
        <w:outlineLvl w:val="9"/>
        <w:rPr>
          <w:color w:val="auto"/>
          <w:sz w:val="24"/>
          <w:szCs w:val="20"/>
          <w:highlight w:val="none"/>
        </w:rPr>
      </w:pPr>
      <w:r>
        <w:rPr>
          <w:color w:val="auto"/>
          <w:sz w:val="24"/>
          <w:szCs w:val="20"/>
          <w:highlight w:val="none"/>
        </w:rPr>
        <w:br w:type="page" w:clear="all"/>
      </w:r>
      <w:r>
        <w:rPr>
          <w:rFonts w:hint="eastAsia"/>
          <w:color w:val="auto"/>
          <w:sz w:val="24"/>
          <w:highlight w:val="none"/>
          <w:lang w:val="en-US" w:eastAsia="zh-CN"/>
        </w:rPr>
        <w:t>4</w:t>
      </w:r>
      <w:r>
        <w:rPr>
          <w:color w:val="auto"/>
          <w:sz w:val="24"/>
          <w:szCs w:val="20"/>
          <w:highlight w:val="none"/>
        </w:rPr>
        <w:t xml:space="preserve">  </w:t>
      </w:r>
      <w:r>
        <w:rPr>
          <w:color w:val="auto"/>
          <w:sz w:val="24"/>
          <w:highlight w:val="none"/>
        </w:rPr>
        <w:t>响应</w:t>
      </w:r>
      <w:r>
        <w:rPr>
          <w:rFonts w:hint="eastAsia"/>
          <w:color w:val="auto"/>
          <w:sz w:val="24"/>
          <w:highlight w:val="none"/>
        </w:rPr>
        <w:t>函</w:t>
      </w:r>
      <w:r>
        <w:rPr>
          <w:color w:val="auto"/>
          <w:sz w:val="24"/>
          <w:szCs w:val="20"/>
          <w:highlight w:val="none"/>
        </w:rPr>
        <w:t>（实质性格式）</w:t>
      </w:r>
    </w:p>
    <w:p w14:paraId="3AD33F61">
      <w:pPr>
        <w:spacing w:line="360" w:lineRule="auto"/>
        <w:jc w:val="center"/>
        <w:outlineLvl w:val="9"/>
        <w:rPr>
          <w:b/>
          <w:color w:val="auto"/>
          <w:sz w:val="36"/>
          <w:szCs w:val="36"/>
          <w:highlight w:val="none"/>
        </w:rPr>
      </w:pPr>
      <w:r>
        <w:rPr>
          <w:rFonts w:hint="eastAsia"/>
          <w:b/>
          <w:color w:val="auto"/>
          <w:sz w:val="36"/>
          <w:szCs w:val="36"/>
          <w:highlight w:val="none"/>
        </w:rPr>
        <w:t>响应函</w:t>
      </w:r>
    </w:p>
    <w:p w14:paraId="4586A798">
      <w:pPr>
        <w:tabs>
          <w:tab w:val="left" w:pos="5580"/>
        </w:tabs>
        <w:spacing w:line="360" w:lineRule="auto"/>
        <w:outlineLvl w:val="9"/>
        <w:rPr>
          <w:color w:val="auto"/>
          <w:sz w:val="24"/>
          <w:highlight w:val="none"/>
        </w:rPr>
      </w:pPr>
      <w:r>
        <w:rPr>
          <w:color w:val="auto"/>
          <w:sz w:val="24"/>
          <w:highlight w:val="none"/>
        </w:rPr>
        <w:t>致：</w:t>
      </w:r>
      <w:r>
        <w:rPr>
          <w:color w:val="auto"/>
          <w:sz w:val="24"/>
          <w:highlight w:val="none"/>
          <w:u w:val="single"/>
        </w:rPr>
        <w:t>（采购人或采购代理机构）</w:t>
      </w:r>
    </w:p>
    <w:p w14:paraId="6139CF38">
      <w:pPr>
        <w:tabs>
          <w:tab w:val="left" w:pos="5580"/>
        </w:tabs>
        <w:spacing w:line="360" w:lineRule="auto"/>
        <w:outlineLvl w:val="9"/>
        <w:rPr>
          <w:color w:val="auto"/>
          <w:sz w:val="24"/>
          <w:szCs w:val="20"/>
          <w:highlight w:val="none"/>
        </w:rPr>
      </w:pPr>
    </w:p>
    <w:p w14:paraId="464A7503">
      <w:pPr>
        <w:tabs>
          <w:tab w:val="left" w:pos="5580"/>
        </w:tabs>
        <w:spacing w:line="360" w:lineRule="auto"/>
        <w:ind w:firstLine="408"/>
        <w:outlineLvl w:val="9"/>
        <w:rPr>
          <w:color w:val="auto"/>
          <w:sz w:val="24"/>
          <w:szCs w:val="20"/>
          <w:highlight w:val="none"/>
        </w:rPr>
      </w:pPr>
      <w:r>
        <w:rPr>
          <w:color w:val="auto"/>
          <w:sz w:val="24"/>
          <w:szCs w:val="20"/>
          <w:highlight w:val="none"/>
        </w:rPr>
        <w:t>我方参加你方就___________（项目名称，项目编号）组织的</w:t>
      </w:r>
      <w:r>
        <w:rPr>
          <w:rFonts w:hint="eastAsia"/>
          <w:color w:val="auto"/>
          <w:sz w:val="24"/>
          <w:szCs w:val="20"/>
          <w:highlight w:val="none"/>
        </w:rPr>
        <w:t>政府采购</w:t>
      </w:r>
      <w:r>
        <w:rPr>
          <w:color w:val="auto"/>
          <w:sz w:val="24"/>
          <w:szCs w:val="20"/>
          <w:highlight w:val="none"/>
        </w:rPr>
        <w:t>活动，并对此项目进行响应。</w:t>
      </w:r>
    </w:p>
    <w:p w14:paraId="3B6BBF24">
      <w:pPr>
        <w:tabs>
          <w:tab w:val="left" w:pos="5580"/>
        </w:tabs>
        <w:spacing w:line="360" w:lineRule="auto"/>
        <w:ind w:firstLine="408"/>
        <w:outlineLvl w:val="9"/>
        <w:rPr>
          <w:color w:val="auto"/>
          <w:sz w:val="24"/>
          <w:szCs w:val="20"/>
          <w:highlight w:val="none"/>
        </w:rPr>
      </w:pPr>
      <w:r>
        <w:rPr>
          <w:color w:val="auto"/>
          <w:sz w:val="24"/>
          <w:szCs w:val="20"/>
          <w:highlight w:val="none"/>
        </w:rPr>
        <w:t>1. 我方</w:t>
      </w:r>
      <w:r>
        <w:rPr>
          <w:color w:val="auto"/>
          <w:sz w:val="24"/>
          <w:highlight w:val="none"/>
        </w:rPr>
        <w:t>已详细审查全部磋商文件</w:t>
      </w:r>
      <w:r>
        <w:rPr>
          <w:color w:val="auto"/>
          <w:sz w:val="24"/>
          <w:szCs w:val="20"/>
          <w:highlight w:val="none"/>
        </w:rPr>
        <w:t>，自愿参与响应并承诺如下：</w:t>
      </w:r>
    </w:p>
    <w:p w14:paraId="4F7950ED">
      <w:pPr>
        <w:tabs>
          <w:tab w:val="left" w:pos="720"/>
          <w:tab w:val="left" w:pos="900"/>
        </w:tabs>
        <w:spacing w:line="360" w:lineRule="auto"/>
        <w:ind w:left="360" w:firstLine="72"/>
        <w:outlineLvl w:val="9"/>
        <w:rPr>
          <w:color w:val="auto"/>
          <w:sz w:val="24"/>
          <w:szCs w:val="20"/>
          <w:highlight w:val="none"/>
        </w:rPr>
      </w:pPr>
      <w:r>
        <w:rPr>
          <w:color w:val="auto"/>
          <w:sz w:val="24"/>
          <w:szCs w:val="20"/>
          <w:highlight w:val="none"/>
        </w:rPr>
        <w:t>（1）本响应有效期为自提交响应文件的截止之日起</w:t>
      </w:r>
      <w:r>
        <w:rPr>
          <w:rFonts w:hint="eastAsia"/>
          <w:color w:val="auto"/>
          <w:sz w:val="24"/>
          <w:highlight w:val="none"/>
        </w:rPr>
        <w:t>60</w:t>
      </w:r>
      <w:r>
        <w:rPr>
          <w:color w:val="auto"/>
          <w:sz w:val="24"/>
          <w:szCs w:val="20"/>
          <w:highlight w:val="none"/>
        </w:rPr>
        <w:t>个日历</w:t>
      </w:r>
      <w:r>
        <w:rPr>
          <w:rFonts w:hint="eastAsia"/>
          <w:color w:val="auto"/>
          <w:sz w:val="24"/>
          <w:szCs w:val="20"/>
          <w:highlight w:val="none"/>
          <w:lang w:eastAsia="zh-CN"/>
        </w:rPr>
        <w:t>天</w:t>
      </w:r>
      <w:r>
        <w:rPr>
          <w:color w:val="auto"/>
          <w:sz w:val="24"/>
          <w:szCs w:val="20"/>
          <w:highlight w:val="none"/>
        </w:rPr>
        <w:t>。</w:t>
      </w:r>
    </w:p>
    <w:p w14:paraId="3423237D">
      <w:pPr>
        <w:tabs>
          <w:tab w:val="left" w:pos="720"/>
          <w:tab w:val="left" w:pos="900"/>
        </w:tabs>
        <w:spacing w:line="360" w:lineRule="auto"/>
        <w:ind w:left="360" w:firstLine="72"/>
        <w:outlineLvl w:val="9"/>
        <w:rPr>
          <w:color w:val="auto"/>
          <w:sz w:val="24"/>
          <w:szCs w:val="20"/>
          <w:highlight w:val="none"/>
        </w:rPr>
      </w:pPr>
      <w:r>
        <w:rPr>
          <w:color w:val="auto"/>
          <w:sz w:val="24"/>
          <w:szCs w:val="20"/>
          <w:highlight w:val="none"/>
        </w:rPr>
        <w:t>（2）除合同条款及采购需求偏离表列出的偏离外，我方响应磋商文件的全部要求。</w:t>
      </w:r>
    </w:p>
    <w:p w14:paraId="4D17C663">
      <w:pPr>
        <w:tabs>
          <w:tab w:val="left" w:pos="5580"/>
        </w:tabs>
        <w:spacing w:line="360" w:lineRule="auto"/>
        <w:ind w:firstLine="420"/>
        <w:outlineLvl w:val="9"/>
        <w:rPr>
          <w:color w:val="auto"/>
          <w:sz w:val="24"/>
          <w:szCs w:val="20"/>
          <w:highlight w:val="none"/>
        </w:rPr>
      </w:pPr>
      <w:r>
        <w:rPr>
          <w:color w:val="auto"/>
          <w:sz w:val="24"/>
          <w:szCs w:val="20"/>
          <w:highlight w:val="none"/>
        </w:rPr>
        <w:t>（3）我方已提供的全部文件资料是真实、准确的，并对此承担一切法律后果。</w:t>
      </w:r>
    </w:p>
    <w:p w14:paraId="112214BC">
      <w:pPr>
        <w:tabs>
          <w:tab w:val="left" w:pos="5580"/>
        </w:tabs>
        <w:spacing w:line="360" w:lineRule="auto"/>
        <w:ind w:firstLine="420"/>
        <w:outlineLvl w:val="9"/>
        <w:rPr>
          <w:color w:val="auto"/>
          <w:sz w:val="24"/>
          <w:highlight w:val="none"/>
        </w:rPr>
      </w:pPr>
      <w:r>
        <w:rPr>
          <w:color w:val="auto"/>
          <w:sz w:val="24"/>
          <w:szCs w:val="20"/>
          <w:highlight w:val="none"/>
        </w:rPr>
        <w:t>（4）如我方</w:t>
      </w:r>
      <w:r>
        <w:rPr>
          <w:rFonts w:hint="eastAsia"/>
          <w:color w:val="auto"/>
          <w:sz w:val="24"/>
          <w:szCs w:val="20"/>
          <w:highlight w:val="none"/>
          <w:lang w:val="en-US" w:eastAsia="zh-CN"/>
        </w:rPr>
        <w:t>成交</w:t>
      </w:r>
      <w:r>
        <w:rPr>
          <w:color w:val="auto"/>
          <w:sz w:val="24"/>
          <w:szCs w:val="20"/>
          <w:highlight w:val="none"/>
        </w:rPr>
        <w:t>，我方将在法律规定的期限内与你方签订合同，并在合同约定的期限内完成合同规定的全部义务。</w:t>
      </w:r>
    </w:p>
    <w:p w14:paraId="6C1727CD">
      <w:pPr>
        <w:spacing w:line="360" w:lineRule="auto"/>
        <w:ind w:left="420"/>
        <w:outlineLvl w:val="9"/>
        <w:rPr>
          <w:color w:val="auto"/>
          <w:sz w:val="24"/>
          <w:highlight w:val="none"/>
        </w:rPr>
      </w:pPr>
      <w:r>
        <w:rPr>
          <w:color w:val="auto"/>
          <w:sz w:val="24"/>
          <w:highlight w:val="none"/>
        </w:rPr>
        <w:t>2. 其他补充条款（如有）：</w:t>
      </w:r>
      <w:r>
        <w:rPr>
          <w:color w:val="auto"/>
          <w:sz w:val="24"/>
          <w:szCs w:val="20"/>
          <w:highlight w:val="none"/>
        </w:rPr>
        <w:t>___________</w:t>
      </w:r>
      <w:r>
        <w:rPr>
          <w:color w:val="auto"/>
          <w:sz w:val="24"/>
          <w:highlight w:val="none"/>
        </w:rPr>
        <w:t>。</w:t>
      </w:r>
    </w:p>
    <w:p w14:paraId="2E1C4BBA">
      <w:pPr>
        <w:spacing w:line="360" w:lineRule="auto"/>
        <w:ind w:firstLine="480"/>
        <w:outlineLvl w:val="9"/>
        <w:rPr>
          <w:color w:val="auto"/>
          <w:sz w:val="24"/>
          <w:highlight w:val="none"/>
        </w:rPr>
      </w:pPr>
      <w:r>
        <w:rPr>
          <w:color w:val="auto"/>
          <w:sz w:val="24"/>
          <w:highlight w:val="none"/>
        </w:rPr>
        <w:t>与本响应有关的一切正式往来信函请寄：</w:t>
      </w:r>
    </w:p>
    <w:p w14:paraId="4402FAC3">
      <w:pPr>
        <w:tabs>
          <w:tab w:val="left" w:pos="5580"/>
        </w:tabs>
        <w:spacing w:line="360" w:lineRule="auto"/>
        <w:ind w:left="420"/>
        <w:outlineLvl w:val="9"/>
        <w:rPr>
          <w:color w:val="auto"/>
          <w:sz w:val="24"/>
          <w:szCs w:val="20"/>
          <w:highlight w:val="none"/>
        </w:rPr>
      </w:pPr>
    </w:p>
    <w:p w14:paraId="604D1A63">
      <w:pPr>
        <w:tabs>
          <w:tab w:val="left" w:pos="5580"/>
        </w:tabs>
        <w:spacing w:line="360" w:lineRule="auto"/>
        <w:ind w:left="420"/>
        <w:outlineLvl w:val="9"/>
        <w:rPr>
          <w:color w:val="auto"/>
          <w:sz w:val="24"/>
          <w:szCs w:val="20"/>
          <w:highlight w:val="none"/>
        </w:rPr>
      </w:pPr>
      <w:r>
        <w:rPr>
          <w:color w:val="auto"/>
          <w:sz w:val="24"/>
          <w:szCs w:val="20"/>
          <w:highlight w:val="none"/>
        </w:rPr>
        <w:t>地址_________________________     传真____________________________</w:t>
      </w:r>
    </w:p>
    <w:p w14:paraId="52BD0DDB">
      <w:pPr>
        <w:tabs>
          <w:tab w:val="left" w:pos="5580"/>
        </w:tabs>
        <w:spacing w:line="360" w:lineRule="auto"/>
        <w:ind w:left="420"/>
        <w:outlineLvl w:val="9"/>
        <w:rPr>
          <w:color w:val="auto"/>
          <w:sz w:val="24"/>
          <w:szCs w:val="20"/>
          <w:highlight w:val="none"/>
        </w:rPr>
      </w:pPr>
      <w:r>
        <w:rPr>
          <w:color w:val="auto"/>
          <w:sz w:val="24"/>
          <w:szCs w:val="20"/>
          <w:highlight w:val="none"/>
        </w:rPr>
        <w:t>电话_________________________     电子函件________________________</w:t>
      </w:r>
    </w:p>
    <w:p w14:paraId="6B9B4D8A">
      <w:pPr>
        <w:tabs>
          <w:tab w:val="left" w:pos="5580"/>
        </w:tabs>
        <w:spacing w:line="360" w:lineRule="auto"/>
        <w:ind w:left="420"/>
        <w:outlineLvl w:val="9"/>
        <w:rPr>
          <w:color w:val="auto"/>
          <w:sz w:val="24"/>
          <w:szCs w:val="20"/>
          <w:highlight w:val="none"/>
        </w:rPr>
      </w:pPr>
    </w:p>
    <w:p w14:paraId="053C345A">
      <w:pPr>
        <w:tabs>
          <w:tab w:val="left" w:pos="5580"/>
        </w:tabs>
        <w:spacing w:line="360" w:lineRule="auto"/>
        <w:ind w:left="420"/>
        <w:outlineLvl w:val="9"/>
        <w:rPr>
          <w:color w:val="auto"/>
          <w:sz w:val="24"/>
          <w:szCs w:val="20"/>
          <w:highlight w:val="none"/>
        </w:rPr>
      </w:pPr>
      <w:r>
        <w:rPr>
          <w:color w:val="auto"/>
          <w:sz w:val="24"/>
          <w:szCs w:val="20"/>
          <w:highlight w:val="none"/>
        </w:rPr>
        <w:t>供应商名称（加盖公章） ___________</w:t>
      </w:r>
    </w:p>
    <w:p w14:paraId="7D05C600">
      <w:pPr>
        <w:tabs>
          <w:tab w:val="left" w:pos="5580"/>
        </w:tabs>
        <w:spacing w:line="360" w:lineRule="auto"/>
        <w:ind w:left="420"/>
        <w:outlineLvl w:val="9"/>
        <w:rPr>
          <w:color w:val="auto"/>
          <w:sz w:val="24"/>
          <w:szCs w:val="20"/>
          <w:highlight w:val="none"/>
        </w:rPr>
      </w:pPr>
      <w:r>
        <w:rPr>
          <w:color w:val="auto"/>
          <w:sz w:val="24"/>
          <w:szCs w:val="20"/>
          <w:highlight w:val="none"/>
        </w:rPr>
        <w:t xml:space="preserve">日期：_____年______月______日    </w:t>
      </w:r>
    </w:p>
    <w:p w14:paraId="27A35C68">
      <w:pPr>
        <w:tabs>
          <w:tab w:val="left" w:pos="5580"/>
        </w:tabs>
        <w:spacing w:line="360" w:lineRule="auto"/>
        <w:ind w:left="420"/>
        <w:outlineLvl w:val="9"/>
        <w:rPr>
          <w:color w:val="auto"/>
          <w:sz w:val="24"/>
          <w:szCs w:val="20"/>
          <w:highlight w:val="none"/>
          <w:u w:val="single"/>
        </w:rPr>
      </w:pPr>
    </w:p>
    <w:p w14:paraId="593835AB">
      <w:pPr>
        <w:widowControl/>
        <w:jc w:val="left"/>
        <w:outlineLvl w:val="9"/>
        <w:rPr>
          <w:rFonts w:hint="eastAsia"/>
          <w:color w:val="auto"/>
          <w:sz w:val="24"/>
          <w:highlight w:val="none"/>
        </w:rPr>
      </w:pPr>
      <w:bookmarkStart w:id="630" w:name="_Hlt520356243"/>
      <w:bookmarkEnd w:id="630"/>
      <w:bookmarkStart w:id="631" w:name="_Hlt520355938"/>
      <w:bookmarkEnd w:id="631"/>
      <w:r>
        <w:rPr>
          <w:color w:val="auto"/>
          <w:sz w:val="24"/>
          <w:highlight w:val="none"/>
        </w:rPr>
        <w:br w:type="page" w:clear="all"/>
      </w:r>
      <w:r>
        <w:rPr>
          <w:rFonts w:hint="eastAsia"/>
          <w:color w:val="auto"/>
          <w:sz w:val="24"/>
          <w:highlight w:val="none"/>
          <w:lang w:val="en-US" w:eastAsia="zh-CN"/>
        </w:rPr>
        <w:t>5</w:t>
      </w:r>
      <w:r>
        <w:rPr>
          <w:color w:val="auto"/>
          <w:sz w:val="24"/>
          <w:highlight w:val="none"/>
        </w:rPr>
        <w:t xml:space="preserve">  </w:t>
      </w:r>
      <w:r>
        <w:rPr>
          <w:rFonts w:hint="eastAsia"/>
          <w:color w:val="auto"/>
          <w:sz w:val="24"/>
          <w:highlight w:val="none"/>
        </w:rPr>
        <w:t>法定代表人资格证明书</w:t>
      </w:r>
      <w:r>
        <w:rPr>
          <w:color w:val="auto"/>
          <w:sz w:val="24"/>
          <w:szCs w:val="20"/>
          <w:highlight w:val="none"/>
        </w:rPr>
        <w:t>（实质性格式）</w:t>
      </w:r>
    </w:p>
    <w:p w14:paraId="79EDA840">
      <w:pPr>
        <w:spacing w:line="360" w:lineRule="auto"/>
        <w:jc w:val="center"/>
        <w:outlineLvl w:val="9"/>
        <w:rPr>
          <w:rFonts w:hint="eastAsia" w:ascii="宋体" w:hAnsi="宋体"/>
          <w:b/>
          <w:color w:val="auto"/>
          <w:sz w:val="32"/>
          <w:szCs w:val="32"/>
          <w:highlight w:val="none"/>
        </w:rPr>
      </w:pPr>
    </w:p>
    <w:p w14:paraId="79C93735">
      <w:pPr>
        <w:spacing w:line="360" w:lineRule="auto"/>
        <w:jc w:val="center"/>
        <w:outlineLvl w:val="9"/>
        <w:rPr>
          <w:rFonts w:ascii="宋体" w:hAnsi="宋体"/>
          <w:b/>
          <w:color w:val="auto"/>
          <w:sz w:val="32"/>
          <w:szCs w:val="32"/>
          <w:highlight w:val="none"/>
        </w:rPr>
      </w:pPr>
      <w:r>
        <w:rPr>
          <w:rFonts w:hint="eastAsia" w:ascii="宋体" w:hAnsi="宋体"/>
          <w:b/>
          <w:color w:val="auto"/>
          <w:sz w:val="32"/>
          <w:szCs w:val="32"/>
          <w:highlight w:val="none"/>
        </w:rPr>
        <w:t>法定代表人资格证明书</w:t>
      </w:r>
    </w:p>
    <w:p w14:paraId="15DD8624">
      <w:pPr>
        <w:spacing w:line="560" w:lineRule="exact"/>
        <w:outlineLvl w:val="9"/>
        <w:rPr>
          <w:rFonts w:ascii="宋体" w:hAnsi="宋体"/>
          <w:color w:val="auto"/>
          <w:sz w:val="24"/>
          <w:highlight w:val="none"/>
        </w:rPr>
      </w:pPr>
      <w:r>
        <w:rPr>
          <w:rFonts w:hint="eastAsia" w:ascii="宋体" w:hAnsi="宋体"/>
          <w:color w:val="auto"/>
          <w:sz w:val="24"/>
          <w:highlight w:val="none"/>
        </w:rPr>
        <w:t>单位名称:</w:t>
      </w:r>
    </w:p>
    <w:p w14:paraId="178C45F2">
      <w:pPr>
        <w:spacing w:line="560" w:lineRule="exact"/>
        <w:outlineLvl w:val="9"/>
        <w:rPr>
          <w:rFonts w:ascii="宋体" w:hAnsi="宋体"/>
          <w:color w:val="auto"/>
          <w:sz w:val="24"/>
          <w:highlight w:val="none"/>
        </w:rPr>
      </w:pPr>
      <w:r>
        <w:rPr>
          <w:rFonts w:hint="eastAsia" w:ascii="宋体" w:hAnsi="宋体"/>
          <w:color w:val="auto"/>
          <w:sz w:val="24"/>
          <w:highlight w:val="none"/>
        </w:rPr>
        <w:t>地址:</w:t>
      </w:r>
    </w:p>
    <w:p w14:paraId="46BE4807">
      <w:pPr>
        <w:spacing w:line="560" w:lineRule="exact"/>
        <w:outlineLvl w:val="9"/>
        <w:rPr>
          <w:rFonts w:ascii="宋体" w:hAnsi="宋体"/>
          <w:color w:val="auto"/>
          <w:sz w:val="24"/>
          <w:highlight w:val="none"/>
        </w:rPr>
      </w:pPr>
      <w:r>
        <w:rPr>
          <w:rFonts w:hint="eastAsia" w:ascii="宋体" w:hAnsi="宋体"/>
          <w:color w:val="auto"/>
          <w:sz w:val="24"/>
          <w:highlight w:val="none"/>
        </w:rPr>
        <w:t>姓名:     性别:       年龄:      职务:</w:t>
      </w:r>
    </w:p>
    <w:p w14:paraId="40B28D58">
      <w:pPr>
        <w:spacing w:line="560" w:lineRule="exact"/>
        <w:outlineLvl w:val="9"/>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w:t>
      </w:r>
      <w:r>
        <w:rPr>
          <w:rFonts w:hint="eastAsia" w:ascii="宋体" w:hAnsi="宋体"/>
          <w:color w:val="auto"/>
          <w:sz w:val="24"/>
          <w:highlight w:val="none"/>
          <w:u w:val="single"/>
          <w:lang w:eastAsia="zh-CN"/>
        </w:rPr>
        <w:t>供应商</w:t>
      </w:r>
      <w:r>
        <w:rPr>
          <w:rFonts w:hint="eastAsia" w:ascii="宋体" w:hAnsi="宋体"/>
          <w:color w:val="auto"/>
          <w:sz w:val="24"/>
          <w:highlight w:val="none"/>
          <w:u w:val="single"/>
        </w:rPr>
        <w:t>名称）</w:t>
      </w:r>
      <w:r>
        <w:rPr>
          <w:rFonts w:hint="eastAsia" w:ascii="宋体" w:hAnsi="宋体"/>
          <w:color w:val="auto"/>
          <w:sz w:val="24"/>
          <w:highlight w:val="none"/>
        </w:rPr>
        <w:t>的法定代表人。为参与</w:t>
      </w:r>
      <w:r>
        <w:rPr>
          <w:rFonts w:hint="eastAsia" w:ascii="宋体" w:hAnsi="宋体"/>
          <w:color w:val="auto"/>
          <w:sz w:val="24"/>
          <w:highlight w:val="none"/>
          <w:u w:val="single"/>
        </w:rPr>
        <w:t>（项目名称）</w:t>
      </w:r>
      <w:r>
        <w:rPr>
          <w:rFonts w:hint="eastAsia" w:ascii="宋体" w:hAnsi="宋体"/>
          <w:color w:val="auto"/>
          <w:sz w:val="24"/>
          <w:highlight w:val="none"/>
        </w:rPr>
        <w:t>的政府采购活动，</w:t>
      </w:r>
      <w:r>
        <w:rPr>
          <w:rFonts w:ascii="宋体" w:hAnsi="宋体"/>
          <w:color w:val="auto"/>
          <w:sz w:val="24"/>
          <w:szCs w:val="20"/>
          <w:highlight w:val="none"/>
        </w:rPr>
        <w:t>签署、澄清确认、递交、撤回、修改</w:t>
      </w:r>
      <w:r>
        <w:rPr>
          <w:rFonts w:hint="eastAsia" w:ascii="宋体" w:hAnsi="宋体"/>
          <w:color w:val="auto"/>
          <w:sz w:val="24"/>
          <w:highlight w:val="none"/>
        </w:rPr>
        <w:t>上述项目的</w:t>
      </w:r>
      <w:r>
        <w:rPr>
          <w:rFonts w:hint="eastAsia" w:ascii="宋体" w:hAnsi="宋体"/>
          <w:color w:val="auto"/>
          <w:sz w:val="24"/>
          <w:highlight w:val="none"/>
          <w:lang w:eastAsia="zh-CN"/>
        </w:rPr>
        <w:t>磋商响应</w:t>
      </w:r>
      <w:r>
        <w:rPr>
          <w:rFonts w:hint="eastAsia" w:ascii="宋体" w:hAnsi="宋体"/>
          <w:color w:val="auto"/>
          <w:sz w:val="24"/>
          <w:highlight w:val="none"/>
        </w:rPr>
        <w:t>文件、进行合同谈判、签署合同和处理与之有关的一切事务。</w:t>
      </w:r>
    </w:p>
    <w:p w14:paraId="288289A1">
      <w:pPr>
        <w:spacing w:line="560" w:lineRule="exact"/>
        <w:outlineLvl w:val="9"/>
        <w:rPr>
          <w:rFonts w:ascii="宋体" w:hAnsi="宋体"/>
          <w:color w:val="auto"/>
          <w:sz w:val="24"/>
          <w:highlight w:val="none"/>
        </w:rPr>
      </w:pPr>
      <w:r>
        <w:rPr>
          <w:rFonts w:hint="eastAsia" w:ascii="宋体" w:hAnsi="宋体"/>
          <w:color w:val="auto"/>
          <w:sz w:val="24"/>
          <w:highlight w:val="none"/>
        </w:rPr>
        <w:t>特此证明。</w:t>
      </w:r>
    </w:p>
    <w:p w14:paraId="6A685F1E">
      <w:pPr>
        <w:spacing w:line="560" w:lineRule="exact"/>
        <w:outlineLvl w:val="9"/>
        <w:rPr>
          <w:rFonts w:ascii="宋体" w:hAnsi="宋体"/>
          <w:color w:val="auto"/>
          <w:sz w:val="24"/>
          <w:highlight w:val="none"/>
        </w:rPr>
      </w:pPr>
    </w:p>
    <w:p w14:paraId="3557F6D1">
      <w:pPr>
        <w:pStyle w:val="222"/>
        <w:spacing w:line="583" w:lineRule="auto"/>
        <w:ind w:right="-46"/>
        <w:outlineLvl w:val="9"/>
        <w:rPr>
          <w:color w:val="auto"/>
          <w:spacing w:val="-3"/>
          <w:highlight w:val="none"/>
        </w:rPr>
      </w:pPr>
      <w:r>
        <w:rPr>
          <w:color w:val="auto"/>
          <w:highlight w:val="none"/>
        </w:rPr>
        <w:t>附：</w:t>
      </w:r>
      <w:r>
        <w:rPr>
          <w:color w:val="auto"/>
          <w:spacing w:val="-3"/>
          <w:highlight w:val="none"/>
        </w:rPr>
        <w:t>法</w:t>
      </w:r>
      <w:r>
        <w:rPr>
          <w:color w:val="auto"/>
          <w:highlight w:val="none"/>
        </w:rPr>
        <w:t>定</w:t>
      </w:r>
      <w:r>
        <w:rPr>
          <w:color w:val="auto"/>
          <w:spacing w:val="-3"/>
          <w:highlight w:val="none"/>
        </w:rPr>
        <w:t>代</w:t>
      </w:r>
      <w:r>
        <w:rPr>
          <w:color w:val="auto"/>
          <w:highlight w:val="none"/>
        </w:rPr>
        <w:t>表</w:t>
      </w:r>
      <w:r>
        <w:rPr>
          <w:color w:val="auto"/>
          <w:spacing w:val="-3"/>
          <w:highlight w:val="none"/>
        </w:rPr>
        <w:t>人</w:t>
      </w:r>
      <w:r>
        <w:rPr>
          <w:color w:val="auto"/>
          <w:highlight w:val="none"/>
        </w:rPr>
        <w:t>（</w:t>
      </w:r>
      <w:r>
        <w:rPr>
          <w:color w:val="auto"/>
          <w:spacing w:val="-3"/>
          <w:highlight w:val="none"/>
        </w:rPr>
        <w:t>单</w:t>
      </w:r>
      <w:r>
        <w:rPr>
          <w:color w:val="auto"/>
          <w:highlight w:val="none"/>
        </w:rPr>
        <w:t>位</w:t>
      </w:r>
      <w:r>
        <w:rPr>
          <w:color w:val="auto"/>
          <w:spacing w:val="-3"/>
          <w:highlight w:val="none"/>
        </w:rPr>
        <w:t>负</w:t>
      </w:r>
      <w:r>
        <w:rPr>
          <w:color w:val="auto"/>
          <w:highlight w:val="none"/>
        </w:rPr>
        <w:t>责人</w:t>
      </w:r>
      <w:r>
        <w:rPr>
          <w:color w:val="auto"/>
          <w:spacing w:val="-3"/>
          <w:highlight w:val="none"/>
        </w:rPr>
        <w:t>）有效期内的身</w:t>
      </w:r>
      <w:r>
        <w:rPr>
          <w:rFonts w:hint="eastAsia"/>
          <w:color w:val="auto"/>
          <w:spacing w:val="-3"/>
          <w:highlight w:val="none"/>
        </w:rPr>
        <w:t>份</w:t>
      </w:r>
      <w:r>
        <w:rPr>
          <w:color w:val="auto"/>
          <w:spacing w:val="-3"/>
          <w:highlight w:val="none"/>
        </w:rPr>
        <w:t>证正反面</w:t>
      </w:r>
      <w:r>
        <w:rPr>
          <w:rFonts w:hint="eastAsia"/>
          <w:color w:val="auto"/>
          <w:spacing w:val="-3"/>
          <w:highlight w:val="none"/>
          <w:lang w:val="en-US" w:eastAsia="zh-CN"/>
        </w:rPr>
        <w:t>电子件</w:t>
      </w:r>
      <w:r>
        <w:rPr>
          <w:rFonts w:hint="eastAsia"/>
          <w:color w:val="auto"/>
          <w:spacing w:val="-3"/>
          <w:highlight w:val="none"/>
        </w:rPr>
        <w:t>。</w:t>
      </w:r>
    </w:p>
    <w:tbl>
      <w:tblPr>
        <w:tblStyle w:val="3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1F081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trPr>
        <w:tc>
          <w:tcPr>
            <w:tcW w:w="4673" w:type="dxa"/>
            <w:noWrap w:val="0"/>
            <w:vAlign w:val="top"/>
          </w:tcPr>
          <w:p w14:paraId="4E9A5CCE">
            <w:pPr>
              <w:tabs>
                <w:tab w:val="left" w:pos="5580"/>
              </w:tabs>
              <w:spacing w:line="360" w:lineRule="auto"/>
              <w:jc w:val="left"/>
              <w:outlineLvl w:val="9"/>
              <w:rPr>
                <w:rFonts w:ascii="宋体" w:hAnsi="宋体"/>
                <w:color w:val="auto"/>
                <w:sz w:val="24"/>
                <w:szCs w:val="20"/>
                <w:highlight w:val="none"/>
              </w:rPr>
            </w:pPr>
          </w:p>
          <w:p w14:paraId="21734ED3">
            <w:pPr>
              <w:tabs>
                <w:tab w:val="left" w:pos="5580"/>
              </w:tabs>
              <w:spacing w:line="360" w:lineRule="auto"/>
              <w:jc w:val="left"/>
              <w:outlineLvl w:val="9"/>
              <w:rPr>
                <w:rFonts w:ascii="宋体" w:hAnsi="宋体"/>
                <w:color w:val="auto"/>
                <w:sz w:val="24"/>
                <w:szCs w:val="20"/>
                <w:highlight w:val="none"/>
              </w:rPr>
            </w:pPr>
          </w:p>
          <w:p w14:paraId="13C677EC">
            <w:pPr>
              <w:tabs>
                <w:tab w:val="left" w:pos="5580"/>
              </w:tabs>
              <w:spacing w:line="360" w:lineRule="auto"/>
              <w:jc w:val="left"/>
              <w:outlineLvl w:val="9"/>
              <w:rPr>
                <w:rFonts w:ascii="宋体" w:hAnsi="宋体"/>
                <w:color w:val="auto"/>
                <w:sz w:val="24"/>
                <w:szCs w:val="20"/>
                <w:highlight w:val="none"/>
              </w:rPr>
            </w:pPr>
          </w:p>
        </w:tc>
        <w:tc>
          <w:tcPr>
            <w:tcW w:w="4536" w:type="dxa"/>
            <w:noWrap w:val="0"/>
            <w:vAlign w:val="top"/>
          </w:tcPr>
          <w:p w14:paraId="3ABF9DAD">
            <w:pPr>
              <w:tabs>
                <w:tab w:val="left" w:pos="5580"/>
              </w:tabs>
              <w:spacing w:line="360" w:lineRule="auto"/>
              <w:jc w:val="left"/>
              <w:outlineLvl w:val="9"/>
              <w:rPr>
                <w:rFonts w:ascii="宋体" w:hAnsi="宋体"/>
                <w:color w:val="auto"/>
                <w:sz w:val="24"/>
                <w:szCs w:val="20"/>
                <w:highlight w:val="none"/>
              </w:rPr>
            </w:pPr>
          </w:p>
          <w:p w14:paraId="109669A2">
            <w:pPr>
              <w:tabs>
                <w:tab w:val="left" w:pos="5580"/>
              </w:tabs>
              <w:spacing w:line="360" w:lineRule="auto"/>
              <w:jc w:val="left"/>
              <w:outlineLvl w:val="9"/>
              <w:rPr>
                <w:rFonts w:ascii="宋体" w:hAnsi="宋体"/>
                <w:color w:val="auto"/>
                <w:sz w:val="24"/>
                <w:szCs w:val="20"/>
                <w:highlight w:val="none"/>
              </w:rPr>
            </w:pPr>
          </w:p>
          <w:p w14:paraId="10FF5247">
            <w:pPr>
              <w:tabs>
                <w:tab w:val="left" w:pos="5580"/>
              </w:tabs>
              <w:spacing w:line="360" w:lineRule="auto"/>
              <w:jc w:val="left"/>
              <w:outlineLvl w:val="9"/>
              <w:rPr>
                <w:rFonts w:ascii="宋体" w:hAnsi="宋体"/>
                <w:color w:val="auto"/>
                <w:sz w:val="24"/>
                <w:szCs w:val="20"/>
                <w:highlight w:val="none"/>
              </w:rPr>
            </w:pPr>
          </w:p>
        </w:tc>
      </w:tr>
    </w:tbl>
    <w:p w14:paraId="24BEED5E">
      <w:pPr>
        <w:spacing w:line="560" w:lineRule="exact"/>
        <w:outlineLvl w:val="9"/>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：（加盖公章）</w:t>
      </w:r>
    </w:p>
    <w:p w14:paraId="42D7F76F">
      <w:pPr>
        <w:spacing w:line="560" w:lineRule="exact"/>
        <w:outlineLvl w:val="9"/>
        <w:rPr>
          <w:rFonts w:ascii="宋体" w:hAnsi="宋体"/>
          <w:color w:val="auto"/>
          <w:sz w:val="24"/>
          <w:highlight w:val="none"/>
        </w:rPr>
      </w:pPr>
      <w:r>
        <w:rPr>
          <w:rFonts w:hint="eastAsia" w:ascii="宋体" w:hAnsi="宋体"/>
          <w:color w:val="auto"/>
          <w:sz w:val="24"/>
          <w:highlight w:val="none"/>
        </w:rPr>
        <w:t>                       法定代表人</w:t>
      </w:r>
      <w:r>
        <w:rPr>
          <w:rFonts w:ascii="宋体" w:hAnsi="宋体"/>
          <w:color w:val="auto"/>
          <w:sz w:val="24"/>
          <w:szCs w:val="20"/>
          <w:highlight w:val="none"/>
        </w:rPr>
        <w:t>签字</w:t>
      </w:r>
      <w:r>
        <w:rPr>
          <w:rFonts w:hint="eastAsia" w:ascii="宋体" w:hAnsi="宋体"/>
          <w:color w:val="auto"/>
          <w:sz w:val="24"/>
          <w:szCs w:val="20"/>
          <w:highlight w:val="none"/>
          <w:lang w:eastAsia="zh-CN"/>
        </w:rPr>
        <w:t>或</w:t>
      </w:r>
      <w:r>
        <w:rPr>
          <w:rFonts w:hint="eastAsia" w:ascii="宋体" w:hAnsi="宋体"/>
          <w:color w:val="auto"/>
          <w:sz w:val="24"/>
          <w:szCs w:val="20"/>
          <w:highlight w:val="none"/>
        </w:rPr>
        <w:t>签章</w:t>
      </w:r>
      <w:r>
        <w:rPr>
          <w:rFonts w:ascii="宋体" w:hAnsi="宋体"/>
          <w:color w:val="auto"/>
          <w:sz w:val="24"/>
          <w:szCs w:val="20"/>
          <w:highlight w:val="none"/>
        </w:rPr>
        <w:t>或</w:t>
      </w:r>
      <w:r>
        <w:rPr>
          <w:rFonts w:hint="eastAsia" w:ascii="宋体" w:hAnsi="宋体"/>
          <w:color w:val="auto"/>
          <w:sz w:val="24"/>
          <w:szCs w:val="20"/>
          <w:highlight w:val="none"/>
        </w:rPr>
        <w:t>印鉴</w:t>
      </w:r>
      <w:r>
        <w:rPr>
          <w:rFonts w:hint="eastAsia" w:ascii="宋体" w:hAnsi="宋体"/>
          <w:color w:val="auto"/>
          <w:sz w:val="24"/>
          <w:highlight w:val="none"/>
        </w:rPr>
        <w:t>：</w:t>
      </w:r>
    </w:p>
    <w:p w14:paraId="1729223A">
      <w:pPr>
        <w:spacing w:line="560" w:lineRule="exact"/>
        <w:ind w:firstLine="4320"/>
        <w:outlineLvl w:val="9"/>
        <w:rPr>
          <w:rFonts w:ascii="宋体" w:hAnsi="宋体"/>
          <w:color w:val="auto"/>
          <w:sz w:val="24"/>
          <w:highlight w:val="none"/>
        </w:rPr>
      </w:pPr>
      <w:r>
        <w:rPr>
          <w:rFonts w:hint="eastAsia" w:ascii="宋体" w:hAnsi="宋体"/>
          <w:color w:val="auto"/>
          <w:sz w:val="24"/>
          <w:highlight w:val="none"/>
        </w:rPr>
        <w:t>日期：    年    月    日</w:t>
      </w:r>
    </w:p>
    <w:p w14:paraId="5FE81A1D">
      <w:pPr>
        <w:widowControl/>
        <w:jc w:val="left"/>
        <w:outlineLvl w:val="9"/>
        <w:rPr>
          <w:rFonts w:hint="eastAsia"/>
          <w:color w:val="auto"/>
          <w:sz w:val="24"/>
          <w:highlight w:val="none"/>
        </w:rPr>
      </w:pPr>
    </w:p>
    <w:p w14:paraId="7800B517">
      <w:pPr>
        <w:widowControl/>
        <w:jc w:val="left"/>
        <w:outlineLvl w:val="9"/>
        <w:rPr>
          <w:rFonts w:hint="eastAsia"/>
          <w:color w:val="auto"/>
          <w:sz w:val="24"/>
          <w:highlight w:val="none"/>
        </w:rPr>
      </w:pPr>
    </w:p>
    <w:p w14:paraId="4457DEDC">
      <w:pPr>
        <w:widowControl/>
        <w:jc w:val="left"/>
        <w:outlineLvl w:val="9"/>
        <w:rPr>
          <w:rFonts w:hint="eastAsia"/>
          <w:color w:val="auto"/>
          <w:sz w:val="24"/>
          <w:highlight w:val="none"/>
        </w:rPr>
      </w:pPr>
    </w:p>
    <w:p w14:paraId="6F0B8A21">
      <w:pPr>
        <w:tabs>
          <w:tab w:val="left" w:pos="5580"/>
        </w:tabs>
        <w:spacing w:line="360" w:lineRule="auto"/>
        <w:jc w:val="left"/>
        <w:outlineLvl w:val="9"/>
        <w:rPr>
          <w:rFonts w:ascii="宋体" w:hAnsi="宋体"/>
          <w:color w:val="auto"/>
          <w:sz w:val="24"/>
          <w:szCs w:val="20"/>
          <w:highlight w:val="none"/>
        </w:rPr>
      </w:pPr>
      <w:r>
        <w:rPr>
          <w:rFonts w:hint="eastAsia" w:ascii="宋体" w:hAnsi="宋体"/>
          <w:color w:val="auto"/>
          <w:sz w:val="24"/>
          <w:szCs w:val="20"/>
          <w:highlight w:val="none"/>
        </w:rPr>
        <w:t>说明</w:t>
      </w:r>
      <w:r>
        <w:rPr>
          <w:rFonts w:ascii="宋体" w:hAnsi="宋体"/>
          <w:color w:val="auto"/>
          <w:sz w:val="24"/>
          <w:szCs w:val="20"/>
          <w:highlight w:val="none"/>
        </w:rPr>
        <w:t>：</w:t>
      </w:r>
    </w:p>
    <w:p w14:paraId="3E7C15D8">
      <w:pPr>
        <w:tabs>
          <w:tab w:val="left" w:pos="5580"/>
        </w:tabs>
        <w:spacing w:line="360" w:lineRule="auto"/>
        <w:jc w:val="left"/>
        <w:outlineLvl w:val="9"/>
        <w:rPr>
          <w:rFonts w:hint="eastAsia" w:ascii="宋体" w:hAnsi="宋体"/>
          <w:color w:val="auto"/>
          <w:sz w:val="24"/>
          <w:szCs w:val="20"/>
          <w:highlight w:val="none"/>
        </w:rPr>
      </w:pPr>
      <w:r>
        <w:rPr>
          <w:rFonts w:ascii="宋体" w:hAnsi="宋体"/>
          <w:color w:val="auto"/>
          <w:sz w:val="24"/>
          <w:szCs w:val="20"/>
          <w:highlight w:val="none"/>
        </w:rPr>
        <w:t>若供应商为事业单位或其他组织或分支机构（仅当</w:t>
      </w:r>
      <w:r>
        <w:rPr>
          <w:rFonts w:hint="eastAsia" w:ascii="宋体" w:hAnsi="宋体"/>
          <w:color w:val="auto"/>
          <w:sz w:val="24"/>
          <w:szCs w:val="20"/>
          <w:highlight w:val="none"/>
          <w:lang w:eastAsia="zh-CN"/>
        </w:rPr>
        <w:t>竞争性磋商</w:t>
      </w:r>
      <w:r>
        <w:rPr>
          <w:rFonts w:ascii="宋体" w:hAnsi="宋体"/>
          <w:color w:val="auto"/>
          <w:sz w:val="24"/>
          <w:szCs w:val="20"/>
          <w:highlight w:val="none"/>
        </w:rPr>
        <w:t>文件注明允许分支机构</w:t>
      </w:r>
      <w:r>
        <w:rPr>
          <w:rFonts w:hint="eastAsia" w:ascii="宋体" w:hAnsi="宋体"/>
          <w:color w:val="auto"/>
          <w:sz w:val="24"/>
          <w:szCs w:val="20"/>
          <w:highlight w:val="none"/>
          <w:lang w:eastAsia="zh-CN"/>
        </w:rPr>
        <w:t>磋商</w:t>
      </w:r>
      <w:r>
        <w:rPr>
          <w:rFonts w:ascii="宋体" w:hAnsi="宋体"/>
          <w:color w:val="auto"/>
          <w:sz w:val="24"/>
          <w:szCs w:val="20"/>
          <w:highlight w:val="none"/>
        </w:rPr>
        <w:t>的），则法定代表人（单位负责人）</w:t>
      </w:r>
      <w:r>
        <w:rPr>
          <w:rFonts w:hint="eastAsia" w:ascii="宋体" w:hAnsi="宋体"/>
          <w:color w:val="auto"/>
          <w:sz w:val="24"/>
          <w:szCs w:val="20"/>
          <w:highlight w:val="none"/>
        </w:rPr>
        <w:t>处</w:t>
      </w:r>
      <w:r>
        <w:rPr>
          <w:rFonts w:ascii="宋体" w:hAnsi="宋体"/>
          <w:color w:val="auto"/>
          <w:sz w:val="24"/>
          <w:szCs w:val="20"/>
          <w:highlight w:val="none"/>
        </w:rPr>
        <w:t>的签署人可为单位负责人</w:t>
      </w:r>
      <w:r>
        <w:rPr>
          <w:rFonts w:hint="eastAsia" w:ascii="宋体" w:hAnsi="宋体"/>
          <w:color w:val="auto"/>
          <w:sz w:val="24"/>
          <w:szCs w:val="20"/>
          <w:highlight w:val="none"/>
        </w:rPr>
        <w:t>。</w:t>
      </w:r>
    </w:p>
    <w:p w14:paraId="1AD4B7EA">
      <w:pPr>
        <w:pStyle w:val="222"/>
        <w:outlineLvl w:val="9"/>
        <w:rPr>
          <w:color w:val="auto"/>
          <w:highlight w:val="none"/>
        </w:rPr>
      </w:pPr>
    </w:p>
    <w:p w14:paraId="00B97BF4">
      <w:pPr>
        <w:widowControl/>
        <w:jc w:val="left"/>
        <w:outlineLvl w:val="9"/>
        <w:rPr>
          <w:rFonts w:hint="eastAsia"/>
          <w:color w:val="auto"/>
          <w:sz w:val="24"/>
          <w:highlight w:val="none"/>
        </w:rPr>
      </w:pPr>
    </w:p>
    <w:p w14:paraId="31EF1B5E">
      <w:pPr>
        <w:widowControl/>
        <w:jc w:val="left"/>
        <w:outlineLvl w:val="9"/>
        <w:rPr>
          <w:rFonts w:hint="eastAsia"/>
          <w:color w:val="auto"/>
          <w:sz w:val="24"/>
          <w:highlight w:val="none"/>
          <w:lang w:val="en-US" w:eastAsia="zh-CN"/>
        </w:rPr>
      </w:pPr>
    </w:p>
    <w:p w14:paraId="39266C53">
      <w:pPr>
        <w:widowControl/>
        <w:jc w:val="left"/>
        <w:outlineLvl w:val="9"/>
        <w:rPr>
          <w:rFonts w:hint="eastAsia"/>
          <w:color w:val="auto"/>
          <w:sz w:val="24"/>
          <w:highlight w:val="none"/>
        </w:rPr>
      </w:pPr>
      <w:r>
        <w:rPr>
          <w:color w:val="auto"/>
          <w:sz w:val="24"/>
          <w:highlight w:val="none"/>
        </w:rPr>
        <w:br w:type="page" w:clear="all"/>
      </w:r>
      <w:r>
        <w:rPr>
          <w:rFonts w:hint="eastAsia"/>
          <w:color w:val="auto"/>
          <w:sz w:val="24"/>
          <w:highlight w:val="none"/>
          <w:lang w:val="en-US" w:eastAsia="zh-CN"/>
        </w:rPr>
        <w:t>6</w:t>
      </w:r>
      <w:r>
        <w:rPr>
          <w:rFonts w:hint="eastAsia"/>
          <w:color w:val="auto"/>
          <w:sz w:val="24"/>
          <w:highlight w:val="none"/>
        </w:rPr>
        <w:t xml:space="preserve">  政府采购供应商信用承诺书</w:t>
      </w:r>
      <w:r>
        <w:rPr>
          <w:color w:val="auto"/>
          <w:sz w:val="24"/>
          <w:szCs w:val="20"/>
          <w:highlight w:val="none"/>
        </w:rPr>
        <w:t>（实质性格式）</w:t>
      </w:r>
    </w:p>
    <w:p w14:paraId="7428E4B4">
      <w:pPr>
        <w:spacing w:line="560" w:lineRule="exact"/>
        <w:ind w:firstLine="321"/>
        <w:jc w:val="center"/>
        <w:outlineLvl w:val="9"/>
        <w:rPr>
          <w:rFonts w:hint="eastAsia" w:ascii="黑体" w:hAnsi="黑体" w:eastAsia="黑体"/>
          <w:b/>
          <w:color w:val="auto"/>
          <w:sz w:val="32"/>
          <w:szCs w:val="32"/>
          <w:highlight w:val="none"/>
        </w:rPr>
      </w:pPr>
    </w:p>
    <w:p w14:paraId="0E8ED442">
      <w:pPr>
        <w:spacing w:line="560" w:lineRule="exact"/>
        <w:ind w:firstLine="321"/>
        <w:jc w:val="center"/>
        <w:outlineLvl w:val="9"/>
        <w:rPr>
          <w:rFonts w:ascii="黑体" w:hAnsi="黑体" w:eastAsia="黑体"/>
          <w:b/>
          <w:color w:val="auto"/>
          <w:sz w:val="32"/>
          <w:szCs w:val="32"/>
          <w:highlight w:val="none"/>
        </w:rPr>
      </w:pPr>
      <w:r>
        <w:rPr>
          <w:rFonts w:hint="eastAsia" w:ascii="黑体" w:hAnsi="黑体" w:eastAsia="黑体"/>
          <w:b/>
          <w:color w:val="auto"/>
          <w:sz w:val="32"/>
          <w:szCs w:val="32"/>
          <w:highlight w:val="none"/>
        </w:rPr>
        <w:t>政府采购供应商信用承诺书</w:t>
      </w:r>
    </w:p>
    <w:p w14:paraId="2F3C56F9">
      <w:pPr>
        <w:ind w:firstLine="640"/>
        <w:outlineLvl w:val="9"/>
        <w:rPr>
          <w:color w:val="auto"/>
          <w:highlight w:val="none"/>
        </w:rPr>
      </w:pPr>
    </w:p>
    <w:p w14:paraId="211899B6">
      <w:pPr>
        <w:spacing w:line="276" w:lineRule="auto"/>
        <w:ind w:firstLine="480"/>
        <w:outlineLvl w:val="9"/>
        <w:rPr>
          <w:rFonts w:ascii="宋体" w:hAnsi="宋体"/>
          <w:color w:val="auto"/>
          <w:sz w:val="24"/>
          <w:highlight w:val="none"/>
        </w:rPr>
      </w:pPr>
      <w:r>
        <w:rPr>
          <w:rFonts w:hint="eastAsia" w:ascii="宋体" w:hAnsi="宋体"/>
          <w:color w:val="auto"/>
          <w:sz w:val="24"/>
          <w:highlight w:val="none"/>
        </w:rPr>
        <w:t>为维护公开、公平、公正的政府采购市场秩序，树立诚实守信的供应商形象，本单位在参与政府采购活动中,自愿作出以下承诺：</w:t>
      </w:r>
    </w:p>
    <w:p w14:paraId="6C384A6E">
      <w:pPr>
        <w:spacing w:line="276" w:lineRule="auto"/>
        <w:ind w:firstLine="480"/>
        <w:outlineLvl w:val="9"/>
        <w:rPr>
          <w:rFonts w:ascii="宋体" w:hAnsi="宋体"/>
          <w:color w:val="auto"/>
          <w:sz w:val="24"/>
          <w:highlight w:val="none"/>
        </w:rPr>
      </w:pPr>
      <w:r>
        <w:rPr>
          <w:rFonts w:hint="eastAsia" w:ascii="宋体" w:hAnsi="宋体"/>
          <w:color w:val="auto"/>
          <w:sz w:val="24"/>
          <w:highlight w:val="none"/>
        </w:rPr>
        <w:t>一、严格遵守国家法律、法规和规章，全面履行应尽的责任和义务，全面做到履约守信，具备《政府采购法》第二十二条第一款规定的条件。</w:t>
      </w:r>
    </w:p>
    <w:p w14:paraId="6F488E65">
      <w:pPr>
        <w:spacing w:line="276" w:lineRule="auto"/>
        <w:ind w:firstLine="480"/>
        <w:outlineLvl w:val="9"/>
        <w:rPr>
          <w:rFonts w:ascii="宋体" w:hAnsi="宋体"/>
          <w:color w:val="auto"/>
          <w:sz w:val="24"/>
          <w:highlight w:val="none"/>
        </w:rPr>
      </w:pPr>
      <w:r>
        <w:rPr>
          <w:rFonts w:hint="eastAsia" w:ascii="宋体" w:hAnsi="宋体"/>
          <w:color w:val="auto"/>
          <w:sz w:val="24"/>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14:paraId="4A23B9E3">
      <w:pPr>
        <w:spacing w:line="276" w:lineRule="auto"/>
        <w:ind w:firstLine="480"/>
        <w:outlineLvl w:val="9"/>
        <w:rPr>
          <w:rFonts w:ascii="宋体" w:hAnsi="宋体"/>
          <w:color w:val="auto"/>
          <w:sz w:val="24"/>
          <w:highlight w:val="none"/>
        </w:rPr>
      </w:pPr>
      <w:r>
        <w:rPr>
          <w:rFonts w:hint="eastAsia" w:ascii="宋体" w:hAnsi="宋体"/>
          <w:color w:val="auto"/>
          <w:sz w:val="24"/>
          <w:highlight w:val="none"/>
        </w:rPr>
        <w:t>三、本单位提供给注册登记部门、行业管理部门、司法部门、行业组织以及在政府采购活动中提交的所有资料均合法、真实、有效，无任何伪造、修改、虚假成</w:t>
      </w:r>
      <w:r>
        <w:rPr>
          <w:rFonts w:hint="eastAsia" w:ascii="宋体" w:hAnsi="宋体"/>
          <w:color w:val="auto"/>
          <w:sz w:val="24"/>
          <w:highlight w:val="none"/>
          <w:lang w:val="en-US" w:eastAsia="zh-CN"/>
        </w:rPr>
        <w:t>分</w:t>
      </w:r>
      <w:r>
        <w:rPr>
          <w:rFonts w:hint="eastAsia" w:ascii="宋体" w:hAnsi="宋体"/>
          <w:color w:val="auto"/>
          <w:sz w:val="24"/>
          <w:highlight w:val="none"/>
        </w:rPr>
        <w:t>，并对所提供资料的真实性负责。</w:t>
      </w:r>
    </w:p>
    <w:p w14:paraId="69E7EF01">
      <w:pPr>
        <w:spacing w:line="276" w:lineRule="auto"/>
        <w:ind w:firstLine="480"/>
        <w:outlineLvl w:val="9"/>
        <w:rPr>
          <w:rFonts w:ascii="宋体" w:hAnsi="宋体"/>
          <w:color w:val="auto"/>
          <w:sz w:val="24"/>
          <w:highlight w:val="none"/>
        </w:rPr>
      </w:pPr>
      <w:r>
        <w:rPr>
          <w:rFonts w:hint="eastAsia" w:ascii="宋体" w:hAnsi="宋体"/>
          <w:color w:val="auto"/>
          <w:sz w:val="24"/>
          <w:highlight w:val="none"/>
        </w:rPr>
        <w:t>四、严格依法开展生产经营活动，主动接受行业监管，自愿接受依法开展的日常检查；违法失信经营后将自愿接受约束和惩戒，并依法承担相应责任。</w:t>
      </w:r>
    </w:p>
    <w:p w14:paraId="76CFA3BF">
      <w:pPr>
        <w:spacing w:line="276" w:lineRule="auto"/>
        <w:ind w:firstLine="480"/>
        <w:outlineLvl w:val="9"/>
        <w:rPr>
          <w:rFonts w:ascii="宋体" w:hAnsi="宋体"/>
          <w:color w:val="auto"/>
          <w:sz w:val="24"/>
          <w:highlight w:val="none"/>
        </w:rPr>
      </w:pPr>
      <w:r>
        <w:rPr>
          <w:rFonts w:hint="eastAsia" w:ascii="宋体" w:hAnsi="宋体"/>
          <w:color w:val="auto"/>
          <w:sz w:val="24"/>
          <w:highlight w:val="none"/>
        </w:rPr>
        <w:t xml:space="preserve">五、承诺本单位自觉接受行政管理部门、行业组织、社会公众、新闻舆论的监督。 </w:t>
      </w:r>
    </w:p>
    <w:p w14:paraId="3A90CFA5">
      <w:pPr>
        <w:spacing w:line="276" w:lineRule="auto"/>
        <w:ind w:firstLine="480"/>
        <w:outlineLvl w:val="9"/>
        <w:rPr>
          <w:rFonts w:ascii="宋体" w:hAnsi="宋体"/>
          <w:color w:val="auto"/>
          <w:sz w:val="24"/>
          <w:highlight w:val="none"/>
        </w:rPr>
      </w:pPr>
      <w:r>
        <w:rPr>
          <w:rFonts w:hint="eastAsia" w:ascii="宋体" w:hAnsi="宋体"/>
          <w:color w:val="auto"/>
          <w:sz w:val="24"/>
          <w:highlight w:val="none"/>
        </w:rPr>
        <w:t xml:space="preserve">六、承诺本单位自我约束、自我管理，重合同、守信用，不制假售假、商标侵权、虚假宣传、违约毁约、恶意逃债、偷税漏税、价格欺诈、垄断和不正当竞争，维护经营者、消费者的合法权益。 </w:t>
      </w:r>
    </w:p>
    <w:p w14:paraId="2DDEB9E7">
      <w:pPr>
        <w:spacing w:line="276" w:lineRule="auto"/>
        <w:ind w:firstLine="480"/>
        <w:outlineLvl w:val="9"/>
        <w:rPr>
          <w:rFonts w:ascii="宋体" w:hAnsi="宋体"/>
          <w:color w:val="auto"/>
          <w:sz w:val="24"/>
          <w:highlight w:val="none"/>
        </w:rPr>
      </w:pPr>
      <w:r>
        <w:rPr>
          <w:rFonts w:hint="eastAsia" w:ascii="宋体" w:hAnsi="宋体"/>
          <w:color w:val="auto"/>
          <w:sz w:val="24"/>
          <w:highlight w:val="none"/>
        </w:rPr>
        <w:t xml:space="preserve">七、承诺本单位在信用中国（江苏）网站中无违法违规、较重或严重失信记录。 </w:t>
      </w:r>
    </w:p>
    <w:p w14:paraId="06534662">
      <w:pPr>
        <w:spacing w:line="276" w:lineRule="auto"/>
        <w:ind w:firstLine="480"/>
        <w:outlineLvl w:val="9"/>
        <w:rPr>
          <w:rFonts w:ascii="宋体" w:hAnsi="宋体"/>
          <w:color w:val="auto"/>
          <w:sz w:val="24"/>
          <w:highlight w:val="none"/>
        </w:rPr>
      </w:pPr>
      <w:r>
        <w:rPr>
          <w:rFonts w:hint="eastAsia" w:ascii="宋体" w:hAnsi="宋体"/>
          <w:color w:val="auto"/>
          <w:sz w:val="24"/>
          <w:highlight w:val="none"/>
        </w:rPr>
        <w:t>八、承诺本单位提出政府采购质疑和投诉坚持依法依规、诚实信用原则。</w:t>
      </w:r>
    </w:p>
    <w:p w14:paraId="2DB5D43B">
      <w:pPr>
        <w:spacing w:line="276" w:lineRule="auto"/>
        <w:ind w:firstLine="480"/>
        <w:outlineLvl w:val="9"/>
        <w:rPr>
          <w:rFonts w:ascii="宋体" w:hAnsi="宋体"/>
          <w:color w:val="auto"/>
          <w:sz w:val="24"/>
          <w:highlight w:val="none"/>
        </w:rPr>
      </w:pPr>
      <w:r>
        <w:rPr>
          <w:rFonts w:hint="eastAsia" w:ascii="宋体" w:hAnsi="宋体"/>
          <w:color w:val="auto"/>
          <w:sz w:val="24"/>
          <w:highlight w:val="none"/>
        </w:rPr>
        <w:t xml:space="preserve">九、根据政府采购相关法律法规的规定需要作出的其他承诺。 </w:t>
      </w:r>
    </w:p>
    <w:p w14:paraId="63332D63">
      <w:pPr>
        <w:spacing w:line="276" w:lineRule="auto"/>
        <w:ind w:firstLine="480"/>
        <w:outlineLvl w:val="9"/>
        <w:rPr>
          <w:rFonts w:ascii="宋体" w:hAnsi="宋体"/>
          <w:color w:val="auto"/>
          <w:sz w:val="24"/>
          <w:highlight w:val="none"/>
        </w:rPr>
      </w:pPr>
      <w:r>
        <w:rPr>
          <w:rFonts w:hint="eastAsia" w:ascii="宋体" w:hAnsi="宋体"/>
          <w:color w:val="auto"/>
          <w:sz w:val="24"/>
          <w:highlight w:val="none"/>
        </w:rPr>
        <w:t>十、承诺本单位若违背承诺约定，经查实，愿意接受行业主管部门和信用管理部门相应的规定处罚，承担违约责任，并依法承担相应的法律责任。</w:t>
      </w:r>
    </w:p>
    <w:p w14:paraId="32116A69">
      <w:pPr>
        <w:spacing w:line="276" w:lineRule="auto"/>
        <w:ind w:firstLine="480"/>
        <w:outlineLvl w:val="9"/>
        <w:rPr>
          <w:rFonts w:ascii="宋体" w:hAnsi="宋体"/>
          <w:color w:val="auto"/>
          <w:sz w:val="24"/>
          <w:highlight w:val="none"/>
        </w:rPr>
      </w:pPr>
      <w:r>
        <w:rPr>
          <w:rFonts w:hint="eastAsia" w:ascii="宋体" w:hAnsi="宋体"/>
          <w:color w:val="auto"/>
          <w:sz w:val="24"/>
          <w:highlight w:val="none"/>
        </w:rPr>
        <w:t>十一、承诺本单位同意将以上承诺事项上网公示，违背承诺约定行为将作为失信信息，记录到常州市公共信用信息系统，并予以公开。</w:t>
      </w:r>
    </w:p>
    <w:p w14:paraId="1DCE9998">
      <w:pPr>
        <w:pStyle w:val="293"/>
        <w:spacing w:line="276" w:lineRule="auto"/>
        <w:ind w:right="1050" w:firstLine="2880"/>
        <w:jc w:val="both"/>
        <w:outlineLvl w:val="9"/>
        <w:rPr>
          <w:rFonts w:ascii="宋体" w:hAnsi="宋体" w:eastAsia="宋体"/>
          <w:color w:val="auto"/>
          <w:sz w:val="24"/>
          <w:szCs w:val="22"/>
          <w:highlight w:val="none"/>
        </w:rPr>
      </w:pPr>
    </w:p>
    <w:p w14:paraId="064FF7C2">
      <w:pPr>
        <w:spacing w:before="25" w:after="25" w:line="360" w:lineRule="auto"/>
        <w:outlineLvl w:val="9"/>
        <w:rPr>
          <w:color w:val="auto"/>
          <w:sz w:val="24"/>
          <w:highlight w:val="none"/>
          <w:lang w:val="zh-CN"/>
        </w:rPr>
      </w:pPr>
      <w:r>
        <w:rPr>
          <w:color w:val="auto"/>
          <w:sz w:val="24"/>
          <w:highlight w:val="none"/>
        </w:rPr>
        <w:t>供应商名称（加盖公章）</w:t>
      </w:r>
      <w:r>
        <w:rPr>
          <w:color w:val="auto"/>
          <w:sz w:val="24"/>
          <w:highlight w:val="none"/>
          <w:lang w:val="zh-CN"/>
        </w:rPr>
        <w:t>：____________</w:t>
      </w:r>
    </w:p>
    <w:p w14:paraId="5B463D4B">
      <w:pPr>
        <w:spacing w:before="25" w:after="25" w:line="360" w:lineRule="auto"/>
        <w:outlineLvl w:val="9"/>
        <w:rPr>
          <w:color w:val="auto"/>
          <w:sz w:val="24"/>
          <w:highlight w:val="none"/>
          <w:lang w:val="zh-CN"/>
        </w:rPr>
      </w:pPr>
      <w:r>
        <w:rPr>
          <w:color w:val="auto"/>
          <w:sz w:val="24"/>
          <w:szCs w:val="20"/>
          <w:highlight w:val="none"/>
        </w:rPr>
        <w:t xml:space="preserve">日期：_____年______月______日   </w:t>
      </w:r>
    </w:p>
    <w:p w14:paraId="79579C7B">
      <w:pPr>
        <w:spacing w:line="360" w:lineRule="auto"/>
        <w:outlineLvl w:val="9"/>
        <w:rPr>
          <w:color w:val="auto"/>
          <w:sz w:val="24"/>
          <w:szCs w:val="20"/>
          <w:highlight w:val="none"/>
        </w:rPr>
      </w:pPr>
      <w:r>
        <w:rPr>
          <w:color w:val="auto"/>
          <w:sz w:val="24"/>
          <w:szCs w:val="20"/>
          <w:highlight w:val="none"/>
        </w:rPr>
        <w:br w:type="page" w:clear="all"/>
      </w:r>
      <w:r>
        <w:rPr>
          <w:rFonts w:hint="eastAsia"/>
          <w:color w:val="auto"/>
          <w:sz w:val="24"/>
          <w:szCs w:val="20"/>
          <w:highlight w:val="none"/>
          <w:lang w:val="en-US" w:eastAsia="zh-CN"/>
        </w:rPr>
        <w:t>7</w:t>
      </w:r>
      <w:r>
        <w:rPr>
          <w:color w:val="auto"/>
          <w:sz w:val="24"/>
          <w:szCs w:val="20"/>
          <w:highlight w:val="none"/>
        </w:rPr>
        <w:t xml:space="preserve">  报价一览表</w:t>
      </w:r>
    </w:p>
    <w:p w14:paraId="3495CB37">
      <w:pPr>
        <w:jc w:val="center"/>
        <w:outlineLvl w:val="9"/>
        <w:rPr>
          <w:b/>
          <w:color w:val="auto"/>
          <w:sz w:val="36"/>
          <w:szCs w:val="36"/>
          <w:highlight w:val="none"/>
        </w:rPr>
      </w:pPr>
      <w:r>
        <w:rPr>
          <w:rFonts w:hint="eastAsia"/>
          <w:b/>
          <w:color w:val="auto"/>
          <w:sz w:val="36"/>
          <w:szCs w:val="36"/>
          <w:highlight w:val="none"/>
        </w:rPr>
        <w:t>报价一览表</w:t>
      </w:r>
    </w:p>
    <w:p w14:paraId="097B07AB">
      <w:pPr>
        <w:tabs>
          <w:tab w:val="left" w:pos="1800"/>
          <w:tab w:val="left" w:pos="5580"/>
        </w:tabs>
        <w:spacing w:line="360" w:lineRule="auto"/>
        <w:jc w:val="left"/>
        <w:outlineLvl w:val="9"/>
        <w:rPr>
          <w:color w:val="auto"/>
          <w:sz w:val="24"/>
          <w:highlight w:val="none"/>
        </w:rPr>
      </w:pPr>
    </w:p>
    <w:p w14:paraId="1E8B983B">
      <w:pPr>
        <w:tabs>
          <w:tab w:val="left" w:pos="1800"/>
          <w:tab w:val="left" w:pos="5580"/>
        </w:tabs>
        <w:spacing w:line="360" w:lineRule="auto"/>
        <w:ind w:firstLine="240"/>
        <w:jc w:val="left"/>
        <w:outlineLvl w:val="9"/>
        <w:rPr>
          <w:color w:val="auto"/>
          <w:sz w:val="24"/>
          <w:highlight w:val="none"/>
          <w:u w:val="single"/>
        </w:rPr>
      </w:pPr>
      <w:r>
        <w:rPr>
          <w:color w:val="auto"/>
          <w:sz w:val="24"/>
          <w:highlight w:val="none"/>
        </w:rPr>
        <w:t>项目编号：_____________________     项目名称：_______________________</w:t>
      </w:r>
    </w:p>
    <w:p w14:paraId="0BCFB83F">
      <w:pPr>
        <w:jc w:val="left"/>
        <w:outlineLvl w:val="9"/>
        <w:rPr>
          <w:color w:val="auto"/>
          <w:sz w:val="24"/>
          <w:highlight w:val="none"/>
        </w:rPr>
      </w:pP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2"/>
        <w:gridCol w:w="3561"/>
        <w:gridCol w:w="2250"/>
        <w:gridCol w:w="2369"/>
      </w:tblGrid>
      <w:tr w14:paraId="5DC2B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1" w:hRule="atLeast"/>
          <w:jc w:val="center"/>
        </w:trPr>
        <w:tc>
          <w:tcPr>
            <w:tcW w:w="902" w:type="dxa"/>
            <w:vMerge w:val="restart"/>
            <w:noWrap w:val="0"/>
            <w:vAlign w:val="center"/>
          </w:tcPr>
          <w:p w14:paraId="6C008FD1">
            <w:pPr>
              <w:tabs>
                <w:tab w:val="left" w:pos="5580"/>
              </w:tabs>
              <w:jc w:val="center"/>
              <w:outlineLvl w:val="9"/>
              <w:rPr>
                <w:b/>
                <w:color w:val="auto"/>
                <w:sz w:val="24"/>
                <w:highlight w:val="none"/>
              </w:rPr>
            </w:pPr>
            <w:r>
              <w:rPr>
                <w:rFonts w:hint="eastAsia"/>
                <w:b/>
                <w:color w:val="auto"/>
                <w:sz w:val="24"/>
                <w:highlight w:val="none"/>
              </w:rPr>
              <w:t>序号</w:t>
            </w:r>
          </w:p>
        </w:tc>
        <w:tc>
          <w:tcPr>
            <w:tcW w:w="3561" w:type="dxa"/>
            <w:vMerge w:val="restart"/>
            <w:noWrap w:val="0"/>
            <w:vAlign w:val="center"/>
          </w:tcPr>
          <w:p w14:paraId="23339143">
            <w:pPr>
              <w:tabs>
                <w:tab w:val="left" w:pos="5580"/>
              </w:tabs>
              <w:jc w:val="center"/>
              <w:outlineLvl w:val="9"/>
              <w:rPr>
                <w:b/>
                <w:color w:val="auto"/>
                <w:sz w:val="24"/>
                <w:highlight w:val="none"/>
              </w:rPr>
            </w:pPr>
            <w:r>
              <w:rPr>
                <w:rFonts w:hint="eastAsia"/>
                <w:b/>
                <w:color w:val="auto"/>
                <w:sz w:val="24"/>
                <w:highlight w:val="none"/>
              </w:rPr>
              <w:t>供应商名称</w:t>
            </w:r>
          </w:p>
        </w:tc>
        <w:tc>
          <w:tcPr>
            <w:tcW w:w="4619" w:type="dxa"/>
            <w:gridSpan w:val="2"/>
            <w:noWrap w:val="0"/>
            <w:vAlign w:val="center"/>
          </w:tcPr>
          <w:p w14:paraId="754FA728">
            <w:pPr>
              <w:tabs>
                <w:tab w:val="left" w:pos="5580"/>
              </w:tabs>
              <w:jc w:val="center"/>
              <w:outlineLvl w:val="9"/>
              <w:rPr>
                <w:rFonts w:hint="eastAsia" w:eastAsia="宋体"/>
                <w:b/>
                <w:color w:val="auto"/>
                <w:sz w:val="24"/>
                <w:highlight w:val="none"/>
                <w:lang w:eastAsia="zh-CN"/>
              </w:rPr>
            </w:pPr>
            <w:r>
              <w:rPr>
                <w:rFonts w:hint="eastAsia"/>
                <w:b/>
                <w:color w:val="auto"/>
                <w:sz w:val="24"/>
                <w:highlight w:val="none"/>
              </w:rPr>
              <w:t>报价</w:t>
            </w:r>
            <w:r>
              <w:rPr>
                <w:rFonts w:hint="eastAsia"/>
                <w:b/>
                <w:color w:val="auto"/>
                <w:sz w:val="24"/>
                <w:highlight w:val="none"/>
                <w:lang w:eastAsia="zh-CN"/>
              </w:rPr>
              <w:t>（</w:t>
            </w:r>
            <w:r>
              <w:rPr>
                <w:rFonts w:hint="eastAsia"/>
                <w:b/>
                <w:color w:val="auto"/>
                <w:sz w:val="24"/>
                <w:highlight w:val="none"/>
                <w:lang w:val="en-US" w:eastAsia="zh-CN"/>
              </w:rPr>
              <w:t>人民币：</w:t>
            </w:r>
            <w:r>
              <w:rPr>
                <w:rFonts w:hint="eastAsia"/>
                <w:b/>
                <w:color w:val="auto"/>
                <w:sz w:val="24"/>
                <w:highlight w:val="none"/>
              </w:rPr>
              <w:t>元</w:t>
            </w:r>
            <w:r>
              <w:rPr>
                <w:rFonts w:hint="eastAsia"/>
                <w:b/>
                <w:color w:val="auto"/>
                <w:sz w:val="24"/>
                <w:highlight w:val="none"/>
                <w:lang w:eastAsia="zh-CN"/>
              </w:rPr>
              <w:t>）</w:t>
            </w:r>
          </w:p>
        </w:tc>
      </w:tr>
      <w:tr w14:paraId="628B3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902" w:type="dxa"/>
            <w:vMerge w:val="continue"/>
            <w:noWrap w:val="0"/>
            <w:vAlign w:val="center"/>
          </w:tcPr>
          <w:p w14:paraId="3A3624FE">
            <w:pPr>
              <w:widowControl/>
              <w:jc w:val="left"/>
              <w:outlineLvl w:val="9"/>
              <w:rPr>
                <w:b/>
                <w:color w:val="auto"/>
                <w:sz w:val="24"/>
                <w:highlight w:val="none"/>
              </w:rPr>
            </w:pPr>
          </w:p>
        </w:tc>
        <w:tc>
          <w:tcPr>
            <w:tcW w:w="3561" w:type="dxa"/>
            <w:vMerge w:val="continue"/>
            <w:noWrap w:val="0"/>
            <w:vAlign w:val="center"/>
          </w:tcPr>
          <w:p w14:paraId="32C63B16">
            <w:pPr>
              <w:widowControl/>
              <w:jc w:val="left"/>
              <w:outlineLvl w:val="9"/>
              <w:rPr>
                <w:b/>
                <w:color w:val="auto"/>
                <w:sz w:val="24"/>
                <w:highlight w:val="none"/>
              </w:rPr>
            </w:pPr>
          </w:p>
        </w:tc>
        <w:tc>
          <w:tcPr>
            <w:tcW w:w="2250" w:type="dxa"/>
            <w:noWrap w:val="0"/>
            <w:vAlign w:val="center"/>
          </w:tcPr>
          <w:p w14:paraId="0140C49C">
            <w:pPr>
              <w:tabs>
                <w:tab w:val="left" w:pos="5580"/>
              </w:tabs>
              <w:jc w:val="center"/>
              <w:outlineLvl w:val="9"/>
              <w:rPr>
                <w:b/>
                <w:color w:val="auto"/>
                <w:sz w:val="24"/>
                <w:highlight w:val="none"/>
              </w:rPr>
            </w:pPr>
            <w:r>
              <w:rPr>
                <w:rFonts w:hint="eastAsia"/>
                <w:b/>
                <w:color w:val="auto"/>
                <w:sz w:val="24"/>
                <w:highlight w:val="none"/>
              </w:rPr>
              <w:t>大写</w:t>
            </w:r>
          </w:p>
        </w:tc>
        <w:tc>
          <w:tcPr>
            <w:tcW w:w="2369" w:type="dxa"/>
            <w:noWrap w:val="0"/>
            <w:vAlign w:val="center"/>
          </w:tcPr>
          <w:p w14:paraId="05AA031D">
            <w:pPr>
              <w:tabs>
                <w:tab w:val="left" w:pos="5580"/>
              </w:tabs>
              <w:jc w:val="center"/>
              <w:outlineLvl w:val="9"/>
              <w:rPr>
                <w:b/>
                <w:color w:val="auto"/>
                <w:sz w:val="24"/>
                <w:highlight w:val="none"/>
              </w:rPr>
            </w:pPr>
            <w:r>
              <w:rPr>
                <w:rFonts w:hint="eastAsia"/>
                <w:b/>
                <w:color w:val="auto"/>
                <w:sz w:val="24"/>
                <w:highlight w:val="none"/>
              </w:rPr>
              <w:t>小写</w:t>
            </w:r>
          </w:p>
        </w:tc>
      </w:tr>
      <w:tr w14:paraId="2722E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902" w:type="dxa"/>
            <w:noWrap w:val="0"/>
            <w:vAlign w:val="center"/>
          </w:tcPr>
          <w:p w14:paraId="7542569F">
            <w:pPr>
              <w:tabs>
                <w:tab w:val="left" w:pos="5580"/>
              </w:tabs>
              <w:jc w:val="center"/>
              <w:outlineLvl w:val="9"/>
              <w:rPr>
                <w:color w:val="auto"/>
                <w:sz w:val="24"/>
                <w:highlight w:val="none"/>
              </w:rPr>
            </w:pPr>
          </w:p>
        </w:tc>
        <w:tc>
          <w:tcPr>
            <w:tcW w:w="3561" w:type="dxa"/>
            <w:noWrap w:val="0"/>
            <w:vAlign w:val="center"/>
          </w:tcPr>
          <w:p w14:paraId="7134D1AD">
            <w:pPr>
              <w:tabs>
                <w:tab w:val="left" w:pos="5580"/>
              </w:tabs>
              <w:jc w:val="center"/>
              <w:outlineLvl w:val="9"/>
              <w:rPr>
                <w:color w:val="auto"/>
                <w:sz w:val="24"/>
                <w:highlight w:val="none"/>
              </w:rPr>
            </w:pPr>
          </w:p>
        </w:tc>
        <w:tc>
          <w:tcPr>
            <w:tcW w:w="2250" w:type="dxa"/>
            <w:noWrap w:val="0"/>
            <w:vAlign w:val="center"/>
          </w:tcPr>
          <w:p w14:paraId="07B75E0E">
            <w:pPr>
              <w:tabs>
                <w:tab w:val="left" w:pos="5580"/>
              </w:tabs>
              <w:jc w:val="center"/>
              <w:outlineLvl w:val="9"/>
              <w:rPr>
                <w:color w:val="auto"/>
                <w:sz w:val="24"/>
                <w:highlight w:val="none"/>
              </w:rPr>
            </w:pPr>
          </w:p>
        </w:tc>
        <w:tc>
          <w:tcPr>
            <w:tcW w:w="2369" w:type="dxa"/>
            <w:noWrap w:val="0"/>
            <w:vAlign w:val="center"/>
          </w:tcPr>
          <w:p w14:paraId="6E3B18FF">
            <w:pPr>
              <w:tabs>
                <w:tab w:val="left" w:pos="5580"/>
              </w:tabs>
              <w:jc w:val="center"/>
              <w:outlineLvl w:val="9"/>
              <w:rPr>
                <w:color w:val="auto"/>
                <w:sz w:val="24"/>
                <w:highlight w:val="none"/>
              </w:rPr>
            </w:pPr>
          </w:p>
        </w:tc>
      </w:tr>
    </w:tbl>
    <w:p w14:paraId="75ED0F4C">
      <w:pPr>
        <w:keepNext w:val="0"/>
        <w:keepLines w:val="0"/>
        <w:pageBreakBefore w:val="0"/>
        <w:widowControl w:val="0"/>
        <w:spacing w:before="464"/>
        <w:ind w:left="0" w:right="0"/>
        <w:jc w:val="left"/>
        <w:rPr>
          <w:color w:val="auto"/>
          <w:sz w:val="24"/>
          <w:szCs w:val="20"/>
          <w:highlight w:val="none"/>
        </w:rPr>
      </w:pPr>
      <w:r>
        <w:rPr>
          <w:rFonts w:hint="eastAsia"/>
          <w:color w:val="auto"/>
          <w:sz w:val="24"/>
          <w:highlight w:val="none"/>
          <w:lang w:val="en-US" w:eastAsia="zh-CN"/>
        </w:rPr>
        <w:t>注：1.</w:t>
      </w:r>
      <w:r>
        <w:rPr>
          <w:color w:val="auto"/>
          <w:sz w:val="24"/>
          <w:szCs w:val="20"/>
          <w:highlight w:val="none"/>
        </w:rPr>
        <w:t>此表中的报价应和《分项报价表》中的总价相一致。</w:t>
      </w:r>
    </w:p>
    <w:p w14:paraId="06343BD5">
      <w:pPr>
        <w:keepNext w:val="0"/>
        <w:keepLines w:val="0"/>
        <w:pageBreakBefore w:val="0"/>
        <w:widowControl w:val="0"/>
        <w:spacing w:before="464"/>
        <w:ind w:left="0" w:right="0"/>
        <w:jc w:val="left"/>
        <w:rPr>
          <w:color w:val="auto"/>
          <w:sz w:val="24"/>
          <w:szCs w:val="20"/>
          <w:highlight w:val="none"/>
        </w:rPr>
      </w:pPr>
      <w:r>
        <w:rPr>
          <w:rFonts w:hint="eastAsia"/>
          <w:color w:val="auto"/>
          <w:sz w:val="24"/>
          <w:szCs w:val="20"/>
          <w:highlight w:val="none"/>
        </w:rPr>
        <w:t>2.二次报价即最终报价。</w:t>
      </w:r>
    </w:p>
    <w:p w14:paraId="2D68B8E1">
      <w:pPr>
        <w:spacing w:before="25" w:after="25" w:line="360" w:lineRule="auto"/>
        <w:outlineLvl w:val="9"/>
        <w:rPr>
          <w:color w:val="auto"/>
          <w:sz w:val="24"/>
          <w:highlight w:val="none"/>
          <w:lang w:val="zh-CN"/>
        </w:rPr>
      </w:pPr>
    </w:p>
    <w:p w14:paraId="7BFDE03A">
      <w:pPr>
        <w:spacing w:before="25" w:after="25" w:line="360" w:lineRule="auto"/>
        <w:outlineLvl w:val="9"/>
        <w:rPr>
          <w:color w:val="auto"/>
          <w:sz w:val="24"/>
          <w:highlight w:val="none"/>
          <w:lang w:val="zh-CN"/>
        </w:rPr>
      </w:pPr>
      <w:r>
        <w:rPr>
          <w:color w:val="auto"/>
          <w:sz w:val="24"/>
          <w:highlight w:val="none"/>
          <w:lang w:val="zh-CN"/>
        </w:rPr>
        <w:t xml:space="preserve">                         </w:t>
      </w:r>
    </w:p>
    <w:p w14:paraId="2D01F40D">
      <w:pPr>
        <w:spacing w:before="25" w:after="25" w:line="360" w:lineRule="auto"/>
        <w:outlineLvl w:val="9"/>
        <w:rPr>
          <w:color w:val="auto"/>
          <w:sz w:val="24"/>
          <w:highlight w:val="none"/>
          <w:lang w:val="zh-CN"/>
        </w:rPr>
      </w:pPr>
      <w:r>
        <w:rPr>
          <w:color w:val="auto"/>
          <w:sz w:val="24"/>
          <w:highlight w:val="none"/>
        </w:rPr>
        <w:t>供应商名称（加盖公章）</w:t>
      </w:r>
      <w:r>
        <w:rPr>
          <w:color w:val="auto"/>
          <w:sz w:val="24"/>
          <w:highlight w:val="none"/>
          <w:lang w:val="zh-CN"/>
        </w:rPr>
        <w:t>：____________</w:t>
      </w:r>
    </w:p>
    <w:p w14:paraId="60FF3122">
      <w:pPr>
        <w:spacing w:before="25" w:after="25" w:line="360" w:lineRule="auto"/>
        <w:outlineLvl w:val="9"/>
        <w:rPr>
          <w:color w:val="auto"/>
          <w:sz w:val="24"/>
          <w:highlight w:val="none"/>
          <w:lang w:val="zh-CN"/>
        </w:rPr>
      </w:pPr>
      <w:r>
        <w:rPr>
          <w:color w:val="auto"/>
          <w:sz w:val="24"/>
          <w:szCs w:val="20"/>
          <w:highlight w:val="none"/>
        </w:rPr>
        <w:t xml:space="preserve">日期：_____年______月______日   </w:t>
      </w:r>
    </w:p>
    <w:p w14:paraId="2556F110">
      <w:pPr>
        <w:spacing w:line="360" w:lineRule="auto"/>
        <w:outlineLvl w:val="9"/>
        <w:rPr>
          <w:rFonts w:hint="eastAsia"/>
          <w:color w:val="auto"/>
          <w:sz w:val="24"/>
          <w:szCs w:val="20"/>
          <w:highlight w:val="none"/>
        </w:rPr>
      </w:pPr>
    </w:p>
    <w:p w14:paraId="492540F5">
      <w:pPr>
        <w:spacing w:line="360" w:lineRule="auto"/>
        <w:outlineLvl w:val="9"/>
        <w:rPr>
          <w:rFonts w:hint="eastAsia"/>
          <w:color w:val="auto"/>
          <w:sz w:val="24"/>
          <w:szCs w:val="20"/>
          <w:highlight w:val="none"/>
        </w:rPr>
      </w:pPr>
    </w:p>
    <w:p w14:paraId="39EBA5D9">
      <w:pPr>
        <w:spacing w:line="360" w:lineRule="auto"/>
        <w:outlineLvl w:val="9"/>
        <w:rPr>
          <w:rFonts w:hint="eastAsia"/>
          <w:color w:val="auto"/>
          <w:sz w:val="24"/>
          <w:szCs w:val="20"/>
          <w:highlight w:val="none"/>
        </w:rPr>
      </w:pPr>
    </w:p>
    <w:p w14:paraId="5A566FA8">
      <w:pPr>
        <w:spacing w:line="360" w:lineRule="auto"/>
        <w:outlineLvl w:val="9"/>
        <w:rPr>
          <w:rFonts w:hint="eastAsia"/>
          <w:color w:val="auto"/>
          <w:sz w:val="24"/>
          <w:szCs w:val="20"/>
          <w:highlight w:val="none"/>
        </w:rPr>
      </w:pPr>
      <w:r>
        <w:rPr>
          <w:color w:val="auto"/>
          <w:sz w:val="24"/>
          <w:highlight w:val="none"/>
        </w:rPr>
        <w:br w:type="page" w:clear="all"/>
      </w:r>
    </w:p>
    <w:p w14:paraId="40BE7B42">
      <w:pPr>
        <w:widowControl/>
        <w:jc w:val="left"/>
        <w:outlineLvl w:val="9"/>
        <w:rPr>
          <w:color w:val="auto"/>
          <w:sz w:val="24"/>
          <w:szCs w:val="20"/>
          <w:highlight w:val="none"/>
        </w:rPr>
      </w:pPr>
      <w:r>
        <w:rPr>
          <w:rFonts w:hint="eastAsia"/>
          <w:color w:val="auto"/>
          <w:sz w:val="24"/>
          <w:szCs w:val="20"/>
          <w:highlight w:val="none"/>
          <w:lang w:val="en-US" w:eastAsia="zh-CN"/>
        </w:rPr>
        <w:t>8</w:t>
      </w:r>
      <w:r>
        <w:rPr>
          <w:color w:val="auto"/>
          <w:sz w:val="24"/>
          <w:szCs w:val="20"/>
          <w:highlight w:val="none"/>
        </w:rPr>
        <w:t xml:space="preserve">  分项报价表</w:t>
      </w:r>
    </w:p>
    <w:p w14:paraId="5100AF56">
      <w:pPr>
        <w:spacing w:line="360" w:lineRule="exact"/>
        <w:jc w:val="center"/>
        <w:outlineLvl w:val="9"/>
        <w:rPr>
          <w:color w:val="auto"/>
          <w:sz w:val="36"/>
          <w:szCs w:val="36"/>
          <w:highlight w:val="none"/>
        </w:rPr>
      </w:pPr>
    </w:p>
    <w:p w14:paraId="3D00EEC1">
      <w:pPr>
        <w:jc w:val="center"/>
        <w:outlineLvl w:val="9"/>
        <w:rPr>
          <w:b/>
          <w:color w:val="auto"/>
          <w:sz w:val="36"/>
          <w:szCs w:val="36"/>
          <w:highlight w:val="none"/>
        </w:rPr>
      </w:pPr>
      <w:r>
        <w:rPr>
          <w:rFonts w:hint="eastAsia"/>
          <w:b/>
          <w:color w:val="auto"/>
          <w:sz w:val="36"/>
          <w:szCs w:val="36"/>
          <w:highlight w:val="none"/>
        </w:rPr>
        <w:t>分项报价表</w:t>
      </w:r>
    </w:p>
    <w:p w14:paraId="52448EB5">
      <w:pPr>
        <w:spacing w:line="260" w:lineRule="exact"/>
        <w:jc w:val="center"/>
        <w:outlineLvl w:val="9"/>
        <w:rPr>
          <w:color w:val="auto"/>
          <w:sz w:val="36"/>
          <w:szCs w:val="36"/>
          <w:highlight w:val="none"/>
        </w:rPr>
      </w:pPr>
    </w:p>
    <w:p w14:paraId="473AF9AA">
      <w:pPr>
        <w:tabs>
          <w:tab w:val="left" w:pos="1800"/>
          <w:tab w:val="left" w:pos="5580"/>
        </w:tabs>
        <w:outlineLvl w:val="9"/>
        <w:rPr>
          <w:color w:val="auto"/>
          <w:sz w:val="24"/>
          <w:highlight w:val="none"/>
        </w:rPr>
      </w:pPr>
      <w:r>
        <w:rPr>
          <w:color w:val="auto"/>
          <w:sz w:val="24"/>
          <w:highlight w:val="none"/>
        </w:rPr>
        <w:t>项目编号：___________ 项目名称：__________</w:t>
      </w:r>
      <w:r>
        <w:rPr>
          <w:rFonts w:hint="eastAsia"/>
          <w:color w:val="auto"/>
          <w:sz w:val="24"/>
          <w:highlight w:val="none"/>
          <w:lang w:val="en-US" w:eastAsia="zh-CN"/>
        </w:rPr>
        <w:t xml:space="preserve">          </w:t>
      </w:r>
      <w:r>
        <w:rPr>
          <w:color w:val="auto"/>
          <w:sz w:val="24"/>
          <w:highlight w:val="none"/>
        </w:rPr>
        <w:t>报价单位：人民币元</w:t>
      </w:r>
    </w:p>
    <w:p w14:paraId="62A9F5BA">
      <w:pPr>
        <w:tabs>
          <w:tab w:val="left" w:pos="1800"/>
          <w:tab w:val="left" w:pos="5580"/>
        </w:tabs>
        <w:jc w:val="left"/>
        <w:outlineLvl w:val="9"/>
        <w:rPr>
          <w:rFonts w:hint="eastAsia"/>
          <w:color w:val="auto"/>
          <w:sz w:val="24"/>
          <w:highlight w:val="none"/>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423"/>
        <w:gridCol w:w="2533"/>
        <w:gridCol w:w="1042"/>
        <w:gridCol w:w="992"/>
        <w:gridCol w:w="919"/>
        <w:gridCol w:w="1072"/>
      </w:tblGrid>
      <w:tr w14:paraId="2F02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restart"/>
            <w:tcBorders>
              <w:top w:val="single" w:color="auto" w:sz="4" w:space="0"/>
              <w:left w:val="single" w:color="auto" w:sz="4" w:space="0"/>
              <w:bottom w:val="single" w:color="auto" w:sz="4" w:space="0"/>
              <w:right w:val="single" w:color="auto" w:sz="4" w:space="0"/>
            </w:tcBorders>
            <w:noWrap w:val="0"/>
            <w:vAlign w:val="center"/>
          </w:tcPr>
          <w:p w14:paraId="13DE92AA">
            <w:pPr>
              <w:widowControl/>
              <w:snapToGrid w:val="0"/>
              <w:spacing w:line="360" w:lineRule="auto"/>
              <w:jc w:val="center"/>
              <w:rPr>
                <w:rFonts w:ascii="宋体" w:hAnsi="宋体" w:cs="Arial"/>
                <w:color w:val="auto"/>
                <w:kern w:val="0"/>
                <w:sz w:val="24"/>
              </w:rPr>
            </w:pPr>
            <w:r>
              <w:rPr>
                <w:rFonts w:hint="eastAsia" w:ascii="宋体" w:hAnsi="宋体" w:cs="Arial"/>
                <w:color w:val="auto"/>
                <w:kern w:val="0"/>
                <w:sz w:val="24"/>
              </w:rPr>
              <w:t>序号</w:t>
            </w:r>
          </w:p>
        </w:tc>
        <w:tc>
          <w:tcPr>
            <w:tcW w:w="1423" w:type="dxa"/>
            <w:vMerge w:val="restart"/>
            <w:tcBorders>
              <w:top w:val="single" w:color="auto" w:sz="4" w:space="0"/>
              <w:left w:val="single" w:color="auto" w:sz="4" w:space="0"/>
              <w:bottom w:val="single" w:color="auto" w:sz="4" w:space="0"/>
              <w:right w:val="single" w:color="auto" w:sz="4" w:space="0"/>
            </w:tcBorders>
            <w:noWrap w:val="0"/>
            <w:vAlign w:val="center"/>
          </w:tcPr>
          <w:p w14:paraId="2CE0EC6B">
            <w:pPr>
              <w:widowControl/>
              <w:snapToGrid w:val="0"/>
              <w:spacing w:line="360" w:lineRule="auto"/>
              <w:jc w:val="center"/>
              <w:rPr>
                <w:rFonts w:ascii="宋体" w:hAnsi="宋体" w:cs="Arial"/>
                <w:color w:val="auto"/>
                <w:kern w:val="0"/>
                <w:sz w:val="24"/>
              </w:rPr>
            </w:pPr>
            <w:r>
              <w:rPr>
                <w:rFonts w:hint="eastAsia" w:ascii="宋体" w:hAnsi="宋体" w:cs="Arial"/>
                <w:color w:val="auto"/>
                <w:kern w:val="0"/>
                <w:sz w:val="24"/>
              </w:rPr>
              <w:t>分项名称</w:t>
            </w:r>
          </w:p>
        </w:tc>
        <w:tc>
          <w:tcPr>
            <w:tcW w:w="2533" w:type="dxa"/>
            <w:vMerge w:val="restart"/>
            <w:tcBorders>
              <w:top w:val="single" w:color="auto" w:sz="4" w:space="0"/>
              <w:left w:val="single" w:color="auto" w:sz="4" w:space="0"/>
              <w:bottom w:val="single" w:color="auto" w:sz="4" w:space="0"/>
              <w:right w:val="single" w:color="auto" w:sz="4" w:space="0"/>
            </w:tcBorders>
            <w:noWrap w:val="0"/>
            <w:vAlign w:val="center"/>
          </w:tcPr>
          <w:p w14:paraId="3EE5914D">
            <w:pPr>
              <w:widowControl/>
              <w:snapToGrid w:val="0"/>
              <w:spacing w:line="360" w:lineRule="auto"/>
              <w:jc w:val="center"/>
              <w:rPr>
                <w:rFonts w:ascii="宋体" w:hAnsi="宋体" w:cs="Arial"/>
                <w:color w:val="auto"/>
                <w:kern w:val="0"/>
                <w:sz w:val="24"/>
              </w:rPr>
            </w:pPr>
            <w:r>
              <w:rPr>
                <w:rFonts w:hint="eastAsia" w:ascii="宋体" w:hAnsi="宋体" w:cs="Arial"/>
                <w:color w:val="auto"/>
                <w:kern w:val="0"/>
                <w:sz w:val="24"/>
              </w:rPr>
              <w:t>服务内容</w:t>
            </w:r>
          </w:p>
        </w:tc>
        <w:tc>
          <w:tcPr>
            <w:tcW w:w="1042" w:type="dxa"/>
            <w:vMerge w:val="restart"/>
            <w:tcBorders>
              <w:top w:val="single" w:color="auto" w:sz="4" w:space="0"/>
              <w:left w:val="single" w:color="auto" w:sz="4" w:space="0"/>
              <w:bottom w:val="single" w:color="auto" w:sz="4" w:space="0"/>
              <w:right w:val="single" w:color="auto" w:sz="4" w:space="0"/>
            </w:tcBorders>
            <w:noWrap w:val="0"/>
            <w:vAlign w:val="center"/>
          </w:tcPr>
          <w:p w14:paraId="23EF76E1">
            <w:pPr>
              <w:widowControl/>
              <w:snapToGrid w:val="0"/>
              <w:spacing w:line="360" w:lineRule="auto"/>
              <w:jc w:val="center"/>
              <w:rPr>
                <w:rFonts w:ascii="宋体" w:hAnsi="宋体" w:cs="Arial"/>
                <w:color w:val="auto"/>
                <w:kern w:val="0"/>
                <w:sz w:val="24"/>
              </w:rPr>
            </w:pPr>
            <w:r>
              <w:rPr>
                <w:rFonts w:hint="eastAsia" w:ascii="宋体" w:hAnsi="宋体" w:cs="Arial"/>
                <w:color w:val="auto"/>
                <w:kern w:val="0"/>
                <w:sz w:val="24"/>
              </w:rPr>
              <w:t>数量</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14:paraId="2D5CA3B3">
            <w:pPr>
              <w:widowControl/>
              <w:snapToGrid w:val="0"/>
              <w:spacing w:line="360" w:lineRule="auto"/>
              <w:jc w:val="center"/>
              <w:rPr>
                <w:rFonts w:ascii="宋体" w:hAnsi="宋体" w:cs="Arial"/>
                <w:color w:val="auto"/>
                <w:kern w:val="0"/>
                <w:sz w:val="24"/>
              </w:rPr>
            </w:pPr>
            <w:r>
              <w:rPr>
                <w:rFonts w:hint="eastAsia" w:ascii="宋体" w:hAnsi="宋体" w:cs="Arial"/>
                <w:color w:val="auto"/>
                <w:kern w:val="0"/>
                <w:sz w:val="24"/>
              </w:rPr>
              <w:t>单位</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534F59D6">
            <w:pPr>
              <w:widowControl/>
              <w:snapToGrid w:val="0"/>
              <w:spacing w:line="360" w:lineRule="auto"/>
              <w:jc w:val="center"/>
              <w:rPr>
                <w:rFonts w:ascii="宋体" w:hAnsi="宋体" w:cs="Arial"/>
                <w:color w:val="auto"/>
                <w:kern w:val="0"/>
                <w:sz w:val="24"/>
              </w:rPr>
            </w:pPr>
            <w:r>
              <w:rPr>
                <w:rFonts w:hint="eastAsia" w:ascii="宋体" w:hAnsi="宋体" w:cs="Arial"/>
                <w:color w:val="auto"/>
                <w:kern w:val="0"/>
                <w:sz w:val="24"/>
                <w:lang w:val="en-US" w:eastAsia="zh-CN"/>
              </w:rPr>
              <w:t>响应</w:t>
            </w:r>
            <w:r>
              <w:rPr>
                <w:rFonts w:hint="eastAsia" w:ascii="宋体" w:hAnsi="宋体" w:cs="Arial"/>
                <w:color w:val="auto"/>
                <w:kern w:val="0"/>
                <w:sz w:val="24"/>
              </w:rPr>
              <w:t>价格</w:t>
            </w:r>
          </w:p>
        </w:tc>
      </w:tr>
      <w:tr w14:paraId="0EA4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75A7ABB2">
            <w:pPr>
              <w:widowControl/>
              <w:jc w:val="left"/>
              <w:rPr>
                <w:rFonts w:ascii="宋体" w:hAnsi="宋体" w:cs="Arial"/>
                <w:color w:val="auto"/>
                <w:kern w:val="0"/>
                <w:sz w:val="24"/>
              </w:rPr>
            </w:pPr>
          </w:p>
        </w:tc>
        <w:tc>
          <w:tcPr>
            <w:tcW w:w="1423" w:type="dxa"/>
            <w:vMerge w:val="continue"/>
            <w:tcBorders>
              <w:top w:val="single" w:color="auto" w:sz="4" w:space="0"/>
              <w:left w:val="single" w:color="auto" w:sz="4" w:space="0"/>
              <w:bottom w:val="single" w:color="auto" w:sz="4" w:space="0"/>
              <w:right w:val="single" w:color="auto" w:sz="4" w:space="0"/>
            </w:tcBorders>
            <w:noWrap w:val="0"/>
            <w:vAlign w:val="center"/>
          </w:tcPr>
          <w:p w14:paraId="613C8A0B">
            <w:pPr>
              <w:widowControl/>
              <w:jc w:val="left"/>
              <w:rPr>
                <w:rFonts w:ascii="宋体" w:hAnsi="宋体" w:cs="Arial"/>
                <w:color w:val="auto"/>
                <w:kern w:val="0"/>
                <w:sz w:val="24"/>
              </w:rPr>
            </w:pPr>
          </w:p>
        </w:tc>
        <w:tc>
          <w:tcPr>
            <w:tcW w:w="2533" w:type="dxa"/>
            <w:vMerge w:val="continue"/>
            <w:tcBorders>
              <w:top w:val="single" w:color="auto" w:sz="4" w:space="0"/>
              <w:left w:val="single" w:color="auto" w:sz="4" w:space="0"/>
              <w:bottom w:val="single" w:color="auto" w:sz="4" w:space="0"/>
              <w:right w:val="single" w:color="auto" w:sz="4" w:space="0"/>
            </w:tcBorders>
            <w:noWrap w:val="0"/>
            <w:vAlign w:val="center"/>
          </w:tcPr>
          <w:p w14:paraId="673F319D">
            <w:pPr>
              <w:widowControl/>
              <w:jc w:val="left"/>
              <w:rPr>
                <w:rFonts w:ascii="宋体" w:hAnsi="宋体" w:cs="Arial"/>
                <w:color w:val="auto"/>
                <w:kern w:val="0"/>
                <w:sz w:val="24"/>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1EF55D4B">
            <w:pPr>
              <w:widowControl/>
              <w:jc w:val="left"/>
              <w:rPr>
                <w:rFonts w:ascii="宋体" w:hAnsi="宋体" w:cs="Arial"/>
                <w:color w:val="auto"/>
                <w:kern w:val="0"/>
                <w:sz w:val="24"/>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14:paraId="4190BFEC">
            <w:pPr>
              <w:widowControl/>
              <w:jc w:val="left"/>
              <w:rPr>
                <w:rFonts w:ascii="宋体" w:hAnsi="宋体" w:cs="Arial"/>
                <w:color w:val="auto"/>
                <w:kern w:val="0"/>
                <w:sz w:val="24"/>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74CB25A">
            <w:pPr>
              <w:widowControl/>
              <w:snapToGrid w:val="0"/>
              <w:spacing w:line="360" w:lineRule="auto"/>
              <w:jc w:val="center"/>
              <w:rPr>
                <w:rFonts w:ascii="宋体" w:hAnsi="宋体" w:cs="Arial"/>
                <w:color w:val="auto"/>
                <w:kern w:val="0"/>
                <w:sz w:val="24"/>
              </w:rPr>
            </w:pPr>
            <w:r>
              <w:rPr>
                <w:rFonts w:hint="eastAsia" w:ascii="宋体" w:hAnsi="宋体" w:cs="Arial"/>
                <w:color w:val="auto"/>
                <w:kern w:val="0"/>
                <w:sz w:val="24"/>
              </w:rPr>
              <w:t>单价</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EA16CD0">
            <w:pPr>
              <w:widowControl/>
              <w:snapToGrid w:val="0"/>
              <w:spacing w:line="360" w:lineRule="auto"/>
              <w:jc w:val="center"/>
              <w:rPr>
                <w:rFonts w:ascii="宋体" w:hAnsi="宋体" w:cs="Arial"/>
                <w:color w:val="auto"/>
                <w:kern w:val="0"/>
                <w:sz w:val="24"/>
              </w:rPr>
            </w:pPr>
            <w:r>
              <w:rPr>
                <w:rFonts w:hint="eastAsia" w:ascii="宋体" w:hAnsi="宋体" w:cs="Arial"/>
                <w:color w:val="auto"/>
                <w:kern w:val="0"/>
                <w:sz w:val="24"/>
              </w:rPr>
              <w:t>合价</w:t>
            </w:r>
          </w:p>
        </w:tc>
      </w:tr>
      <w:tr w14:paraId="090E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71633DAF">
            <w:pPr>
              <w:widowControl/>
              <w:snapToGrid w:val="0"/>
              <w:spacing w:line="360" w:lineRule="auto"/>
              <w:jc w:val="center"/>
              <w:rPr>
                <w:rFonts w:ascii="宋体" w:hAnsi="宋体" w:cs="Arial"/>
                <w:color w:val="auto"/>
                <w:kern w:val="0"/>
                <w:sz w:val="24"/>
              </w:rPr>
            </w:pPr>
            <w:r>
              <w:rPr>
                <w:rFonts w:hint="eastAsia" w:ascii="宋体" w:hAnsi="宋体" w:cs="Arial"/>
                <w:color w:val="auto"/>
                <w:kern w:val="0"/>
                <w:sz w:val="24"/>
              </w:rPr>
              <w:t>1</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1EF9A910">
            <w:pPr>
              <w:widowControl/>
              <w:snapToGrid w:val="0"/>
              <w:spacing w:line="360" w:lineRule="auto"/>
              <w:jc w:val="center"/>
              <w:rPr>
                <w:rFonts w:ascii="宋体" w:hAnsi="宋体" w:cs="Arial"/>
                <w:b/>
                <w:bCs/>
                <w:color w:val="auto"/>
                <w:kern w:val="0"/>
                <w:sz w:val="24"/>
              </w:rPr>
            </w:pPr>
          </w:p>
        </w:tc>
        <w:tc>
          <w:tcPr>
            <w:tcW w:w="2533" w:type="dxa"/>
            <w:tcBorders>
              <w:top w:val="single" w:color="auto" w:sz="4" w:space="0"/>
              <w:left w:val="single" w:color="auto" w:sz="4" w:space="0"/>
              <w:bottom w:val="single" w:color="auto" w:sz="4" w:space="0"/>
              <w:right w:val="single" w:color="auto" w:sz="4" w:space="0"/>
            </w:tcBorders>
            <w:noWrap w:val="0"/>
            <w:vAlign w:val="center"/>
          </w:tcPr>
          <w:p w14:paraId="09E37808">
            <w:pPr>
              <w:widowControl/>
              <w:snapToGrid w:val="0"/>
              <w:spacing w:line="360" w:lineRule="auto"/>
              <w:jc w:val="center"/>
              <w:rPr>
                <w:rFonts w:ascii="宋体" w:hAnsi="宋体" w:cs="Arial"/>
                <w:color w:val="auto"/>
                <w:kern w:val="0"/>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0CEFA41C">
            <w:pPr>
              <w:widowControl/>
              <w:snapToGrid w:val="0"/>
              <w:spacing w:line="360" w:lineRule="auto"/>
              <w:jc w:val="center"/>
              <w:rPr>
                <w:rFonts w:ascii="宋体" w:hAnsi="宋体" w:cs="Arial"/>
                <w:color w:val="auto"/>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6402B02">
            <w:pPr>
              <w:widowControl/>
              <w:snapToGrid w:val="0"/>
              <w:spacing w:line="360" w:lineRule="auto"/>
              <w:jc w:val="center"/>
              <w:rPr>
                <w:rFonts w:ascii="宋体" w:hAnsi="宋体" w:cs="Arial"/>
                <w:color w:val="auto"/>
                <w:kern w:val="0"/>
                <w:sz w:val="24"/>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15C5EF1B">
            <w:pPr>
              <w:widowControl/>
              <w:snapToGrid w:val="0"/>
              <w:spacing w:line="360" w:lineRule="auto"/>
              <w:jc w:val="center"/>
              <w:rPr>
                <w:rFonts w:ascii="宋体" w:hAnsi="宋体" w:cs="Arial"/>
                <w:color w:val="auto"/>
                <w:kern w:val="0"/>
                <w:sz w:val="24"/>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F17137C">
            <w:pPr>
              <w:widowControl/>
              <w:snapToGrid w:val="0"/>
              <w:spacing w:line="360" w:lineRule="auto"/>
              <w:jc w:val="center"/>
              <w:rPr>
                <w:rFonts w:ascii="宋体" w:hAnsi="宋体" w:cs="Arial"/>
                <w:color w:val="auto"/>
                <w:kern w:val="0"/>
                <w:sz w:val="24"/>
              </w:rPr>
            </w:pPr>
          </w:p>
        </w:tc>
      </w:tr>
      <w:tr w14:paraId="4332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0593865E">
            <w:pPr>
              <w:widowControl/>
              <w:snapToGrid w:val="0"/>
              <w:spacing w:line="360" w:lineRule="auto"/>
              <w:jc w:val="center"/>
              <w:rPr>
                <w:rFonts w:ascii="宋体" w:hAnsi="宋体" w:cs="Arial"/>
                <w:color w:val="auto"/>
                <w:kern w:val="0"/>
                <w:sz w:val="24"/>
              </w:rPr>
            </w:pPr>
            <w:r>
              <w:rPr>
                <w:rFonts w:hint="eastAsia" w:ascii="宋体" w:hAnsi="宋体" w:cs="Arial"/>
                <w:color w:val="auto"/>
                <w:kern w:val="0"/>
                <w:sz w:val="24"/>
              </w:rPr>
              <w:t>2</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1099064B">
            <w:pPr>
              <w:widowControl/>
              <w:snapToGrid w:val="0"/>
              <w:spacing w:line="360" w:lineRule="auto"/>
              <w:jc w:val="center"/>
              <w:rPr>
                <w:rFonts w:ascii="宋体" w:hAnsi="宋体" w:cs="Arial"/>
                <w:b/>
                <w:bCs/>
                <w:color w:val="auto"/>
                <w:kern w:val="0"/>
                <w:sz w:val="24"/>
              </w:rPr>
            </w:pPr>
          </w:p>
        </w:tc>
        <w:tc>
          <w:tcPr>
            <w:tcW w:w="2533" w:type="dxa"/>
            <w:tcBorders>
              <w:top w:val="single" w:color="auto" w:sz="4" w:space="0"/>
              <w:left w:val="single" w:color="auto" w:sz="4" w:space="0"/>
              <w:bottom w:val="single" w:color="auto" w:sz="4" w:space="0"/>
              <w:right w:val="single" w:color="auto" w:sz="4" w:space="0"/>
            </w:tcBorders>
            <w:noWrap w:val="0"/>
            <w:vAlign w:val="center"/>
          </w:tcPr>
          <w:p w14:paraId="5C6979C3">
            <w:pPr>
              <w:widowControl/>
              <w:snapToGrid w:val="0"/>
              <w:spacing w:line="360" w:lineRule="auto"/>
              <w:jc w:val="center"/>
              <w:rPr>
                <w:rFonts w:ascii="宋体" w:hAnsi="宋体" w:cs="Arial"/>
                <w:color w:val="auto"/>
                <w:kern w:val="0"/>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7BCC2465">
            <w:pPr>
              <w:widowControl/>
              <w:snapToGrid w:val="0"/>
              <w:spacing w:line="360" w:lineRule="auto"/>
              <w:jc w:val="center"/>
              <w:rPr>
                <w:rFonts w:ascii="宋体" w:hAnsi="宋体" w:cs="Arial"/>
                <w:color w:val="auto"/>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43B7E5C">
            <w:pPr>
              <w:widowControl/>
              <w:snapToGrid w:val="0"/>
              <w:spacing w:line="360" w:lineRule="auto"/>
              <w:jc w:val="center"/>
              <w:rPr>
                <w:rFonts w:ascii="宋体" w:hAnsi="宋体" w:cs="Arial"/>
                <w:color w:val="auto"/>
                <w:kern w:val="0"/>
                <w:sz w:val="24"/>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B4DDD08">
            <w:pPr>
              <w:widowControl/>
              <w:snapToGrid w:val="0"/>
              <w:spacing w:line="360" w:lineRule="auto"/>
              <w:jc w:val="center"/>
              <w:rPr>
                <w:rFonts w:ascii="宋体" w:hAnsi="宋体" w:cs="Arial"/>
                <w:color w:val="auto"/>
                <w:kern w:val="0"/>
                <w:sz w:val="24"/>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BECF8D5">
            <w:pPr>
              <w:widowControl/>
              <w:snapToGrid w:val="0"/>
              <w:spacing w:line="360" w:lineRule="auto"/>
              <w:jc w:val="center"/>
              <w:rPr>
                <w:rFonts w:ascii="宋体" w:hAnsi="宋体" w:cs="Arial"/>
                <w:color w:val="auto"/>
                <w:kern w:val="0"/>
                <w:sz w:val="24"/>
              </w:rPr>
            </w:pPr>
          </w:p>
        </w:tc>
      </w:tr>
      <w:tr w14:paraId="310A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255B0C6F">
            <w:pPr>
              <w:widowControl/>
              <w:snapToGrid w:val="0"/>
              <w:spacing w:line="360" w:lineRule="auto"/>
              <w:jc w:val="center"/>
              <w:rPr>
                <w:rFonts w:ascii="宋体" w:hAnsi="宋体" w:cs="Arial"/>
                <w:color w:val="auto"/>
                <w:kern w:val="0"/>
                <w:sz w:val="24"/>
              </w:rPr>
            </w:pPr>
            <w:r>
              <w:rPr>
                <w:rFonts w:hint="eastAsia" w:ascii="宋体" w:hAnsi="宋体" w:cs="Arial"/>
                <w:color w:val="auto"/>
                <w:kern w:val="0"/>
                <w:sz w:val="24"/>
              </w:rPr>
              <w:t>3</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21B16560">
            <w:pPr>
              <w:widowControl/>
              <w:snapToGrid w:val="0"/>
              <w:spacing w:line="360" w:lineRule="auto"/>
              <w:jc w:val="center"/>
              <w:rPr>
                <w:rFonts w:ascii="宋体" w:hAnsi="宋体" w:cs="Arial"/>
                <w:b/>
                <w:bCs/>
                <w:color w:val="auto"/>
                <w:kern w:val="0"/>
                <w:sz w:val="24"/>
              </w:rPr>
            </w:pPr>
          </w:p>
        </w:tc>
        <w:tc>
          <w:tcPr>
            <w:tcW w:w="2533" w:type="dxa"/>
            <w:tcBorders>
              <w:top w:val="single" w:color="auto" w:sz="4" w:space="0"/>
              <w:left w:val="single" w:color="auto" w:sz="4" w:space="0"/>
              <w:bottom w:val="single" w:color="auto" w:sz="4" w:space="0"/>
              <w:right w:val="single" w:color="auto" w:sz="4" w:space="0"/>
            </w:tcBorders>
            <w:noWrap w:val="0"/>
            <w:vAlign w:val="center"/>
          </w:tcPr>
          <w:p w14:paraId="27E2B233">
            <w:pPr>
              <w:widowControl/>
              <w:snapToGrid w:val="0"/>
              <w:spacing w:line="360" w:lineRule="auto"/>
              <w:jc w:val="center"/>
              <w:rPr>
                <w:rFonts w:ascii="宋体" w:hAnsi="宋体" w:cs="Arial"/>
                <w:color w:val="auto"/>
                <w:kern w:val="0"/>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7E5BB31E">
            <w:pPr>
              <w:widowControl/>
              <w:snapToGrid w:val="0"/>
              <w:spacing w:line="360" w:lineRule="auto"/>
              <w:jc w:val="center"/>
              <w:rPr>
                <w:rFonts w:ascii="宋体" w:hAnsi="宋体" w:cs="Arial"/>
                <w:color w:val="auto"/>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0C5A98A">
            <w:pPr>
              <w:widowControl/>
              <w:snapToGrid w:val="0"/>
              <w:spacing w:line="360" w:lineRule="auto"/>
              <w:jc w:val="center"/>
              <w:rPr>
                <w:rFonts w:ascii="宋体" w:hAnsi="宋体" w:cs="Arial"/>
                <w:color w:val="auto"/>
                <w:kern w:val="0"/>
                <w:sz w:val="24"/>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61A08AC">
            <w:pPr>
              <w:widowControl/>
              <w:snapToGrid w:val="0"/>
              <w:spacing w:line="360" w:lineRule="auto"/>
              <w:jc w:val="center"/>
              <w:rPr>
                <w:rFonts w:ascii="宋体" w:hAnsi="宋体" w:cs="Arial"/>
                <w:color w:val="auto"/>
                <w:kern w:val="0"/>
                <w:sz w:val="24"/>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94C1B1A">
            <w:pPr>
              <w:widowControl/>
              <w:snapToGrid w:val="0"/>
              <w:spacing w:line="360" w:lineRule="auto"/>
              <w:jc w:val="center"/>
              <w:rPr>
                <w:rFonts w:ascii="宋体" w:hAnsi="宋体" w:cs="Arial"/>
                <w:color w:val="auto"/>
                <w:kern w:val="0"/>
                <w:sz w:val="24"/>
              </w:rPr>
            </w:pPr>
          </w:p>
        </w:tc>
      </w:tr>
      <w:tr w14:paraId="3A1B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0A54F0E6">
            <w:pPr>
              <w:widowControl/>
              <w:snapToGrid w:val="0"/>
              <w:spacing w:line="360" w:lineRule="auto"/>
              <w:jc w:val="center"/>
              <w:rPr>
                <w:rFonts w:ascii="宋体" w:hAnsi="宋体" w:cs="Arial"/>
                <w:color w:val="auto"/>
                <w:kern w:val="0"/>
                <w:sz w:val="24"/>
              </w:rPr>
            </w:pPr>
            <w:r>
              <w:rPr>
                <w:rFonts w:hint="eastAsia" w:ascii="宋体" w:hAnsi="宋体" w:cs="Arial"/>
                <w:color w:val="auto"/>
                <w:kern w:val="0"/>
                <w:sz w:val="24"/>
              </w:rPr>
              <w:t>4</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0D13C813">
            <w:pPr>
              <w:widowControl/>
              <w:snapToGrid w:val="0"/>
              <w:spacing w:line="360" w:lineRule="auto"/>
              <w:jc w:val="center"/>
              <w:rPr>
                <w:rFonts w:ascii="宋体" w:hAnsi="宋体" w:cs="Arial"/>
                <w:b/>
                <w:bCs/>
                <w:color w:val="auto"/>
                <w:kern w:val="0"/>
                <w:sz w:val="24"/>
              </w:rPr>
            </w:pPr>
          </w:p>
        </w:tc>
        <w:tc>
          <w:tcPr>
            <w:tcW w:w="2533" w:type="dxa"/>
            <w:tcBorders>
              <w:top w:val="single" w:color="auto" w:sz="4" w:space="0"/>
              <w:left w:val="single" w:color="auto" w:sz="4" w:space="0"/>
              <w:bottom w:val="single" w:color="auto" w:sz="4" w:space="0"/>
              <w:right w:val="single" w:color="auto" w:sz="4" w:space="0"/>
            </w:tcBorders>
            <w:noWrap w:val="0"/>
            <w:vAlign w:val="center"/>
          </w:tcPr>
          <w:p w14:paraId="4066D2F2">
            <w:pPr>
              <w:widowControl/>
              <w:snapToGrid w:val="0"/>
              <w:spacing w:line="360" w:lineRule="auto"/>
              <w:jc w:val="center"/>
              <w:rPr>
                <w:rFonts w:ascii="宋体" w:hAnsi="宋体" w:cs="Arial"/>
                <w:color w:val="auto"/>
                <w:kern w:val="0"/>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434D4D7F">
            <w:pPr>
              <w:widowControl/>
              <w:snapToGrid w:val="0"/>
              <w:spacing w:line="360" w:lineRule="auto"/>
              <w:jc w:val="center"/>
              <w:rPr>
                <w:rFonts w:ascii="宋体" w:hAnsi="宋体" w:cs="Arial"/>
                <w:color w:val="auto"/>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98FEE9E">
            <w:pPr>
              <w:widowControl/>
              <w:snapToGrid w:val="0"/>
              <w:spacing w:line="360" w:lineRule="auto"/>
              <w:jc w:val="center"/>
              <w:rPr>
                <w:rFonts w:ascii="宋体" w:hAnsi="宋体" w:cs="Arial"/>
                <w:color w:val="auto"/>
                <w:kern w:val="0"/>
                <w:sz w:val="24"/>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54DADDCA">
            <w:pPr>
              <w:widowControl/>
              <w:snapToGrid w:val="0"/>
              <w:spacing w:line="360" w:lineRule="auto"/>
              <w:jc w:val="center"/>
              <w:rPr>
                <w:rFonts w:ascii="宋体" w:hAnsi="宋体" w:cs="Arial"/>
                <w:color w:val="auto"/>
                <w:kern w:val="0"/>
                <w:sz w:val="24"/>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77B651C">
            <w:pPr>
              <w:widowControl/>
              <w:snapToGrid w:val="0"/>
              <w:spacing w:line="360" w:lineRule="auto"/>
              <w:jc w:val="center"/>
              <w:rPr>
                <w:rFonts w:ascii="宋体" w:hAnsi="宋体" w:cs="Arial"/>
                <w:color w:val="auto"/>
                <w:kern w:val="0"/>
                <w:sz w:val="24"/>
              </w:rPr>
            </w:pPr>
          </w:p>
        </w:tc>
      </w:tr>
      <w:tr w14:paraId="0906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2FB46036">
            <w:pPr>
              <w:widowControl/>
              <w:snapToGrid w:val="0"/>
              <w:spacing w:line="360" w:lineRule="auto"/>
              <w:jc w:val="center"/>
              <w:rPr>
                <w:rFonts w:ascii="宋体" w:hAnsi="宋体" w:cs="Arial"/>
                <w:color w:val="auto"/>
                <w:kern w:val="0"/>
                <w:sz w:val="24"/>
              </w:rPr>
            </w:pPr>
            <w:r>
              <w:rPr>
                <w:rFonts w:hint="eastAsia" w:ascii="宋体" w:hAnsi="宋体" w:cs="Arial"/>
                <w:color w:val="auto"/>
                <w:kern w:val="0"/>
                <w:sz w:val="24"/>
              </w:rPr>
              <w:t>5</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3324EE9C">
            <w:pPr>
              <w:widowControl/>
              <w:snapToGrid w:val="0"/>
              <w:spacing w:line="360" w:lineRule="auto"/>
              <w:jc w:val="center"/>
              <w:rPr>
                <w:rFonts w:ascii="宋体" w:hAnsi="宋体" w:cs="Arial"/>
                <w:b/>
                <w:bCs/>
                <w:color w:val="auto"/>
                <w:kern w:val="0"/>
                <w:sz w:val="24"/>
              </w:rPr>
            </w:pPr>
          </w:p>
        </w:tc>
        <w:tc>
          <w:tcPr>
            <w:tcW w:w="2533" w:type="dxa"/>
            <w:tcBorders>
              <w:top w:val="single" w:color="auto" w:sz="4" w:space="0"/>
              <w:left w:val="single" w:color="auto" w:sz="4" w:space="0"/>
              <w:bottom w:val="single" w:color="auto" w:sz="4" w:space="0"/>
              <w:right w:val="single" w:color="auto" w:sz="4" w:space="0"/>
            </w:tcBorders>
            <w:noWrap w:val="0"/>
            <w:vAlign w:val="center"/>
          </w:tcPr>
          <w:p w14:paraId="2CE7D3B9">
            <w:pPr>
              <w:widowControl/>
              <w:snapToGrid w:val="0"/>
              <w:spacing w:line="360" w:lineRule="auto"/>
              <w:jc w:val="center"/>
              <w:rPr>
                <w:rFonts w:ascii="宋体" w:hAnsi="宋体" w:cs="Arial"/>
                <w:color w:val="auto"/>
                <w:kern w:val="0"/>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1D22ED28">
            <w:pPr>
              <w:widowControl/>
              <w:snapToGrid w:val="0"/>
              <w:spacing w:line="360" w:lineRule="auto"/>
              <w:jc w:val="center"/>
              <w:rPr>
                <w:rFonts w:ascii="宋体" w:hAnsi="宋体" w:cs="Arial"/>
                <w:color w:val="auto"/>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2DE804D5">
            <w:pPr>
              <w:widowControl/>
              <w:snapToGrid w:val="0"/>
              <w:spacing w:line="360" w:lineRule="auto"/>
              <w:jc w:val="center"/>
              <w:rPr>
                <w:rFonts w:ascii="宋体" w:hAnsi="宋体" w:cs="Arial"/>
                <w:color w:val="auto"/>
                <w:kern w:val="0"/>
                <w:sz w:val="24"/>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71424AD4">
            <w:pPr>
              <w:widowControl/>
              <w:snapToGrid w:val="0"/>
              <w:spacing w:line="360" w:lineRule="auto"/>
              <w:jc w:val="center"/>
              <w:rPr>
                <w:rFonts w:ascii="宋体" w:hAnsi="宋体" w:cs="Arial"/>
                <w:color w:val="auto"/>
                <w:kern w:val="0"/>
                <w:sz w:val="24"/>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361C43F">
            <w:pPr>
              <w:widowControl/>
              <w:snapToGrid w:val="0"/>
              <w:spacing w:line="360" w:lineRule="auto"/>
              <w:jc w:val="center"/>
              <w:rPr>
                <w:rFonts w:ascii="宋体" w:hAnsi="宋体" w:cs="Arial"/>
                <w:color w:val="auto"/>
                <w:kern w:val="0"/>
                <w:sz w:val="24"/>
              </w:rPr>
            </w:pPr>
          </w:p>
        </w:tc>
      </w:tr>
      <w:tr w14:paraId="09FA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3593A747">
            <w:pPr>
              <w:widowControl/>
              <w:snapToGrid w:val="0"/>
              <w:spacing w:line="360" w:lineRule="auto"/>
              <w:jc w:val="center"/>
              <w:rPr>
                <w:rFonts w:ascii="宋体" w:hAnsi="宋体" w:cs="Arial"/>
                <w:color w:val="auto"/>
                <w:kern w:val="0"/>
                <w:sz w:val="24"/>
              </w:rPr>
            </w:pPr>
            <w:r>
              <w:rPr>
                <w:rFonts w:hint="eastAsia" w:ascii="宋体" w:hAnsi="宋体" w:cs="Arial"/>
                <w:color w:val="auto"/>
                <w:kern w:val="0"/>
                <w:sz w:val="24"/>
              </w:rPr>
              <w:t>……</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763D6D6B">
            <w:pPr>
              <w:widowControl/>
              <w:snapToGrid w:val="0"/>
              <w:spacing w:line="360" w:lineRule="auto"/>
              <w:jc w:val="center"/>
              <w:rPr>
                <w:rFonts w:ascii="宋体" w:hAnsi="宋体" w:cs="Arial"/>
                <w:b/>
                <w:bCs/>
                <w:color w:val="auto"/>
                <w:kern w:val="0"/>
                <w:sz w:val="24"/>
              </w:rPr>
            </w:pPr>
          </w:p>
        </w:tc>
        <w:tc>
          <w:tcPr>
            <w:tcW w:w="2533" w:type="dxa"/>
            <w:tcBorders>
              <w:top w:val="single" w:color="auto" w:sz="4" w:space="0"/>
              <w:left w:val="single" w:color="auto" w:sz="4" w:space="0"/>
              <w:bottom w:val="single" w:color="auto" w:sz="4" w:space="0"/>
              <w:right w:val="single" w:color="auto" w:sz="4" w:space="0"/>
            </w:tcBorders>
            <w:noWrap w:val="0"/>
            <w:vAlign w:val="center"/>
          </w:tcPr>
          <w:p w14:paraId="24DA8D10">
            <w:pPr>
              <w:widowControl/>
              <w:snapToGrid w:val="0"/>
              <w:spacing w:line="360" w:lineRule="auto"/>
              <w:jc w:val="center"/>
              <w:rPr>
                <w:rFonts w:ascii="宋体" w:hAnsi="宋体" w:cs="Arial"/>
                <w:color w:val="auto"/>
                <w:kern w:val="0"/>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64BFE537">
            <w:pPr>
              <w:widowControl/>
              <w:snapToGrid w:val="0"/>
              <w:spacing w:line="360" w:lineRule="auto"/>
              <w:jc w:val="center"/>
              <w:rPr>
                <w:rFonts w:ascii="宋体" w:hAnsi="宋体" w:cs="Arial"/>
                <w:color w:val="auto"/>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B74531B">
            <w:pPr>
              <w:widowControl/>
              <w:snapToGrid w:val="0"/>
              <w:spacing w:line="360" w:lineRule="auto"/>
              <w:jc w:val="center"/>
              <w:rPr>
                <w:rFonts w:ascii="宋体" w:hAnsi="宋体" w:cs="Arial"/>
                <w:color w:val="auto"/>
                <w:kern w:val="0"/>
                <w:sz w:val="24"/>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C578D7B">
            <w:pPr>
              <w:widowControl/>
              <w:snapToGrid w:val="0"/>
              <w:spacing w:line="360" w:lineRule="auto"/>
              <w:jc w:val="center"/>
              <w:rPr>
                <w:rFonts w:ascii="宋体" w:hAnsi="宋体" w:cs="Arial"/>
                <w:color w:val="auto"/>
                <w:kern w:val="0"/>
                <w:sz w:val="24"/>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54CDAB2">
            <w:pPr>
              <w:widowControl/>
              <w:snapToGrid w:val="0"/>
              <w:spacing w:line="360" w:lineRule="auto"/>
              <w:jc w:val="center"/>
              <w:rPr>
                <w:rFonts w:ascii="宋体" w:hAnsi="宋体" w:cs="Arial"/>
                <w:color w:val="auto"/>
                <w:kern w:val="0"/>
                <w:sz w:val="24"/>
              </w:rPr>
            </w:pPr>
          </w:p>
        </w:tc>
      </w:tr>
      <w:tr w14:paraId="01F4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625" w:type="dxa"/>
            <w:gridSpan w:val="3"/>
            <w:tcBorders>
              <w:top w:val="single" w:color="auto" w:sz="4" w:space="0"/>
              <w:left w:val="single" w:color="auto" w:sz="4" w:space="0"/>
              <w:bottom w:val="single" w:color="auto" w:sz="4" w:space="0"/>
              <w:right w:val="single" w:color="auto" w:sz="4" w:space="0"/>
            </w:tcBorders>
            <w:noWrap w:val="0"/>
            <w:vAlign w:val="center"/>
          </w:tcPr>
          <w:p w14:paraId="3FB0EDD4">
            <w:pPr>
              <w:widowControl/>
              <w:snapToGrid w:val="0"/>
              <w:spacing w:line="360" w:lineRule="auto"/>
              <w:jc w:val="center"/>
              <w:rPr>
                <w:rFonts w:hint="eastAsia" w:ascii="宋体" w:hAnsi="宋体" w:cs="Arial"/>
                <w:color w:val="auto"/>
                <w:kern w:val="0"/>
                <w:sz w:val="24"/>
              </w:rPr>
            </w:pPr>
            <w:r>
              <w:rPr>
                <w:rFonts w:hint="eastAsia" w:ascii="宋体" w:hAnsi="宋体" w:cs="Arial"/>
                <w:color w:val="auto"/>
                <w:kern w:val="0"/>
                <w:sz w:val="24"/>
              </w:rPr>
              <w:t>总价</w:t>
            </w:r>
          </w:p>
        </w:tc>
        <w:tc>
          <w:tcPr>
            <w:tcW w:w="4025" w:type="dxa"/>
            <w:gridSpan w:val="4"/>
            <w:tcBorders>
              <w:top w:val="single" w:color="auto" w:sz="4" w:space="0"/>
              <w:left w:val="single" w:color="auto" w:sz="4" w:space="0"/>
              <w:bottom w:val="single" w:color="auto" w:sz="4" w:space="0"/>
              <w:right w:val="single" w:color="auto" w:sz="4" w:space="0"/>
            </w:tcBorders>
            <w:noWrap w:val="0"/>
            <w:vAlign w:val="center"/>
          </w:tcPr>
          <w:p w14:paraId="4C5BED02">
            <w:pPr>
              <w:widowControl/>
              <w:snapToGrid w:val="0"/>
              <w:spacing w:line="360" w:lineRule="auto"/>
              <w:jc w:val="center"/>
              <w:rPr>
                <w:rFonts w:ascii="宋体" w:hAnsi="宋体" w:cs="Arial"/>
                <w:color w:val="auto"/>
                <w:kern w:val="0"/>
                <w:sz w:val="24"/>
              </w:rPr>
            </w:pPr>
          </w:p>
        </w:tc>
      </w:tr>
    </w:tbl>
    <w:p w14:paraId="6F5B9F10">
      <w:pPr>
        <w:keepNext w:val="0"/>
        <w:keepLines w:val="0"/>
        <w:pageBreakBefore w:val="0"/>
        <w:widowControl w:val="0"/>
        <w:spacing w:line="400" w:lineRule="exact"/>
        <w:jc w:val="left"/>
        <w:outlineLvl w:val="9"/>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注：</w:t>
      </w: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.如果不提供分项报价将视为没有实质性响应磋商文件</w:t>
      </w:r>
      <w:r>
        <w:rPr>
          <w:rFonts w:hint="eastAsia" w:ascii="宋体" w:hAnsi="宋体" w:cs="Times New Roman"/>
          <w:color w:val="auto"/>
          <w:sz w:val="24"/>
          <w:szCs w:val="24"/>
          <w:highlight w:val="none"/>
          <w:lang w:eastAsia="zh-CN"/>
        </w:rPr>
        <w:t>。</w:t>
      </w:r>
    </w:p>
    <w:p w14:paraId="32DD894B">
      <w:pPr>
        <w:keepNext w:val="0"/>
        <w:keepLines w:val="0"/>
        <w:pageBreakBefore w:val="0"/>
        <w:widowControl w:val="0"/>
        <w:spacing w:line="400" w:lineRule="exact"/>
        <w:ind w:firstLine="480"/>
        <w:jc w:val="left"/>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.本表行数可以按照项目分项情况增加。</w:t>
      </w:r>
    </w:p>
    <w:p w14:paraId="45F69C7F">
      <w:pPr>
        <w:keepNext w:val="0"/>
        <w:keepLines w:val="0"/>
        <w:pageBreakBefore w:val="0"/>
        <w:widowControl w:val="0"/>
        <w:spacing w:line="400" w:lineRule="exact"/>
        <w:ind w:firstLine="480"/>
        <w:jc w:val="left"/>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.上述各项的服务内容如表格中填写不下的，可以逐项另页描述。</w:t>
      </w:r>
    </w:p>
    <w:p w14:paraId="113F13CC">
      <w:pPr>
        <w:spacing w:before="25" w:after="25" w:line="360" w:lineRule="auto"/>
        <w:ind w:firstLine="480" w:firstLineChars="200"/>
        <w:outlineLvl w:val="9"/>
        <w:rPr>
          <w:color w:val="auto"/>
          <w:sz w:val="24"/>
          <w:highlight w:val="none"/>
          <w:lang w:val="zh-CN"/>
        </w:rPr>
      </w:pPr>
      <w:r>
        <w:rPr>
          <w:rFonts w:hint="eastAsia" w:ascii="宋体" w:hAnsi="宋体" w:eastAsia="宋体" w:cs="Times New Roman"/>
          <w:color w:val="auto"/>
          <w:sz w:val="24"/>
          <w:szCs w:val="24"/>
          <w:highlight w:val="none"/>
          <w:lang w:val="zh-CN" w:eastAsia="zh-CN"/>
        </w:rPr>
        <w:t>4.</w:t>
      </w:r>
      <w:r>
        <w:rPr>
          <w:rFonts w:hint="eastAsia"/>
          <w:color w:val="auto"/>
          <w:sz w:val="24"/>
          <w:highlight w:val="none"/>
          <w:lang w:val="zh-CN"/>
        </w:rPr>
        <w:t>上述总价为竞争性磋商文件所确定的采购范围内相应服务的提供、人员（包括工资和补贴）、设备、办公场所及设施、保险、劳保、管理、各种税费、利润、税金、政策性文件规定及合同包含的所有风险、责任等各项应有费用，以及为完成该项服务项目所涉及到的一切相关费用。</w:t>
      </w:r>
      <w:r>
        <w:rPr>
          <w:color w:val="auto"/>
          <w:sz w:val="24"/>
          <w:highlight w:val="none"/>
          <w:lang w:val="zh-CN"/>
        </w:rPr>
        <w:t xml:space="preserve">         </w:t>
      </w:r>
    </w:p>
    <w:p w14:paraId="4A65FF9D">
      <w:pPr>
        <w:spacing w:before="25" w:after="25" w:line="360" w:lineRule="auto"/>
        <w:outlineLvl w:val="9"/>
        <w:rPr>
          <w:color w:val="auto"/>
          <w:sz w:val="24"/>
          <w:highlight w:val="none"/>
          <w:lang w:val="zh-CN"/>
        </w:rPr>
      </w:pPr>
      <w:r>
        <w:rPr>
          <w:color w:val="auto"/>
          <w:sz w:val="24"/>
          <w:highlight w:val="none"/>
        </w:rPr>
        <w:t>供应商名称（加盖公章）</w:t>
      </w:r>
      <w:r>
        <w:rPr>
          <w:color w:val="auto"/>
          <w:sz w:val="24"/>
          <w:highlight w:val="none"/>
          <w:lang w:val="zh-CN"/>
        </w:rPr>
        <w:t>：____________</w:t>
      </w:r>
    </w:p>
    <w:p w14:paraId="4E098D00">
      <w:pPr>
        <w:spacing w:line="360" w:lineRule="auto"/>
        <w:outlineLvl w:val="9"/>
        <w:rPr>
          <w:rFonts w:hint="eastAsia"/>
          <w:color w:val="auto"/>
          <w:sz w:val="24"/>
          <w:szCs w:val="20"/>
          <w:highlight w:val="none"/>
        </w:rPr>
      </w:pPr>
      <w:r>
        <w:rPr>
          <w:color w:val="auto"/>
          <w:sz w:val="24"/>
          <w:szCs w:val="20"/>
          <w:highlight w:val="none"/>
        </w:rPr>
        <w:t xml:space="preserve">日期：_____年______月______日   </w:t>
      </w:r>
    </w:p>
    <w:p w14:paraId="12BE25A2">
      <w:pPr>
        <w:spacing w:line="360" w:lineRule="auto"/>
        <w:outlineLvl w:val="9"/>
        <w:rPr>
          <w:rFonts w:hint="eastAsia"/>
          <w:color w:val="auto"/>
          <w:sz w:val="24"/>
          <w:szCs w:val="20"/>
          <w:highlight w:val="none"/>
        </w:rPr>
      </w:pPr>
    </w:p>
    <w:p w14:paraId="1E938ECA">
      <w:pPr>
        <w:spacing w:line="360" w:lineRule="exact"/>
        <w:jc w:val="center"/>
        <w:rPr>
          <w:color w:val="auto"/>
          <w:sz w:val="36"/>
          <w:szCs w:val="36"/>
          <w:highlight w:val="none"/>
        </w:rPr>
      </w:pPr>
    </w:p>
    <w:p w14:paraId="2C5C9783">
      <w:pPr>
        <w:rPr>
          <w:rFonts w:hint="eastAsia"/>
          <w:b/>
          <w:color w:val="auto"/>
          <w:sz w:val="36"/>
          <w:szCs w:val="36"/>
          <w:highlight w:val="none"/>
        </w:rPr>
      </w:pPr>
      <w:r>
        <w:rPr>
          <w:rFonts w:hint="eastAsia"/>
          <w:b/>
          <w:color w:val="auto"/>
          <w:sz w:val="36"/>
          <w:szCs w:val="36"/>
          <w:highlight w:val="none"/>
        </w:rPr>
        <w:br w:type="page"/>
      </w:r>
    </w:p>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14:paraId="262C22E2">
      <w:pPr>
        <w:spacing w:line="360" w:lineRule="auto"/>
        <w:outlineLvl w:val="9"/>
        <w:rPr>
          <w:color w:val="auto"/>
          <w:sz w:val="24"/>
          <w:szCs w:val="20"/>
          <w:highlight w:val="none"/>
        </w:rPr>
      </w:pPr>
      <w:bookmarkStart w:id="632" w:name="_Toc195842927"/>
      <w:bookmarkStart w:id="633" w:name="_Toc305158904"/>
      <w:bookmarkStart w:id="634" w:name="_Toc226337258"/>
      <w:bookmarkStart w:id="635" w:name="_Toc127151562"/>
      <w:bookmarkStart w:id="636" w:name="_Toc150480798"/>
      <w:bookmarkStart w:id="637" w:name="_Toc305158830"/>
      <w:bookmarkStart w:id="638" w:name="_Toc226309806"/>
      <w:bookmarkStart w:id="639" w:name="_Toc226965752"/>
      <w:bookmarkStart w:id="640" w:name="_Toc265228400"/>
      <w:bookmarkStart w:id="641" w:name="_Toc264969252"/>
      <w:bookmarkStart w:id="642" w:name="_Toc226965835"/>
      <w:bookmarkStart w:id="643" w:name="_Toc150774765"/>
      <w:bookmarkStart w:id="644" w:name="_Toc142311062"/>
      <w:bookmarkStart w:id="645" w:name="_Toc264969251"/>
      <w:bookmarkStart w:id="646" w:name="_Toc226965834"/>
      <w:bookmarkStart w:id="647" w:name="_Toc226309805"/>
      <w:bookmarkStart w:id="648" w:name="_Toc142311061"/>
      <w:bookmarkStart w:id="649" w:name="_Toc150774764"/>
      <w:bookmarkStart w:id="650" w:name="_Toc127151561"/>
      <w:bookmarkStart w:id="651" w:name="_Toc226965751"/>
      <w:bookmarkStart w:id="652" w:name="_Toc265228399"/>
      <w:bookmarkStart w:id="653" w:name="_Toc195842926"/>
      <w:bookmarkStart w:id="654" w:name="_Toc305158829"/>
      <w:bookmarkStart w:id="655" w:name="_Toc305158903"/>
      <w:bookmarkStart w:id="656" w:name="_Toc226337257"/>
      <w:bookmarkStart w:id="657" w:name="_Toc150480797"/>
      <w:r>
        <w:rPr>
          <w:rFonts w:hint="eastAsia"/>
          <w:color w:val="auto"/>
          <w:sz w:val="24"/>
          <w:szCs w:val="20"/>
          <w:highlight w:val="none"/>
          <w:lang w:val="en-US" w:eastAsia="zh-CN"/>
        </w:rPr>
        <w:t>9</w:t>
      </w:r>
      <w:r>
        <w:rPr>
          <w:color w:val="auto"/>
          <w:sz w:val="24"/>
          <w:szCs w:val="20"/>
          <w:highlight w:val="none"/>
        </w:rPr>
        <w:t xml:space="preserve">  合同条款偏离表</w:t>
      </w:r>
      <w:bookmarkEnd w:id="632"/>
      <w:bookmarkEnd w:id="633"/>
      <w:bookmarkEnd w:id="634"/>
      <w:bookmarkEnd w:id="635"/>
      <w:bookmarkEnd w:id="636"/>
      <w:bookmarkEnd w:id="637"/>
      <w:bookmarkEnd w:id="638"/>
      <w:bookmarkEnd w:id="639"/>
      <w:bookmarkEnd w:id="640"/>
      <w:bookmarkEnd w:id="641"/>
      <w:bookmarkEnd w:id="642"/>
      <w:bookmarkEnd w:id="643"/>
      <w:bookmarkEnd w:id="644"/>
    </w:p>
    <w:p w14:paraId="3BA0ED27">
      <w:pPr>
        <w:spacing w:line="360" w:lineRule="auto"/>
        <w:outlineLvl w:val="9"/>
        <w:rPr>
          <w:color w:val="auto"/>
          <w:sz w:val="24"/>
          <w:szCs w:val="20"/>
          <w:highlight w:val="none"/>
        </w:rPr>
      </w:pPr>
    </w:p>
    <w:p w14:paraId="159470C3">
      <w:pPr>
        <w:jc w:val="center"/>
        <w:outlineLvl w:val="9"/>
        <w:rPr>
          <w:b/>
          <w:color w:val="auto"/>
          <w:sz w:val="36"/>
          <w:szCs w:val="36"/>
          <w:highlight w:val="none"/>
        </w:rPr>
      </w:pPr>
      <w:r>
        <w:rPr>
          <w:rFonts w:hint="eastAsia"/>
          <w:b/>
          <w:color w:val="auto"/>
          <w:sz w:val="36"/>
          <w:szCs w:val="36"/>
          <w:highlight w:val="none"/>
        </w:rPr>
        <w:t>合同条款偏离表</w:t>
      </w:r>
    </w:p>
    <w:p w14:paraId="50A61801">
      <w:pPr>
        <w:jc w:val="center"/>
        <w:outlineLvl w:val="9"/>
        <w:rPr>
          <w:color w:val="auto"/>
          <w:sz w:val="36"/>
          <w:szCs w:val="36"/>
          <w:highlight w:val="none"/>
        </w:rPr>
      </w:pPr>
    </w:p>
    <w:p w14:paraId="69F5C1C1">
      <w:pPr>
        <w:spacing w:line="360" w:lineRule="auto"/>
        <w:outlineLvl w:val="9"/>
        <w:rPr>
          <w:color w:val="auto"/>
          <w:sz w:val="24"/>
          <w:szCs w:val="20"/>
          <w:highlight w:val="none"/>
        </w:rPr>
      </w:pPr>
    </w:p>
    <w:p w14:paraId="7A2223BF">
      <w:pPr>
        <w:tabs>
          <w:tab w:val="left" w:pos="1800"/>
          <w:tab w:val="left" w:pos="5580"/>
        </w:tabs>
        <w:spacing w:line="360" w:lineRule="auto"/>
        <w:ind w:firstLine="360"/>
        <w:jc w:val="left"/>
        <w:outlineLvl w:val="9"/>
        <w:rPr>
          <w:color w:val="auto"/>
          <w:sz w:val="24"/>
          <w:highlight w:val="none"/>
        </w:rPr>
      </w:pPr>
      <w:r>
        <w:rPr>
          <w:color w:val="auto"/>
          <w:sz w:val="24"/>
          <w:highlight w:val="none"/>
        </w:rPr>
        <w:t>项目编号：_______________     项目名称：_____________________</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1290"/>
        <w:gridCol w:w="1980"/>
        <w:gridCol w:w="1981"/>
        <w:gridCol w:w="2427"/>
        <w:gridCol w:w="782"/>
      </w:tblGrid>
      <w:tr w14:paraId="29BCB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67DF75A0">
            <w:pPr>
              <w:jc w:val="left"/>
              <w:outlineLvl w:val="9"/>
              <w:rPr>
                <w:b/>
                <w:color w:val="auto"/>
                <w:sz w:val="24"/>
                <w:highlight w:val="none"/>
              </w:rPr>
            </w:pPr>
            <w:r>
              <w:rPr>
                <w:rFonts w:hint="eastAsia"/>
                <w:b/>
                <w:color w:val="auto"/>
                <w:sz w:val="24"/>
                <w:highlight w:val="none"/>
              </w:rPr>
              <w:t>对本项目合同条款的偏离情况（请进行勾选）：</w:t>
            </w:r>
          </w:p>
          <w:p w14:paraId="30644ABF">
            <w:pPr>
              <w:jc w:val="left"/>
              <w:outlineLvl w:val="9"/>
              <w:rPr>
                <w:b/>
                <w:color w:val="auto"/>
                <w:sz w:val="24"/>
                <w:highlight w:val="none"/>
              </w:rPr>
            </w:pPr>
            <w:r>
              <w:rPr>
                <w:b/>
                <w:color w:val="auto"/>
                <w:sz w:val="24"/>
                <w:highlight w:val="none"/>
              </w:rPr>
              <w:t>□无偏离</w:t>
            </w:r>
            <w:r>
              <w:rPr>
                <w:color w:val="auto"/>
                <w:sz w:val="24"/>
                <w:highlight w:val="none"/>
              </w:rPr>
              <w:t>（</w:t>
            </w:r>
            <w:r>
              <w:rPr>
                <w:color w:val="auto"/>
                <w:sz w:val="24"/>
                <w:szCs w:val="21"/>
                <w:highlight w:val="none"/>
              </w:rPr>
              <w:t>如无偏离，仅勾选无偏离即可</w:t>
            </w:r>
            <w:r>
              <w:rPr>
                <w:color w:val="auto"/>
                <w:sz w:val="24"/>
                <w:highlight w:val="none"/>
              </w:rPr>
              <w:t>）</w:t>
            </w:r>
          </w:p>
          <w:p w14:paraId="0B9FBE3C">
            <w:pPr>
              <w:jc w:val="left"/>
              <w:outlineLvl w:val="9"/>
              <w:rPr>
                <w:color w:val="auto"/>
                <w:sz w:val="24"/>
                <w:highlight w:val="none"/>
              </w:rPr>
            </w:pPr>
            <w:r>
              <w:rPr>
                <w:b/>
                <w:color w:val="auto"/>
                <w:sz w:val="24"/>
                <w:highlight w:val="none"/>
              </w:rPr>
              <w:t>□有偏离</w:t>
            </w:r>
            <w:r>
              <w:rPr>
                <w:color w:val="auto"/>
                <w:sz w:val="24"/>
                <w:highlight w:val="none"/>
              </w:rPr>
              <w:t>（</w:t>
            </w:r>
            <w:r>
              <w:rPr>
                <w:color w:val="auto"/>
                <w:sz w:val="24"/>
                <w:szCs w:val="21"/>
                <w:highlight w:val="none"/>
              </w:rPr>
              <w:t>如有负偏离，</w:t>
            </w:r>
            <w:r>
              <w:rPr>
                <w:color w:val="auto"/>
                <w:sz w:val="24"/>
                <w:highlight w:val="none"/>
              </w:rPr>
              <w:t>则须在本表中对负偏离项逐一列明）</w:t>
            </w:r>
          </w:p>
        </w:tc>
      </w:tr>
      <w:tr w14:paraId="4F916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6DC98390">
            <w:pPr>
              <w:jc w:val="center"/>
              <w:outlineLvl w:val="9"/>
              <w:rPr>
                <w:color w:val="auto"/>
                <w:sz w:val="24"/>
                <w:highlight w:val="none"/>
              </w:rPr>
            </w:pPr>
            <w:r>
              <w:rPr>
                <w:color w:val="auto"/>
                <w:sz w:val="24"/>
                <w:highlight w:val="none"/>
              </w:rPr>
              <w:t>序号</w:t>
            </w:r>
          </w:p>
        </w:tc>
        <w:tc>
          <w:tcPr>
            <w:tcW w:w="1290" w:type="dxa"/>
            <w:noWrap w:val="0"/>
            <w:vAlign w:val="center"/>
          </w:tcPr>
          <w:p w14:paraId="0DA2D218">
            <w:pPr>
              <w:jc w:val="center"/>
              <w:outlineLvl w:val="9"/>
              <w:rPr>
                <w:color w:val="auto"/>
                <w:sz w:val="24"/>
                <w:highlight w:val="none"/>
              </w:rPr>
            </w:pPr>
            <w:r>
              <w:rPr>
                <w:color w:val="auto"/>
                <w:sz w:val="24"/>
                <w:szCs w:val="21"/>
                <w:highlight w:val="none"/>
              </w:rPr>
              <w:t>磋商文件</w:t>
            </w:r>
            <w:r>
              <w:rPr>
                <w:color w:val="auto"/>
                <w:sz w:val="24"/>
                <w:highlight w:val="none"/>
              </w:rPr>
              <w:t>条目号（页码）</w:t>
            </w:r>
          </w:p>
        </w:tc>
        <w:tc>
          <w:tcPr>
            <w:tcW w:w="1980" w:type="dxa"/>
            <w:noWrap w:val="0"/>
            <w:vAlign w:val="center"/>
          </w:tcPr>
          <w:p w14:paraId="64E4FD91">
            <w:pPr>
              <w:jc w:val="center"/>
              <w:outlineLvl w:val="9"/>
              <w:rPr>
                <w:color w:val="auto"/>
                <w:sz w:val="24"/>
                <w:highlight w:val="none"/>
              </w:rPr>
            </w:pPr>
            <w:r>
              <w:rPr>
                <w:color w:val="auto"/>
                <w:sz w:val="24"/>
                <w:szCs w:val="21"/>
                <w:highlight w:val="none"/>
              </w:rPr>
              <w:t>磋商文件</w:t>
            </w:r>
            <w:r>
              <w:rPr>
                <w:color w:val="auto"/>
                <w:sz w:val="24"/>
                <w:highlight w:val="none"/>
              </w:rPr>
              <w:t>要求</w:t>
            </w:r>
          </w:p>
        </w:tc>
        <w:tc>
          <w:tcPr>
            <w:tcW w:w="1981" w:type="dxa"/>
            <w:noWrap w:val="0"/>
            <w:vAlign w:val="center"/>
          </w:tcPr>
          <w:p w14:paraId="23810217">
            <w:pPr>
              <w:jc w:val="center"/>
              <w:outlineLvl w:val="9"/>
              <w:rPr>
                <w:color w:val="auto"/>
                <w:sz w:val="24"/>
                <w:highlight w:val="none"/>
              </w:rPr>
            </w:pPr>
            <w:r>
              <w:rPr>
                <w:color w:val="auto"/>
                <w:sz w:val="24"/>
                <w:highlight w:val="none"/>
              </w:rPr>
              <w:t>响应文件内容</w:t>
            </w:r>
          </w:p>
        </w:tc>
        <w:tc>
          <w:tcPr>
            <w:tcW w:w="2427" w:type="dxa"/>
            <w:noWrap w:val="0"/>
            <w:vAlign w:val="center"/>
          </w:tcPr>
          <w:p w14:paraId="2EC2152B">
            <w:pPr>
              <w:jc w:val="center"/>
              <w:outlineLvl w:val="9"/>
              <w:rPr>
                <w:color w:val="auto"/>
                <w:sz w:val="24"/>
                <w:highlight w:val="none"/>
              </w:rPr>
            </w:pPr>
            <w:r>
              <w:rPr>
                <w:color w:val="auto"/>
                <w:sz w:val="24"/>
                <w:highlight w:val="none"/>
              </w:rPr>
              <w:t>偏离情况</w:t>
            </w:r>
          </w:p>
          <w:p w14:paraId="308B312E">
            <w:pPr>
              <w:jc w:val="center"/>
              <w:outlineLvl w:val="9"/>
              <w:rPr>
                <w:color w:val="auto"/>
                <w:sz w:val="24"/>
                <w:highlight w:val="none"/>
              </w:rPr>
            </w:pPr>
            <w:r>
              <w:rPr>
                <w:color w:val="auto"/>
                <w:sz w:val="24"/>
                <w:highlight w:val="none"/>
              </w:rPr>
              <w:t>（据实填写）</w:t>
            </w:r>
          </w:p>
        </w:tc>
        <w:tc>
          <w:tcPr>
            <w:tcW w:w="782" w:type="dxa"/>
            <w:noWrap w:val="0"/>
            <w:vAlign w:val="center"/>
          </w:tcPr>
          <w:p w14:paraId="3D55FB75">
            <w:pPr>
              <w:jc w:val="center"/>
              <w:outlineLvl w:val="9"/>
              <w:rPr>
                <w:color w:val="auto"/>
                <w:sz w:val="24"/>
                <w:highlight w:val="none"/>
              </w:rPr>
            </w:pPr>
            <w:r>
              <w:rPr>
                <w:color w:val="auto"/>
                <w:sz w:val="24"/>
                <w:highlight w:val="none"/>
              </w:rPr>
              <w:t>说明</w:t>
            </w:r>
          </w:p>
        </w:tc>
      </w:tr>
      <w:tr w14:paraId="2C221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5DD7E084">
            <w:pPr>
              <w:jc w:val="center"/>
              <w:outlineLvl w:val="9"/>
              <w:rPr>
                <w:color w:val="auto"/>
                <w:sz w:val="24"/>
                <w:highlight w:val="none"/>
              </w:rPr>
            </w:pPr>
          </w:p>
        </w:tc>
        <w:tc>
          <w:tcPr>
            <w:tcW w:w="1290" w:type="dxa"/>
            <w:noWrap w:val="0"/>
            <w:vAlign w:val="center"/>
          </w:tcPr>
          <w:p w14:paraId="16744BDE">
            <w:pPr>
              <w:jc w:val="center"/>
              <w:outlineLvl w:val="9"/>
              <w:rPr>
                <w:color w:val="auto"/>
                <w:sz w:val="24"/>
                <w:highlight w:val="none"/>
              </w:rPr>
            </w:pPr>
          </w:p>
        </w:tc>
        <w:tc>
          <w:tcPr>
            <w:tcW w:w="1980" w:type="dxa"/>
            <w:noWrap w:val="0"/>
            <w:vAlign w:val="center"/>
          </w:tcPr>
          <w:p w14:paraId="267C5EF2">
            <w:pPr>
              <w:jc w:val="center"/>
              <w:outlineLvl w:val="9"/>
              <w:rPr>
                <w:color w:val="auto"/>
                <w:sz w:val="24"/>
                <w:highlight w:val="none"/>
              </w:rPr>
            </w:pPr>
          </w:p>
        </w:tc>
        <w:tc>
          <w:tcPr>
            <w:tcW w:w="1981" w:type="dxa"/>
            <w:noWrap w:val="0"/>
            <w:vAlign w:val="center"/>
          </w:tcPr>
          <w:p w14:paraId="722AF954">
            <w:pPr>
              <w:jc w:val="center"/>
              <w:outlineLvl w:val="9"/>
              <w:rPr>
                <w:color w:val="auto"/>
                <w:sz w:val="24"/>
                <w:highlight w:val="none"/>
              </w:rPr>
            </w:pPr>
          </w:p>
        </w:tc>
        <w:tc>
          <w:tcPr>
            <w:tcW w:w="2427" w:type="dxa"/>
            <w:noWrap w:val="0"/>
            <w:vAlign w:val="center"/>
          </w:tcPr>
          <w:p w14:paraId="6BD91096">
            <w:pPr>
              <w:jc w:val="center"/>
              <w:outlineLvl w:val="9"/>
              <w:rPr>
                <w:color w:val="auto"/>
                <w:sz w:val="24"/>
                <w:highlight w:val="none"/>
              </w:rPr>
            </w:pPr>
          </w:p>
        </w:tc>
        <w:tc>
          <w:tcPr>
            <w:tcW w:w="782" w:type="dxa"/>
            <w:noWrap w:val="0"/>
            <w:vAlign w:val="center"/>
          </w:tcPr>
          <w:p w14:paraId="3DD1E10C">
            <w:pPr>
              <w:jc w:val="center"/>
              <w:outlineLvl w:val="9"/>
              <w:rPr>
                <w:color w:val="auto"/>
                <w:sz w:val="24"/>
                <w:highlight w:val="none"/>
              </w:rPr>
            </w:pPr>
          </w:p>
        </w:tc>
      </w:tr>
      <w:tr w14:paraId="72C1E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4B27A690">
            <w:pPr>
              <w:jc w:val="center"/>
              <w:outlineLvl w:val="9"/>
              <w:rPr>
                <w:color w:val="auto"/>
                <w:sz w:val="24"/>
                <w:highlight w:val="none"/>
              </w:rPr>
            </w:pPr>
          </w:p>
        </w:tc>
        <w:tc>
          <w:tcPr>
            <w:tcW w:w="1290" w:type="dxa"/>
            <w:noWrap w:val="0"/>
            <w:vAlign w:val="center"/>
          </w:tcPr>
          <w:p w14:paraId="06F30D2A">
            <w:pPr>
              <w:jc w:val="center"/>
              <w:outlineLvl w:val="9"/>
              <w:rPr>
                <w:color w:val="auto"/>
                <w:sz w:val="24"/>
                <w:highlight w:val="none"/>
              </w:rPr>
            </w:pPr>
          </w:p>
        </w:tc>
        <w:tc>
          <w:tcPr>
            <w:tcW w:w="1980" w:type="dxa"/>
            <w:noWrap w:val="0"/>
            <w:vAlign w:val="center"/>
          </w:tcPr>
          <w:p w14:paraId="2F331710">
            <w:pPr>
              <w:jc w:val="center"/>
              <w:outlineLvl w:val="9"/>
              <w:rPr>
                <w:color w:val="auto"/>
                <w:sz w:val="24"/>
                <w:highlight w:val="none"/>
              </w:rPr>
            </w:pPr>
          </w:p>
        </w:tc>
        <w:tc>
          <w:tcPr>
            <w:tcW w:w="1981" w:type="dxa"/>
            <w:noWrap w:val="0"/>
            <w:vAlign w:val="center"/>
          </w:tcPr>
          <w:p w14:paraId="2785FAB6">
            <w:pPr>
              <w:jc w:val="center"/>
              <w:outlineLvl w:val="9"/>
              <w:rPr>
                <w:color w:val="auto"/>
                <w:sz w:val="24"/>
                <w:highlight w:val="none"/>
              </w:rPr>
            </w:pPr>
          </w:p>
        </w:tc>
        <w:tc>
          <w:tcPr>
            <w:tcW w:w="2427" w:type="dxa"/>
            <w:noWrap w:val="0"/>
            <w:vAlign w:val="center"/>
          </w:tcPr>
          <w:p w14:paraId="58AAFCE6">
            <w:pPr>
              <w:jc w:val="center"/>
              <w:outlineLvl w:val="9"/>
              <w:rPr>
                <w:color w:val="auto"/>
                <w:sz w:val="24"/>
                <w:highlight w:val="none"/>
              </w:rPr>
            </w:pPr>
          </w:p>
        </w:tc>
        <w:tc>
          <w:tcPr>
            <w:tcW w:w="782" w:type="dxa"/>
            <w:noWrap w:val="0"/>
            <w:vAlign w:val="center"/>
          </w:tcPr>
          <w:p w14:paraId="51588D45">
            <w:pPr>
              <w:jc w:val="center"/>
              <w:outlineLvl w:val="9"/>
              <w:rPr>
                <w:color w:val="auto"/>
                <w:sz w:val="24"/>
                <w:highlight w:val="none"/>
              </w:rPr>
            </w:pPr>
          </w:p>
        </w:tc>
      </w:tr>
      <w:tr w14:paraId="007AA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6638210B">
            <w:pPr>
              <w:jc w:val="center"/>
              <w:outlineLvl w:val="9"/>
              <w:rPr>
                <w:color w:val="auto"/>
                <w:sz w:val="24"/>
                <w:highlight w:val="none"/>
              </w:rPr>
            </w:pPr>
          </w:p>
        </w:tc>
        <w:tc>
          <w:tcPr>
            <w:tcW w:w="1290" w:type="dxa"/>
            <w:noWrap w:val="0"/>
            <w:vAlign w:val="center"/>
          </w:tcPr>
          <w:p w14:paraId="30964F2F">
            <w:pPr>
              <w:jc w:val="center"/>
              <w:outlineLvl w:val="9"/>
              <w:rPr>
                <w:color w:val="auto"/>
                <w:sz w:val="24"/>
                <w:highlight w:val="none"/>
              </w:rPr>
            </w:pPr>
          </w:p>
        </w:tc>
        <w:tc>
          <w:tcPr>
            <w:tcW w:w="1980" w:type="dxa"/>
            <w:noWrap w:val="0"/>
            <w:vAlign w:val="center"/>
          </w:tcPr>
          <w:p w14:paraId="1B132483">
            <w:pPr>
              <w:jc w:val="center"/>
              <w:outlineLvl w:val="9"/>
              <w:rPr>
                <w:color w:val="auto"/>
                <w:sz w:val="24"/>
                <w:highlight w:val="none"/>
              </w:rPr>
            </w:pPr>
          </w:p>
        </w:tc>
        <w:tc>
          <w:tcPr>
            <w:tcW w:w="1981" w:type="dxa"/>
            <w:noWrap w:val="0"/>
            <w:vAlign w:val="center"/>
          </w:tcPr>
          <w:p w14:paraId="488175EA">
            <w:pPr>
              <w:jc w:val="center"/>
              <w:outlineLvl w:val="9"/>
              <w:rPr>
                <w:color w:val="auto"/>
                <w:sz w:val="24"/>
                <w:highlight w:val="none"/>
              </w:rPr>
            </w:pPr>
          </w:p>
        </w:tc>
        <w:tc>
          <w:tcPr>
            <w:tcW w:w="2427" w:type="dxa"/>
            <w:noWrap w:val="0"/>
            <w:vAlign w:val="center"/>
          </w:tcPr>
          <w:p w14:paraId="4C3A0422">
            <w:pPr>
              <w:jc w:val="center"/>
              <w:outlineLvl w:val="9"/>
              <w:rPr>
                <w:color w:val="auto"/>
                <w:sz w:val="24"/>
                <w:highlight w:val="none"/>
              </w:rPr>
            </w:pPr>
          </w:p>
        </w:tc>
        <w:tc>
          <w:tcPr>
            <w:tcW w:w="782" w:type="dxa"/>
            <w:noWrap w:val="0"/>
            <w:vAlign w:val="center"/>
          </w:tcPr>
          <w:p w14:paraId="71BC2621">
            <w:pPr>
              <w:jc w:val="center"/>
              <w:outlineLvl w:val="9"/>
              <w:rPr>
                <w:color w:val="auto"/>
                <w:sz w:val="24"/>
                <w:highlight w:val="none"/>
              </w:rPr>
            </w:pPr>
          </w:p>
        </w:tc>
      </w:tr>
      <w:tr w14:paraId="41696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4AD9510D">
            <w:pPr>
              <w:jc w:val="center"/>
              <w:outlineLvl w:val="9"/>
              <w:rPr>
                <w:color w:val="auto"/>
                <w:sz w:val="24"/>
                <w:highlight w:val="none"/>
              </w:rPr>
            </w:pPr>
          </w:p>
        </w:tc>
        <w:tc>
          <w:tcPr>
            <w:tcW w:w="1290" w:type="dxa"/>
            <w:noWrap w:val="0"/>
            <w:vAlign w:val="center"/>
          </w:tcPr>
          <w:p w14:paraId="0B553E13">
            <w:pPr>
              <w:jc w:val="center"/>
              <w:outlineLvl w:val="9"/>
              <w:rPr>
                <w:color w:val="auto"/>
                <w:sz w:val="24"/>
                <w:highlight w:val="none"/>
              </w:rPr>
            </w:pPr>
          </w:p>
        </w:tc>
        <w:tc>
          <w:tcPr>
            <w:tcW w:w="1980" w:type="dxa"/>
            <w:noWrap w:val="0"/>
            <w:vAlign w:val="center"/>
          </w:tcPr>
          <w:p w14:paraId="53A2B336">
            <w:pPr>
              <w:jc w:val="center"/>
              <w:outlineLvl w:val="9"/>
              <w:rPr>
                <w:color w:val="auto"/>
                <w:sz w:val="24"/>
                <w:highlight w:val="none"/>
              </w:rPr>
            </w:pPr>
          </w:p>
        </w:tc>
        <w:tc>
          <w:tcPr>
            <w:tcW w:w="1981" w:type="dxa"/>
            <w:noWrap w:val="0"/>
            <w:vAlign w:val="center"/>
          </w:tcPr>
          <w:p w14:paraId="3A3DD6CA">
            <w:pPr>
              <w:jc w:val="center"/>
              <w:outlineLvl w:val="9"/>
              <w:rPr>
                <w:color w:val="auto"/>
                <w:sz w:val="24"/>
                <w:highlight w:val="none"/>
              </w:rPr>
            </w:pPr>
          </w:p>
        </w:tc>
        <w:tc>
          <w:tcPr>
            <w:tcW w:w="2427" w:type="dxa"/>
            <w:noWrap w:val="0"/>
            <w:vAlign w:val="center"/>
          </w:tcPr>
          <w:p w14:paraId="5841EED0">
            <w:pPr>
              <w:jc w:val="center"/>
              <w:outlineLvl w:val="9"/>
              <w:rPr>
                <w:color w:val="auto"/>
                <w:sz w:val="24"/>
                <w:highlight w:val="none"/>
              </w:rPr>
            </w:pPr>
          </w:p>
        </w:tc>
        <w:tc>
          <w:tcPr>
            <w:tcW w:w="782" w:type="dxa"/>
            <w:noWrap w:val="0"/>
            <w:vAlign w:val="center"/>
          </w:tcPr>
          <w:p w14:paraId="3490C2C3">
            <w:pPr>
              <w:jc w:val="center"/>
              <w:outlineLvl w:val="9"/>
              <w:rPr>
                <w:color w:val="auto"/>
                <w:sz w:val="24"/>
                <w:highlight w:val="none"/>
              </w:rPr>
            </w:pPr>
          </w:p>
        </w:tc>
      </w:tr>
    </w:tbl>
    <w:p w14:paraId="7588AA9A">
      <w:pPr>
        <w:tabs>
          <w:tab w:val="left" w:pos="1800"/>
          <w:tab w:val="left" w:pos="5580"/>
        </w:tabs>
        <w:jc w:val="left"/>
        <w:outlineLvl w:val="9"/>
        <w:rPr>
          <w:color w:val="auto"/>
          <w:sz w:val="24"/>
          <w:highlight w:val="none"/>
        </w:rPr>
      </w:pPr>
    </w:p>
    <w:p w14:paraId="0CE34E7E">
      <w:pPr>
        <w:tabs>
          <w:tab w:val="left" w:pos="1800"/>
          <w:tab w:val="left" w:pos="5580"/>
        </w:tabs>
        <w:jc w:val="left"/>
        <w:outlineLvl w:val="9"/>
        <w:rPr>
          <w:color w:val="auto"/>
          <w:sz w:val="24"/>
          <w:highlight w:val="none"/>
        </w:rPr>
      </w:pPr>
      <w:r>
        <w:rPr>
          <w:rFonts w:hint="eastAsia"/>
          <w:color w:val="auto"/>
          <w:sz w:val="24"/>
          <w:highlight w:val="none"/>
        </w:rPr>
        <w:t>注：</w:t>
      </w:r>
    </w:p>
    <w:p w14:paraId="675090D5">
      <w:pPr>
        <w:tabs>
          <w:tab w:val="left" w:pos="1800"/>
          <w:tab w:val="left" w:pos="5580"/>
        </w:tabs>
        <w:jc w:val="left"/>
        <w:outlineLvl w:val="9"/>
        <w:rPr>
          <w:color w:val="auto"/>
          <w:sz w:val="24"/>
          <w:highlight w:val="none"/>
        </w:rPr>
      </w:pPr>
      <w:r>
        <w:rPr>
          <w:color w:val="auto"/>
          <w:sz w:val="24"/>
          <w:highlight w:val="none"/>
        </w:rPr>
        <w:t xml:space="preserve">1. </w:t>
      </w:r>
      <w:r>
        <w:rPr>
          <w:rFonts w:hint="eastAsia"/>
          <w:color w:val="auto"/>
          <w:sz w:val="24"/>
          <w:highlight w:val="none"/>
        </w:rPr>
        <w:t>对合同条款中的所有要求，除本表所列明的所有偏离外，均视作供应商已对之理解和响应。</w:t>
      </w:r>
    </w:p>
    <w:p w14:paraId="2F74C626">
      <w:pPr>
        <w:tabs>
          <w:tab w:val="left" w:pos="1800"/>
          <w:tab w:val="left" w:pos="5580"/>
        </w:tabs>
        <w:jc w:val="left"/>
        <w:outlineLvl w:val="9"/>
        <w:rPr>
          <w:color w:val="auto"/>
          <w:sz w:val="24"/>
          <w:highlight w:val="none"/>
        </w:rPr>
      </w:pPr>
      <w:r>
        <w:rPr>
          <w:color w:val="auto"/>
          <w:sz w:val="24"/>
          <w:highlight w:val="none"/>
        </w:rPr>
        <w:t xml:space="preserve">2. </w:t>
      </w:r>
      <w:r>
        <w:rPr>
          <w:rFonts w:hint="eastAsia"/>
          <w:color w:val="auto"/>
          <w:sz w:val="24"/>
          <w:highlight w:val="none"/>
        </w:rPr>
        <w:t>“偏离情况”列应据实填写“正偏离”或“负偏离”。</w:t>
      </w:r>
    </w:p>
    <w:p w14:paraId="7916A133">
      <w:pPr>
        <w:spacing w:line="360" w:lineRule="auto"/>
        <w:outlineLvl w:val="9"/>
        <w:rPr>
          <w:color w:val="auto"/>
          <w:sz w:val="24"/>
          <w:szCs w:val="20"/>
          <w:highlight w:val="none"/>
        </w:rPr>
      </w:pPr>
    </w:p>
    <w:p w14:paraId="67674891">
      <w:pPr>
        <w:spacing w:before="25" w:after="25" w:line="360" w:lineRule="auto"/>
        <w:outlineLvl w:val="9"/>
        <w:rPr>
          <w:color w:val="auto"/>
          <w:sz w:val="24"/>
          <w:highlight w:val="none"/>
          <w:lang w:val="zh-CN"/>
        </w:rPr>
      </w:pPr>
      <w:r>
        <w:rPr>
          <w:color w:val="auto"/>
          <w:sz w:val="24"/>
          <w:highlight w:val="none"/>
          <w:lang w:val="zh-CN"/>
        </w:rPr>
        <w:t xml:space="preserve">                      </w:t>
      </w:r>
    </w:p>
    <w:p w14:paraId="4084B12D">
      <w:pPr>
        <w:spacing w:before="25" w:after="25" w:line="360" w:lineRule="auto"/>
        <w:outlineLvl w:val="9"/>
        <w:rPr>
          <w:color w:val="auto"/>
          <w:sz w:val="24"/>
          <w:highlight w:val="none"/>
          <w:lang w:val="zh-CN"/>
        </w:rPr>
      </w:pPr>
      <w:r>
        <w:rPr>
          <w:color w:val="auto"/>
          <w:sz w:val="24"/>
          <w:highlight w:val="none"/>
        </w:rPr>
        <w:t>供应商名称（加盖公章）</w:t>
      </w:r>
      <w:r>
        <w:rPr>
          <w:color w:val="auto"/>
          <w:sz w:val="24"/>
          <w:highlight w:val="none"/>
          <w:lang w:val="zh-CN"/>
        </w:rPr>
        <w:t>：    ____________</w:t>
      </w:r>
    </w:p>
    <w:p w14:paraId="29CD98A9">
      <w:pPr>
        <w:spacing w:before="25" w:after="25" w:line="360" w:lineRule="auto"/>
        <w:outlineLvl w:val="9"/>
        <w:rPr>
          <w:color w:val="auto"/>
          <w:sz w:val="24"/>
          <w:highlight w:val="none"/>
          <w:lang w:val="zh-CN"/>
        </w:rPr>
      </w:pPr>
      <w:r>
        <w:rPr>
          <w:color w:val="auto"/>
          <w:sz w:val="24"/>
          <w:szCs w:val="20"/>
          <w:highlight w:val="none"/>
        </w:rPr>
        <w:t xml:space="preserve">日期：_____年______月______日   </w:t>
      </w:r>
    </w:p>
    <w:p w14:paraId="1154D5FC">
      <w:pPr>
        <w:spacing w:line="360" w:lineRule="auto"/>
        <w:outlineLvl w:val="9"/>
        <w:rPr>
          <w:color w:val="auto"/>
          <w:sz w:val="24"/>
          <w:szCs w:val="20"/>
          <w:highlight w:val="none"/>
        </w:rPr>
      </w:pPr>
      <w:r>
        <w:rPr>
          <w:color w:val="auto"/>
          <w:sz w:val="24"/>
          <w:szCs w:val="20"/>
          <w:highlight w:val="none"/>
        </w:rPr>
        <w:br w:type="page" w:clear="all"/>
      </w:r>
      <w:r>
        <w:rPr>
          <w:rFonts w:hint="eastAsia"/>
          <w:color w:val="auto"/>
          <w:sz w:val="24"/>
          <w:szCs w:val="20"/>
          <w:highlight w:val="none"/>
          <w:lang w:val="en-US" w:eastAsia="zh-CN"/>
        </w:rPr>
        <w:t>10</w:t>
      </w:r>
      <w:r>
        <w:rPr>
          <w:color w:val="auto"/>
          <w:sz w:val="24"/>
          <w:szCs w:val="20"/>
          <w:highlight w:val="none"/>
        </w:rPr>
        <w:t xml:space="preserve">  </w:t>
      </w:r>
      <w:bookmarkEnd w:id="645"/>
      <w:bookmarkEnd w:id="646"/>
      <w:bookmarkEnd w:id="647"/>
      <w:bookmarkEnd w:id="648"/>
      <w:bookmarkEnd w:id="649"/>
      <w:bookmarkEnd w:id="650"/>
      <w:bookmarkEnd w:id="651"/>
      <w:bookmarkEnd w:id="652"/>
      <w:bookmarkEnd w:id="653"/>
      <w:bookmarkEnd w:id="654"/>
      <w:bookmarkEnd w:id="655"/>
      <w:bookmarkEnd w:id="656"/>
      <w:bookmarkEnd w:id="657"/>
      <w:r>
        <w:rPr>
          <w:color w:val="auto"/>
          <w:sz w:val="24"/>
          <w:szCs w:val="20"/>
          <w:highlight w:val="none"/>
        </w:rPr>
        <w:t>采购需求偏离表</w:t>
      </w:r>
    </w:p>
    <w:p w14:paraId="0D4A9A1F">
      <w:pPr>
        <w:jc w:val="center"/>
        <w:outlineLvl w:val="9"/>
        <w:rPr>
          <w:b/>
          <w:color w:val="auto"/>
          <w:sz w:val="36"/>
          <w:szCs w:val="36"/>
          <w:highlight w:val="none"/>
        </w:rPr>
      </w:pPr>
      <w:r>
        <w:rPr>
          <w:rFonts w:hint="eastAsia"/>
          <w:b/>
          <w:color w:val="auto"/>
          <w:sz w:val="36"/>
          <w:szCs w:val="36"/>
          <w:highlight w:val="none"/>
        </w:rPr>
        <w:t>采购需求偏离表</w:t>
      </w:r>
    </w:p>
    <w:p w14:paraId="7882E192">
      <w:pPr>
        <w:jc w:val="center"/>
        <w:outlineLvl w:val="9"/>
        <w:rPr>
          <w:color w:val="auto"/>
          <w:sz w:val="36"/>
          <w:szCs w:val="36"/>
          <w:highlight w:val="none"/>
        </w:rPr>
      </w:pPr>
    </w:p>
    <w:p w14:paraId="62091745">
      <w:pPr>
        <w:tabs>
          <w:tab w:val="left" w:pos="1800"/>
          <w:tab w:val="left" w:pos="5580"/>
        </w:tabs>
        <w:spacing w:line="360" w:lineRule="auto"/>
        <w:ind w:firstLine="360"/>
        <w:jc w:val="left"/>
        <w:outlineLvl w:val="9"/>
        <w:rPr>
          <w:color w:val="auto"/>
          <w:sz w:val="24"/>
          <w:highlight w:val="none"/>
          <w:u w:val="single"/>
        </w:rPr>
      </w:pPr>
      <w:r>
        <w:rPr>
          <w:color w:val="auto"/>
          <w:sz w:val="24"/>
          <w:highlight w:val="none"/>
        </w:rPr>
        <w:t>项目编号：_____________________     项目名称：_______________________</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BA99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4BA1DF30">
            <w:pPr>
              <w:jc w:val="center"/>
              <w:outlineLvl w:val="9"/>
              <w:rPr>
                <w:color w:val="auto"/>
                <w:sz w:val="24"/>
                <w:highlight w:val="none"/>
              </w:rPr>
            </w:pPr>
            <w:r>
              <w:rPr>
                <w:color w:val="auto"/>
                <w:sz w:val="24"/>
                <w:highlight w:val="none"/>
              </w:rPr>
              <w:t>序号</w:t>
            </w:r>
          </w:p>
        </w:tc>
        <w:tc>
          <w:tcPr>
            <w:tcW w:w="1482" w:type="dxa"/>
            <w:noWrap w:val="0"/>
            <w:vAlign w:val="center"/>
          </w:tcPr>
          <w:p w14:paraId="44CC0EE1">
            <w:pPr>
              <w:jc w:val="center"/>
              <w:outlineLvl w:val="9"/>
              <w:rPr>
                <w:color w:val="auto"/>
                <w:sz w:val="24"/>
                <w:highlight w:val="none"/>
              </w:rPr>
            </w:pPr>
            <w:r>
              <w:rPr>
                <w:color w:val="auto"/>
                <w:sz w:val="24"/>
                <w:highlight w:val="none"/>
              </w:rPr>
              <w:t>磋商文件条目号(页码)</w:t>
            </w:r>
          </w:p>
        </w:tc>
        <w:tc>
          <w:tcPr>
            <w:tcW w:w="2384" w:type="dxa"/>
            <w:noWrap w:val="0"/>
            <w:vAlign w:val="center"/>
          </w:tcPr>
          <w:p w14:paraId="786D9CFB">
            <w:pPr>
              <w:jc w:val="center"/>
              <w:outlineLvl w:val="9"/>
              <w:rPr>
                <w:color w:val="auto"/>
                <w:sz w:val="24"/>
                <w:highlight w:val="none"/>
              </w:rPr>
            </w:pPr>
            <w:r>
              <w:rPr>
                <w:color w:val="auto"/>
                <w:sz w:val="24"/>
                <w:highlight w:val="none"/>
              </w:rPr>
              <w:t>磋商文件要求</w:t>
            </w:r>
          </w:p>
        </w:tc>
        <w:tc>
          <w:tcPr>
            <w:tcW w:w="2126" w:type="dxa"/>
            <w:noWrap w:val="0"/>
            <w:vAlign w:val="center"/>
          </w:tcPr>
          <w:p w14:paraId="524F7358">
            <w:pPr>
              <w:jc w:val="center"/>
              <w:outlineLvl w:val="9"/>
              <w:rPr>
                <w:color w:val="auto"/>
                <w:sz w:val="24"/>
                <w:highlight w:val="none"/>
              </w:rPr>
            </w:pPr>
            <w:r>
              <w:rPr>
                <w:color w:val="auto"/>
                <w:sz w:val="24"/>
                <w:highlight w:val="none"/>
              </w:rPr>
              <w:t>响应内容</w:t>
            </w:r>
          </w:p>
        </w:tc>
        <w:tc>
          <w:tcPr>
            <w:tcW w:w="1875" w:type="dxa"/>
            <w:noWrap w:val="0"/>
            <w:vAlign w:val="center"/>
          </w:tcPr>
          <w:p w14:paraId="52E4A100">
            <w:pPr>
              <w:jc w:val="center"/>
              <w:outlineLvl w:val="9"/>
              <w:rPr>
                <w:color w:val="auto"/>
                <w:sz w:val="24"/>
                <w:highlight w:val="none"/>
              </w:rPr>
            </w:pPr>
            <w:r>
              <w:rPr>
                <w:color w:val="auto"/>
                <w:sz w:val="24"/>
                <w:highlight w:val="none"/>
              </w:rPr>
              <w:t>偏离情况</w:t>
            </w:r>
          </w:p>
          <w:p w14:paraId="05E9D1DB">
            <w:pPr>
              <w:jc w:val="center"/>
              <w:outlineLvl w:val="9"/>
              <w:rPr>
                <w:color w:val="auto"/>
                <w:sz w:val="24"/>
                <w:highlight w:val="none"/>
              </w:rPr>
            </w:pPr>
            <w:r>
              <w:rPr>
                <w:color w:val="auto"/>
                <w:sz w:val="24"/>
                <w:szCs w:val="21"/>
                <w:highlight w:val="none"/>
              </w:rPr>
              <w:t>（据实填写）</w:t>
            </w:r>
          </w:p>
        </w:tc>
        <w:tc>
          <w:tcPr>
            <w:tcW w:w="1009" w:type="dxa"/>
            <w:noWrap w:val="0"/>
            <w:vAlign w:val="center"/>
          </w:tcPr>
          <w:p w14:paraId="3AC232C6">
            <w:pPr>
              <w:jc w:val="center"/>
              <w:outlineLvl w:val="9"/>
              <w:rPr>
                <w:color w:val="auto"/>
                <w:sz w:val="24"/>
                <w:highlight w:val="none"/>
              </w:rPr>
            </w:pPr>
            <w:r>
              <w:rPr>
                <w:color w:val="auto"/>
                <w:sz w:val="24"/>
                <w:highlight w:val="none"/>
              </w:rPr>
              <w:t>说明</w:t>
            </w:r>
          </w:p>
        </w:tc>
      </w:tr>
      <w:tr w14:paraId="6BAE6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87F7334">
            <w:pPr>
              <w:jc w:val="center"/>
              <w:outlineLvl w:val="9"/>
              <w:rPr>
                <w:color w:val="auto"/>
                <w:sz w:val="24"/>
                <w:highlight w:val="none"/>
              </w:rPr>
            </w:pPr>
          </w:p>
        </w:tc>
        <w:tc>
          <w:tcPr>
            <w:tcW w:w="1482" w:type="dxa"/>
            <w:noWrap w:val="0"/>
            <w:vAlign w:val="center"/>
          </w:tcPr>
          <w:p w14:paraId="0E04CF00">
            <w:pPr>
              <w:jc w:val="center"/>
              <w:outlineLvl w:val="9"/>
              <w:rPr>
                <w:color w:val="auto"/>
                <w:sz w:val="24"/>
                <w:highlight w:val="none"/>
              </w:rPr>
            </w:pPr>
          </w:p>
        </w:tc>
        <w:tc>
          <w:tcPr>
            <w:tcW w:w="2384" w:type="dxa"/>
            <w:noWrap w:val="0"/>
            <w:vAlign w:val="center"/>
          </w:tcPr>
          <w:p w14:paraId="26DFC7CD">
            <w:pPr>
              <w:jc w:val="center"/>
              <w:outlineLvl w:val="9"/>
              <w:rPr>
                <w:color w:val="auto"/>
                <w:sz w:val="24"/>
                <w:highlight w:val="none"/>
              </w:rPr>
            </w:pPr>
          </w:p>
        </w:tc>
        <w:tc>
          <w:tcPr>
            <w:tcW w:w="2126" w:type="dxa"/>
            <w:noWrap w:val="0"/>
            <w:vAlign w:val="center"/>
          </w:tcPr>
          <w:p w14:paraId="3DA53940">
            <w:pPr>
              <w:jc w:val="center"/>
              <w:outlineLvl w:val="9"/>
              <w:rPr>
                <w:color w:val="auto"/>
                <w:sz w:val="24"/>
                <w:highlight w:val="none"/>
              </w:rPr>
            </w:pPr>
          </w:p>
        </w:tc>
        <w:tc>
          <w:tcPr>
            <w:tcW w:w="1875" w:type="dxa"/>
            <w:noWrap w:val="0"/>
            <w:vAlign w:val="center"/>
          </w:tcPr>
          <w:p w14:paraId="3D5DF2FF">
            <w:pPr>
              <w:jc w:val="center"/>
              <w:outlineLvl w:val="9"/>
              <w:rPr>
                <w:color w:val="auto"/>
                <w:sz w:val="24"/>
                <w:highlight w:val="none"/>
              </w:rPr>
            </w:pPr>
          </w:p>
        </w:tc>
        <w:tc>
          <w:tcPr>
            <w:tcW w:w="1009" w:type="dxa"/>
            <w:noWrap w:val="0"/>
            <w:vAlign w:val="center"/>
          </w:tcPr>
          <w:p w14:paraId="51F43BB2">
            <w:pPr>
              <w:jc w:val="center"/>
              <w:outlineLvl w:val="9"/>
              <w:rPr>
                <w:color w:val="auto"/>
                <w:sz w:val="24"/>
                <w:highlight w:val="none"/>
              </w:rPr>
            </w:pPr>
          </w:p>
        </w:tc>
      </w:tr>
      <w:tr w14:paraId="40297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79FFB89">
            <w:pPr>
              <w:jc w:val="center"/>
              <w:outlineLvl w:val="9"/>
              <w:rPr>
                <w:color w:val="auto"/>
                <w:sz w:val="24"/>
                <w:highlight w:val="none"/>
              </w:rPr>
            </w:pPr>
          </w:p>
        </w:tc>
        <w:tc>
          <w:tcPr>
            <w:tcW w:w="1482" w:type="dxa"/>
            <w:noWrap w:val="0"/>
            <w:vAlign w:val="center"/>
          </w:tcPr>
          <w:p w14:paraId="6D4688D6">
            <w:pPr>
              <w:jc w:val="center"/>
              <w:outlineLvl w:val="9"/>
              <w:rPr>
                <w:color w:val="auto"/>
                <w:sz w:val="24"/>
                <w:highlight w:val="none"/>
              </w:rPr>
            </w:pPr>
          </w:p>
        </w:tc>
        <w:tc>
          <w:tcPr>
            <w:tcW w:w="2384" w:type="dxa"/>
            <w:noWrap w:val="0"/>
            <w:vAlign w:val="center"/>
          </w:tcPr>
          <w:p w14:paraId="63C07B55">
            <w:pPr>
              <w:jc w:val="center"/>
              <w:outlineLvl w:val="9"/>
              <w:rPr>
                <w:color w:val="auto"/>
                <w:sz w:val="24"/>
                <w:highlight w:val="none"/>
              </w:rPr>
            </w:pPr>
          </w:p>
        </w:tc>
        <w:tc>
          <w:tcPr>
            <w:tcW w:w="2126" w:type="dxa"/>
            <w:noWrap w:val="0"/>
            <w:vAlign w:val="center"/>
          </w:tcPr>
          <w:p w14:paraId="41404F6B">
            <w:pPr>
              <w:jc w:val="center"/>
              <w:outlineLvl w:val="9"/>
              <w:rPr>
                <w:color w:val="auto"/>
                <w:sz w:val="24"/>
                <w:highlight w:val="none"/>
              </w:rPr>
            </w:pPr>
          </w:p>
        </w:tc>
        <w:tc>
          <w:tcPr>
            <w:tcW w:w="1875" w:type="dxa"/>
            <w:noWrap w:val="0"/>
            <w:vAlign w:val="center"/>
          </w:tcPr>
          <w:p w14:paraId="46ABACA9">
            <w:pPr>
              <w:jc w:val="center"/>
              <w:outlineLvl w:val="9"/>
              <w:rPr>
                <w:color w:val="auto"/>
                <w:sz w:val="24"/>
                <w:highlight w:val="none"/>
              </w:rPr>
            </w:pPr>
          </w:p>
        </w:tc>
        <w:tc>
          <w:tcPr>
            <w:tcW w:w="1009" w:type="dxa"/>
            <w:noWrap w:val="0"/>
            <w:vAlign w:val="center"/>
          </w:tcPr>
          <w:p w14:paraId="7E211075">
            <w:pPr>
              <w:jc w:val="center"/>
              <w:outlineLvl w:val="9"/>
              <w:rPr>
                <w:color w:val="auto"/>
                <w:sz w:val="24"/>
                <w:highlight w:val="none"/>
              </w:rPr>
            </w:pPr>
          </w:p>
        </w:tc>
      </w:tr>
      <w:tr w14:paraId="44DF4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2F6B455">
            <w:pPr>
              <w:jc w:val="center"/>
              <w:outlineLvl w:val="9"/>
              <w:rPr>
                <w:color w:val="auto"/>
                <w:sz w:val="24"/>
                <w:highlight w:val="none"/>
              </w:rPr>
            </w:pPr>
          </w:p>
        </w:tc>
        <w:tc>
          <w:tcPr>
            <w:tcW w:w="1482" w:type="dxa"/>
            <w:noWrap w:val="0"/>
            <w:vAlign w:val="center"/>
          </w:tcPr>
          <w:p w14:paraId="14DA9FE5">
            <w:pPr>
              <w:jc w:val="center"/>
              <w:outlineLvl w:val="9"/>
              <w:rPr>
                <w:color w:val="auto"/>
                <w:sz w:val="24"/>
                <w:highlight w:val="none"/>
              </w:rPr>
            </w:pPr>
          </w:p>
        </w:tc>
        <w:tc>
          <w:tcPr>
            <w:tcW w:w="2384" w:type="dxa"/>
            <w:noWrap w:val="0"/>
            <w:vAlign w:val="center"/>
          </w:tcPr>
          <w:p w14:paraId="1AC1F958">
            <w:pPr>
              <w:jc w:val="center"/>
              <w:outlineLvl w:val="9"/>
              <w:rPr>
                <w:color w:val="auto"/>
                <w:sz w:val="24"/>
                <w:highlight w:val="none"/>
              </w:rPr>
            </w:pPr>
          </w:p>
        </w:tc>
        <w:tc>
          <w:tcPr>
            <w:tcW w:w="2126" w:type="dxa"/>
            <w:noWrap w:val="0"/>
            <w:vAlign w:val="center"/>
          </w:tcPr>
          <w:p w14:paraId="36C16705">
            <w:pPr>
              <w:jc w:val="center"/>
              <w:outlineLvl w:val="9"/>
              <w:rPr>
                <w:color w:val="auto"/>
                <w:sz w:val="24"/>
                <w:highlight w:val="none"/>
              </w:rPr>
            </w:pPr>
          </w:p>
        </w:tc>
        <w:tc>
          <w:tcPr>
            <w:tcW w:w="1875" w:type="dxa"/>
            <w:noWrap w:val="0"/>
            <w:vAlign w:val="center"/>
          </w:tcPr>
          <w:p w14:paraId="7979F568">
            <w:pPr>
              <w:jc w:val="center"/>
              <w:outlineLvl w:val="9"/>
              <w:rPr>
                <w:color w:val="auto"/>
                <w:sz w:val="24"/>
                <w:highlight w:val="none"/>
              </w:rPr>
            </w:pPr>
          </w:p>
        </w:tc>
        <w:tc>
          <w:tcPr>
            <w:tcW w:w="1009" w:type="dxa"/>
            <w:noWrap w:val="0"/>
            <w:vAlign w:val="center"/>
          </w:tcPr>
          <w:p w14:paraId="5F266707">
            <w:pPr>
              <w:jc w:val="center"/>
              <w:outlineLvl w:val="9"/>
              <w:rPr>
                <w:color w:val="auto"/>
                <w:sz w:val="24"/>
                <w:highlight w:val="none"/>
              </w:rPr>
            </w:pPr>
          </w:p>
        </w:tc>
      </w:tr>
      <w:tr w14:paraId="6343D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3B26E95">
            <w:pPr>
              <w:jc w:val="center"/>
              <w:outlineLvl w:val="9"/>
              <w:rPr>
                <w:color w:val="auto"/>
                <w:sz w:val="24"/>
                <w:highlight w:val="none"/>
              </w:rPr>
            </w:pPr>
          </w:p>
        </w:tc>
        <w:tc>
          <w:tcPr>
            <w:tcW w:w="1482" w:type="dxa"/>
            <w:noWrap w:val="0"/>
            <w:vAlign w:val="center"/>
          </w:tcPr>
          <w:p w14:paraId="29769723">
            <w:pPr>
              <w:jc w:val="center"/>
              <w:outlineLvl w:val="9"/>
              <w:rPr>
                <w:color w:val="auto"/>
                <w:sz w:val="24"/>
                <w:highlight w:val="none"/>
              </w:rPr>
            </w:pPr>
          </w:p>
        </w:tc>
        <w:tc>
          <w:tcPr>
            <w:tcW w:w="2384" w:type="dxa"/>
            <w:noWrap w:val="0"/>
            <w:vAlign w:val="center"/>
          </w:tcPr>
          <w:p w14:paraId="1CE57BD2">
            <w:pPr>
              <w:jc w:val="center"/>
              <w:outlineLvl w:val="9"/>
              <w:rPr>
                <w:color w:val="auto"/>
                <w:sz w:val="24"/>
                <w:highlight w:val="none"/>
              </w:rPr>
            </w:pPr>
          </w:p>
        </w:tc>
        <w:tc>
          <w:tcPr>
            <w:tcW w:w="2126" w:type="dxa"/>
            <w:noWrap w:val="0"/>
            <w:vAlign w:val="center"/>
          </w:tcPr>
          <w:p w14:paraId="027279D3">
            <w:pPr>
              <w:jc w:val="center"/>
              <w:outlineLvl w:val="9"/>
              <w:rPr>
                <w:color w:val="auto"/>
                <w:sz w:val="24"/>
                <w:highlight w:val="none"/>
              </w:rPr>
            </w:pPr>
          </w:p>
        </w:tc>
        <w:tc>
          <w:tcPr>
            <w:tcW w:w="1875" w:type="dxa"/>
            <w:noWrap w:val="0"/>
            <w:vAlign w:val="center"/>
          </w:tcPr>
          <w:p w14:paraId="5FF1BE25">
            <w:pPr>
              <w:jc w:val="center"/>
              <w:outlineLvl w:val="9"/>
              <w:rPr>
                <w:color w:val="auto"/>
                <w:sz w:val="24"/>
                <w:highlight w:val="none"/>
              </w:rPr>
            </w:pPr>
          </w:p>
        </w:tc>
        <w:tc>
          <w:tcPr>
            <w:tcW w:w="1009" w:type="dxa"/>
            <w:noWrap w:val="0"/>
            <w:vAlign w:val="center"/>
          </w:tcPr>
          <w:p w14:paraId="02E962B4">
            <w:pPr>
              <w:jc w:val="center"/>
              <w:outlineLvl w:val="9"/>
              <w:rPr>
                <w:color w:val="auto"/>
                <w:sz w:val="24"/>
                <w:highlight w:val="none"/>
              </w:rPr>
            </w:pPr>
          </w:p>
        </w:tc>
      </w:tr>
      <w:tr w14:paraId="12AE5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7E148E2">
            <w:pPr>
              <w:jc w:val="center"/>
              <w:outlineLvl w:val="9"/>
              <w:rPr>
                <w:color w:val="auto"/>
                <w:sz w:val="24"/>
                <w:highlight w:val="none"/>
              </w:rPr>
            </w:pPr>
          </w:p>
        </w:tc>
        <w:tc>
          <w:tcPr>
            <w:tcW w:w="1482" w:type="dxa"/>
            <w:noWrap w:val="0"/>
            <w:vAlign w:val="center"/>
          </w:tcPr>
          <w:p w14:paraId="18F769B4">
            <w:pPr>
              <w:jc w:val="center"/>
              <w:outlineLvl w:val="9"/>
              <w:rPr>
                <w:color w:val="auto"/>
                <w:sz w:val="24"/>
                <w:highlight w:val="none"/>
              </w:rPr>
            </w:pPr>
          </w:p>
        </w:tc>
        <w:tc>
          <w:tcPr>
            <w:tcW w:w="2384" w:type="dxa"/>
            <w:noWrap w:val="0"/>
            <w:vAlign w:val="center"/>
          </w:tcPr>
          <w:p w14:paraId="1522A624">
            <w:pPr>
              <w:jc w:val="center"/>
              <w:outlineLvl w:val="9"/>
              <w:rPr>
                <w:color w:val="auto"/>
                <w:sz w:val="24"/>
                <w:highlight w:val="none"/>
              </w:rPr>
            </w:pPr>
          </w:p>
        </w:tc>
        <w:tc>
          <w:tcPr>
            <w:tcW w:w="2126" w:type="dxa"/>
            <w:noWrap w:val="0"/>
            <w:vAlign w:val="center"/>
          </w:tcPr>
          <w:p w14:paraId="5A290DFE">
            <w:pPr>
              <w:jc w:val="center"/>
              <w:outlineLvl w:val="9"/>
              <w:rPr>
                <w:color w:val="auto"/>
                <w:sz w:val="24"/>
                <w:highlight w:val="none"/>
              </w:rPr>
            </w:pPr>
          </w:p>
        </w:tc>
        <w:tc>
          <w:tcPr>
            <w:tcW w:w="1875" w:type="dxa"/>
            <w:noWrap w:val="0"/>
            <w:vAlign w:val="center"/>
          </w:tcPr>
          <w:p w14:paraId="34F988D7">
            <w:pPr>
              <w:jc w:val="center"/>
              <w:outlineLvl w:val="9"/>
              <w:rPr>
                <w:color w:val="auto"/>
                <w:sz w:val="24"/>
                <w:highlight w:val="none"/>
              </w:rPr>
            </w:pPr>
          </w:p>
        </w:tc>
        <w:tc>
          <w:tcPr>
            <w:tcW w:w="1009" w:type="dxa"/>
            <w:noWrap w:val="0"/>
            <w:vAlign w:val="center"/>
          </w:tcPr>
          <w:p w14:paraId="611EC81F">
            <w:pPr>
              <w:jc w:val="center"/>
              <w:outlineLvl w:val="9"/>
              <w:rPr>
                <w:color w:val="auto"/>
                <w:sz w:val="24"/>
                <w:highlight w:val="none"/>
              </w:rPr>
            </w:pPr>
          </w:p>
        </w:tc>
      </w:tr>
      <w:tr w14:paraId="1DA39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4549FDA">
            <w:pPr>
              <w:jc w:val="center"/>
              <w:outlineLvl w:val="9"/>
              <w:rPr>
                <w:color w:val="auto"/>
                <w:sz w:val="24"/>
                <w:highlight w:val="none"/>
              </w:rPr>
            </w:pPr>
          </w:p>
        </w:tc>
        <w:tc>
          <w:tcPr>
            <w:tcW w:w="1482" w:type="dxa"/>
            <w:noWrap w:val="0"/>
            <w:vAlign w:val="center"/>
          </w:tcPr>
          <w:p w14:paraId="31490A11">
            <w:pPr>
              <w:jc w:val="center"/>
              <w:outlineLvl w:val="9"/>
              <w:rPr>
                <w:color w:val="auto"/>
                <w:sz w:val="24"/>
                <w:highlight w:val="none"/>
              </w:rPr>
            </w:pPr>
          </w:p>
        </w:tc>
        <w:tc>
          <w:tcPr>
            <w:tcW w:w="2384" w:type="dxa"/>
            <w:noWrap w:val="0"/>
            <w:vAlign w:val="center"/>
          </w:tcPr>
          <w:p w14:paraId="615BC2F4">
            <w:pPr>
              <w:jc w:val="center"/>
              <w:outlineLvl w:val="9"/>
              <w:rPr>
                <w:color w:val="auto"/>
                <w:sz w:val="24"/>
                <w:highlight w:val="none"/>
              </w:rPr>
            </w:pPr>
          </w:p>
        </w:tc>
        <w:tc>
          <w:tcPr>
            <w:tcW w:w="2126" w:type="dxa"/>
            <w:noWrap w:val="0"/>
            <w:vAlign w:val="center"/>
          </w:tcPr>
          <w:p w14:paraId="04A3C2CF">
            <w:pPr>
              <w:jc w:val="center"/>
              <w:outlineLvl w:val="9"/>
              <w:rPr>
                <w:color w:val="auto"/>
                <w:sz w:val="24"/>
                <w:highlight w:val="none"/>
              </w:rPr>
            </w:pPr>
          </w:p>
        </w:tc>
        <w:tc>
          <w:tcPr>
            <w:tcW w:w="1875" w:type="dxa"/>
            <w:noWrap w:val="0"/>
            <w:vAlign w:val="center"/>
          </w:tcPr>
          <w:p w14:paraId="488BFFAA">
            <w:pPr>
              <w:jc w:val="center"/>
              <w:outlineLvl w:val="9"/>
              <w:rPr>
                <w:color w:val="auto"/>
                <w:sz w:val="24"/>
                <w:highlight w:val="none"/>
              </w:rPr>
            </w:pPr>
          </w:p>
        </w:tc>
        <w:tc>
          <w:tcPr>
            <w:tcW w:w="1009" w:type="dxa"/>
            <w:noWrap w:val="0"/>
            <w:vAlign w:val="center"/>
          </w:tcPr>
          <w:p w14:paraId="50A828BB">
            <w:pPr>
              <w:jc w:val="center"/>
              <w:outlineLvl w:val="9"/>
              <w:rPr>
                <w:color w:val="auto"/>
                <w:sz w:val="24"/>
                <w:highlight w:val="none"/>
              </w:rPr>
            </w:pPr>
          </w:p>
        </w:tc>
      </w:tr>
    </w:tbl>
    <w:p w14:paraId="5E456D3E">
      <w:pPr>
        <w:tabs>
          <w:tab w:val="left" w:pos="1800"/>
          <w:tab w:val="left" w:pos="5580"/>
        </w:tabs>
        <w:spacing w:line="360" w:lineRule="auto"/>
        <w:ind w:firstLine="360"/>
        <w:jc w:val="left"/>
        <w:outlineLvl w:val="9"/>
        <w:rPr>
          <w:color w:val="auto"/>
          <w:sz w:val="24"/>
          <w:highlight w:val="none"/>
          <w:u w:val="single"/>
        </w:rPr>
      </w:pPr>
    </w:p>
    <w:p w14:paraId="2D996113">
      <w:pPr>
        <w:tabs>
          <w:tab w:val="left" w:pos="1800"/>
          <w:tab w:val="left" w:pos="5580"/>
        </w:tabs>
        <w:spacing w:line="360" w:lineRule="auto"/>
        <w:ind w:firstLine="360"/>
        <w:jc w:val="left"/>
        <w:outlineLvl w:val="9"/>
        <w:rPr>
          <w:color w:val="auto"/>
          <w:sz w:val="24"/>
          <w:highlight w:val="none"/>
          <w:u w:val="single"/>
        </w:rPr>
      </w:pPr>
    </w:p>
    <w:p w14:paraId="66911B43">
      <w:pPr>
        <w:tabs>
          <w:tab w:val="left" w:pos="1800"/>
          <w:tab w:val="left" w:pos="5580"/>
        </w:tabs>
        <w:jc w:val="left"/>
        <w:outlineLvl w:val="9"/>
        <w:rPr>
          <w:color w:val="auto"/>
          <w:sz w:val="24"/>
          <w:highlight w:val="none"/>
        </w:rPr>
      </w:pPr>
      <w:r>
        <w:rPr>
          <w:color w:val="auto"/>
          <w:sz w:val="24"/>
          <w:highlight w:val="none"/>
        </w:rPr>
        <w:t>注：</w:t>
      </w:r>
    </w:p>
    <w:p w14:paraId="1E6153F0">
      <w:pPr>
        <w:tabs>
          <w:tab w:val="left" w:pos="1800"/>
          <w:tab w:val="left" w:pos="5580"/>
        </w:tabs>
        <w:jc w:val="left"/>
        <w:outlineLvl w:val="9"/>
        <w:rPr>
          <w:color w:val="auto"/>
          <w:sz w:val="24"/>
          <w:highlight w:val="none"/>
        </w:rPr>
      </w:pPr>
      <w:r>
        <w:rPr>
          <w:rFonts w:hint="eastAsia"/>
          <w:color w:val="auto"/>
          <w:sz w:val="24"/>
          <w:highlight w:val="none"/>
        </w:rPr>
        <w:t>1.</w:t>
      </w:r>
      <w:r>
        <w:rPr>
          <w:color w:val="auto"/>
          <w:sz w:val="24"/>
          <w:highlight w:val="none"/>
        </w:rPr>
        <w:t xml:space="preserve"> 对磋商文件中的所有商务、技术要求，除本表所列明的所有偏离外，均视作供应商已对之理解和</w:t>
      </w:r>
      <w:r>
        <w:rPr>
          <w:rFonts w:hint="eastAsia"/>
          <w:color w:val="auto"/>
          <w:sz w:val="24"/>
          <w:highlight w:val="none"/>
        </w:rPr>
        <w:t>响应</w:t>
      </w:r>
      <w:r>
        <w:rPr>
          <w:color w:val="auto"/>
          <w:sz w:val="24"/>
          <w:highlight w:val="none"/>
        </w:rPr>
        <w:t>。此表中若无任何文字说明，内容为空白，则</w:t>
      </w:r>
      <w:r>
        <w:rPr>
          <w:b/>
          <w:color w:val="auto"/>
          <w:sz w:val="24"/>
          <w:highlight w:val="none"/>
        </w:rPr>
        <w:t>响应无效</w:t>
      </w:r>
      <w:r>
        <w:rPr>
          <w:color w:val="auto"/>
          <w:sz w:val="24"/>
          <w:highlight w:val="none"/>
        </w:rPr>
        <w:t>。</w:t>
      </w:r>
    </w:p>
    <w:p w14:paraId="7F8E9F85">
      <w:pPr>
        <w:tabs>
          <w:tab w:val="left" w:pos="1800"/>
          <w:tab w:val="left" w:pos="5580"/>
        </w:tabs>
        <w:jc w:val="left"/>
        <w:outlineLvl w:val="9"/>
        <w:rPr>
          <w:color w:val="auto"/>
          <w:sz w:val="24"/>
          <w:highlight w:val="none"/>
        </w:rPr>
      </w:pPr>
      <w:r>
        <w:rPr>
          <w:color w:val="auto"/>
          <w:sz w:val="24"/>
          <w:highlight w:val="none"/>
        </w:rPr>
        <w:t>2.</w:t>
      </w:r>
      <w:r>
        <w:rPr>
          <w:rFonts w:hint="eastAsia"/>
          <w:color w:val="auto"/>
          <w:sz w:val="24"/>
          <w:highlight w:val="none"/>
        </w:rPr>
        <w:t>“偏离情况”列应据实填写“正偏离”或“负偏离”。</w:t>
      </w:r>
    </w:p>
    <w:p w14:paraId="4DA2FD6D">
      <w:pPr>
        <w:tabs>
          <w:tab w:val="left" w:pos="1800"/>
          <w:tab w:val="left" w:pos="5580"/>
        </w:tabs>
        <w:jc w:val="left"/>
        <w:outlineLvl w:val="9"/>
        <w:rPr>
          <w:color w:val="auto"/>
          <w:sz w:val="24"/>
          <w:highlight w:val="none"/>
        </w:rPr>
      </w:pPr>
    </w:p>
    <w:p w14:paraId="7924D4E2">
      <w:pPr>
        <w:outlineLvl w:val="9"/>
        <w:rPr>
          <w:color w:val="auto"/>
          <w:sz w:val="24"/>
          <w:szCs w:val="20"/>
          <w:highlight w:val="none"/>
        </w:rPr>
      </w:pPr>
    </w:p>
    <w:p w14:paraId="08E24861">
      <w:pPr>
        <w:spacing w:before="25" w:after="25" w:line="360" w:lineRule="auto"/>
        <w:outlineLvl w:val="9"/>
        <w:rPr>
          <w:color w:val="auto"/>
          <w:sz w:val="24"/>
          <w:highlight w:val="none"/>
          <w:lang w:val="zh-CN"/>
        </w:rPr>
      </w:pPr>
      <w:r>
        <w:rPr>
          <w:color w:val="auto"/>
          <w:sz w:val="24"/>
          <w:highlight w:val="none"/>
          <w:lang w:val="zh-CN"/>
        </w:rPr>
        <w:t xml:space="preserve">                  </w:t>
      </w:r>
    </w:p>
    <w:p w14:paraId="668A0D67">
      <w:pPr>
        <w:spacing w:before="25" w:after="25" w:line="360" w:lineRule="auto"/>
        <w:outlineLvl w:val="9"/>
        <w:rPr>
          <w:color w:val="auto"/>
          <w:sz w:val="24"/>
          <w:highlight w:val="none"/>
          <w:lang w:val="zh-CN"/>
        </w:rPr>
      </w:pPr>
      <w:r>
        <w:rPr>
          <w:color w:val="auto"/>
          <w:sz w:val="24"/>
          <w:highlight w:val="none"/>
        </w:rPr>
        <w:t>供应商名称（加盖公章）</w:t>
      </w:r>
      <w:r>
        <w:rPr>
          <w:color w:val="auto"/>
          <w:sz w:val="24"/>
          <w:highlight w:val="none"/>
          <w:lang w:val="zh-CN"/>
        </w:rPr>
        <w:t>：    ____________</w:t>
      </w:r>
    </w:p>
    <w:p w14:paraId="6793382F">
      <w:pPr>
        <w:spacing w:before="25" w:after="25" w:line="360" w:lineRule="auto"/>
        <w:outlineLvl w:val="9"/>
        <w:rPr>
          <w:color w:val="auto"/>
          <w:sz w:val="24"/>
          <w:highlight w:val="none"/>
          <w:lang w:val="zh-CN"/>
        </w:rPr>
      </w:pPr>
      <w:r>
        <w:rPr>
          <w:color w:val="auto"/>
          <w:sz w:val="24"/>
          <w:szCs w:val="20"/>
          <w:highlight w:val="none"/>
        </w:rPr>
        <w:t xml:space="preserve">日期：_____年______月______日   </w:t>
      </w:r>
    </w:p>
    <w:p w14:paraId="5F3C0BD2">
      <w:pPr>
        <w:outlineLvl w:val="9"/>
        <w:rPr>
          <w:color w:val="auto"/>
          <w:sz w:val="24"/>
          <w:szCs w:val="20"/>
          <w:highlight w:val="none"/>
        </w:rPr>
      </w:pPr>
      <w:r>
        <w:rPr>
          <w:color w:val="auto"/>
          <w:sz w:val="24"/>
          <w:szCs w:val="20"/>
          <w:highlight w:val="none"/>
        </w:rPr>
        <w:br w:type="page" w:clear="all"/>
      </w:r>
      <w:r>
        <w:rPr>
          <w:rFonts w:hint="eastAsia"/>
          <w:color w:val="auto"/>
          <w:sz w:val="24"/>
          <w:szCs w:val="20"/>
          <w:highlight w:val="none"/>
          <w:lang w:val="en-US" w:eastAsia="zh-CN"/>
        </w:rPr>
        <w:t>11</w:t>
      </w:r>
      <w:r>
        <w:rPr>
          <w:color w:val="auto"/>
          <w:sz w:val="24"/>
          <w:szCs w:val="20"/>
          <w:highlight w:val="none"/>
        </w:rPr>
        <w:t xml:space="preserve">  </w:t>
      </w:r>
      <w:r>
        <w:rPr>
          <w:rFonts w:hint="eastAsia"/>
          <w:color w:val="auto"/>
          <w:sz w:val="24"/>
          <w:szCs w:val="20"/>
          <w:highlight w:val="none"/>
        </w:rPr>
        <w:t>项目实施方案等，包括但不限于如下主题：</w:t>
      </w:r>
    </w:p>
    <w:p w14:paraId="79ECBFE2">
      <w:pPr>
        <w:spacing w:line="560" w:lineRule="exact"/>
        <w:ind w:firstLine="480"/>
        <w:rPr>
          <w:rFonts w:hint="eastAsia" w:ascii="宋体" w:hAnsi="宋体" w:cs="宋体"/>
          <w:color w:val="auto"/>
          <w:sz w:val="24"/>
          <w:szCs w:val="20"/>
        </w:rPr>
      </w:pPr>
      <w:r>
        <w:rPr>
          <w:rFonts w:hint="eastAsia" w:ascii="宋体" w:hAnsi="宋体" w:cs="宋体"/>
          <w:color w:val="auto"/>
          <w:sz w:val="24"/>
          <w:szCs w:val="20"/>
        </w:rPr>
        <w:t>1）常态化值守方案</w:t>
      </w:r>
    </w:p>
    <w:p w14:paraId="4535AE50">
      <w:pPr>
        <w:spacing w:line="560" w:lineRule="exact"/>
        <w:ind w:firstLine="480"/>
        <w:rPr>
          <w:rFonts w:hint="eastAsia" w:ascii="宋体" w:hAnsi="宋体" w:cs="宋体"/>
          <w:color w:val="auto"/>
          <w:sz w:val="24"/>
          <w:szCs w:val="20"/>
        </w:rPr>
      </w:pPr>
      <w:r>
        <w:rPr>
          <w:rFonts w:hint="eastAsia" w:ascii="宋体" w:hAnsi="宋体" w:cs="宋体"/>
          <w:color w:val="auto"/>
          <w:sz w:val="24"/>
          <w:szCs w:val="20"/>
          <w:lang w:val="en-US" w:eastAsia="zh-CN"/>
        </w:rPr>
        <w:t>2</w:t>
      </w:r>
      <w:r>
        <w:rPr>
          <w:rFonts w:hint="eastAsia" w:ascii="宋体" w:hAnsi="宋体" w:cs="宋体"/>
          <w:color w:val="auto"/>
          <w:sz w:val="24"/>
          <w:szCs w:val="20"/>
        </w:rPr>
        <w:t>）污染分析方案</w:t>
      </w:r>
    </w:p>
    <w:p w14:paraId="47EE2142">
      <w:pPr>
        <w:spacing w:line="560" w:lineRule="exact"/>
        <w:ind w:firstLine="480"/>
        <w:rPr>
          <w:rFonts w:hint="eastAsia" w:ascii="宋体" w:hAnsi="宋体" w:cs="宋体"/>
          <w:color w:val="auto"/>
          <w:sz w:val="24"/>
          <w:szCs w:val="20"/>
        </w:rPr>
      </w:pPr>
      <w:r>
        <w:rPr>
          <w:rFonts w:hint="eastAsia" w:ascii="宋体" w:hAnsi="宋体" w:cs="宋体"/>
          <w:color w:val="auto"/>
          <w:sz w:val="24"/>
          <w:szCs w:val="20"/>
          <w:lang w:val="en-US" w:eastAsia="zh-CN"/>
        </w:rPr>
        <w:t>3</w:t>
      </w:r>
      <w:r>
        <w:rPr>
          <w:rFonts w:hint="eastAsia" w:ascii="宋体" w:hAnsi="宋体" w:cs="宋体"/>
          <w:color w:val="auto"/>
          <w:sz w:val="24"/>
          <w:szCs w:val="20"/>
        </w:rPr>
        <w:t>）后勤保障方案</w:t>
      </w:r>
    </w:p>
    <w:p w14:paraId="07706651">
      <w:pPr>
        <w:spacing w:line="560" w:lineRule="exact"/>
        <w:ind w:firstLine="480"/>
        <w:rPr>
          <w:rFonts w:hint="eastAsia" w:ascii="宋体" w:hAnsi="宋体" w:cs="宋体"/>
          <w:color w:val="auto"/>
          <w:sz w:val="24"/>
          <w:szCs w:val="20"/>
        </w:rPr>
      </w:pPr>
      <w:r>
        <w:rPr>
          <w:rFonts w:hint="eastAsia" w:ascii="宋体" w:hAnsi="宋体" w:cs="宋体"/>
          <w:color w:val="auto"/>
          <w:sz w:val="24"/>
          <w:szCs w:val="20"/>
          <w:lang w:val="en-US" w:eastAsia="zh-CN"/>
        </w:rPr>
        <w:t>4</w:t>
      </w:r>
      <w:r>
        <w:rPr>
          <w:rFonts w:hint="eastAsia" w:ascii="宋体" w:hAnsi="宋体" w:cs="宋体"/>
          <w:color w:val="auto"/>
          <w:sz w:val="24"/>
          <w:szCs w:val="20"/>
        </w:rPr>
        <w:t>）工作质量与效率保证方案</w:t>
      </w:r>
    </w:p>
    <w:p w14:paraId="2211807A">
      <w:pPr>
        <w:spacing w:line="560" w:lineRule="exact"/>
        <w:ind w:firstLine="480"/>
        <w:rPr>
          <w:rFonts w:hint="eastAsia"/>
          <w:color w:val="auto"/>
          <w:sz w:val="24"/>
          <w:szCs w:val="20"/>
          <w:highlight w:val="none"/>
        </w:rPr>
      </w:pPr>
      <w:r>
        <w:rPr>
          <w:rFonts w:hint="eastAsia" w:ascii="宋体" w:hAnsi="宋体" w:cs="宋体"/>
          <w:color w:val="auto"/>
          <w:sz w:val="24"/>
          <w:szCs w:val="20"/>
          <w:lang w:val="en-US" w:eastAsia="zh-CN"/>
        </w:rPr>
        <w:t>5</w:t>
      </w:r>
      <w:r>
        <w:rPr>
          <w:rFonts w:hint="eastAsia" w:ascii="宋体" w:hAnsi="宋体" w:cs="宋体"/>
          <w:color w:val="auto"/>
          <w:sz w:val="24"/>
          <w:szCs w:val="20"/>
        </w:rPr>
        <w:t>）后续服务</w:t>
      </w:r>
    </w:p>
    <w:p w14:paraId="7F2F8567">
      <w:pPr>
        <w:spacing w:line="560" w:lineRule="exact"/>
        <w:ind w:firstLine="480"/>
        <w:outlineLvl w:val="9"/>
        <w:rPr>
          <w:color w:val="auto"/>
          <w:sz w:val="24"/>
          <w:szCs w:val="20"/>
          <w:highlight w:val="none"/>
        </w:rPr>
      </w:pPr>
      <w:r>
        <w:rPr>
          <w:rFonts w:hint="eastAsia"/>
          <w:color w:val="auto"/>
          <w:sz w:val="24"/>
          <w:szCs w:val="20"/>
          <w:highlight w:val="none"/>
        </w:rPr>
        <w:br w:type="page" w:clear="all"/>
      </w:r>
      <w:r>
        <w:rPr>
          <w:rFonts w:hint="eastAsia"/>
          <w:color w:val="auto"/>
          <w:sz w:val="24"/>
          <w:szCs w:val="20"/>
          <w:highlight w:val="none"/>
        </w:rPr>
        <w:t>1</w:t>
      </w:r>
      <w:r>
        <w:rPr>
          <w:rFonts w:hint="eastAsia"/>
          <w:color w:val="auto"/>
          <w:sz w:val="24"/>
          <w:szCs w:val="20"/>
          <w:highlight w:val="none"/>
          <w:lang w:val="en-US" w:eastAsia="zh-CN"/>
        </w:rPr>
        <w:t>2</w:t>
      </w:r>
      <w:r>
        <w:rPr>
          <w:rFonts w:hint="eastAsia"/>
          <w:color w:val="auto"/>
          <w:sz w:val="24"/>
          <w:szCs w:val="20"/>
          <w:highlight w:val="none"/>
        </w:rPr>
        <w:t xml:space="preserve">  参加本项目人员一览表</w:t>
      </w:r>
    </w:p>
    <w:p w14:paraId="747FAFB8">
      <w:pPr>
        <w:spacing w:line="360" w:lineRule="auto"/>
        <w:jc w:val="center"/>
        <w:outlineLvl w:val="9"/>
        <w:rPr>
          <w:rFonts w:hint="eastAsia" w:ascii="宋体" w:hAnsi="宋体"/>
          <w:b/>
          <w:color w:val="auto"/>
          <w:sz w:val="32"/>
          <w:szCs w:val="32"/>
          <w:highlight w:val="none"/>
        </w:rPr>
      </w:pPr>
    </w:p>
    <w:p w14:paraId="40D2DC9C">
      <w:pPr>
        <w:spacing w:line="360" w:lineRule="auto"/>
        <w:jc w:val="center"/>
        <w:outlineLvl w:val="9"/>
        <w:rPr>
          <w:rFonts w:ascii="宋体" w:hAnsi="宋体"/>
          <w:b/>
          <w:color w:val="auto"/>
          <w:sz w:val="32"/>
          <w:szCs w:val="32"/>
          <w:highlight w:val="none"/>
        </w:rPr>
      </w:pPr>
      <w:r>
        <w:rPr>
          <w:rFonts w:hint="eastAsia" w:ascii="宋体" w:hAnsi="宋体"/>
          <w:b/>
          <w:color w:val="auto"/>
          <w:sz w:val="32"/>
          <w:szCs w:val="32"/>
          <w:highlight w:val="none"/>
        </w:rPr>
        <w:t>参加本项目人员一览表</w:t>
      </w:r>
    </w:p>
    <w:p w14:paraId="35A33C75">
      <w:pPr>
        <w:spacing w:line="360" w:lineRule="auto"/>
        <w:outlineLvl w:val="9"/>
        <w:rPr>
          <w:rFonts w:ascii="宋体" w:hAnsi="宋体"/>
          <w:color w:val="auto"/>
          <w:sz w:val="22"/>
          <w:highlight w:val="none"/>
        </w:rPr>
      </w:pPr>
    </w:p>
    <w:p w14:paraId="2C8525CF">
      <w:pPr>
        <w:spacing w:line="360" w:lineRule="auto"/>
        <w:outlineLvl w:val="9"/>
        <w:rPr>
          <w:rFonts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tbl>
      <w:tblPr>
        <w:tblStyle w:val="36"/>
        <w:tblW w:w="0" w:type="auto"/>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945"/>
        <w:gridCol w:w="945"/>
        <w:gridCol w:w="945"/>
        <w:gridCol w:w="945"/>
        <w:gridCol w:w="945"/>
        <w:gridCol w:w="945"/>
        <w:gridCol w:w="945"/>
        <w:gridCol w:w="945"/>
        <w:gridCol w:w="945"/>
      </w:tblGrid>
      <w:tr w14:paraId="5E00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noWrap w:val="0"/>
            <w:vAlign w:val="center"/>
          </w:tcPr>
          <w:p w14:paraId="08BC9DE9">
            <w:pPr>
              <w:tabs>
                <w:tab w:val="left" w:pos="9765"/>
              </w:tabs>
              <w:spacing w:line="360" w:lineRule="auto"/>
              <w:jc w:val="center"/>
              <w:outlineLvl w:val="9"/>
              <w:rPr>
                <w:rFonts w:ascii="宋体" w:hAnsi="宋体" w:cs="宋体"/>
                <w:color w:val="auto"/>
                <w:sz w:val="24"/>
                <w:highlight w:val="none"/>
              </w:rPr>
            </w:pPr>
            <w:r>
              <w:rPr>
                <w:rFonts w:hint="eastAsia" w:ascii="宋体" w:hAnsi="宋体" w:cs="宋体"/>
                <w:color w:val="auto"/>
                <w:sz w:val="24"/>
                <w:highlight w:val="none"/>
              </w:rPr>
              <w:t>序号</w:t>
            </w:r>
          </w:p>
        </w:tc>
        <w:tc>
          <w:tcPr>
            <w:tcW w:w="945" w:type="dxa"/>
            <w:noWrap w:val="0"/>
            <w:vAlign w:val="center"/>
          </w:tcPr>
          <w:p w14:paraId="0B708739">
            <w:pPr>
              <w:tabs>
                <w:tab w:val="left" w:pos="9765"/>
              </w:tabs>
              <w:spacing w:line="360" w:lineRule="auto"/>
              <w:jc w:val="center"/>
              <w:outlineLvl w:val="9"/>
              <w:rPr>
                <w:rFonts w:ascii="宋体" w:hAnsi="宋体" w:cs="宋体"/>
                <w:color w:val="auto"/>
                <w:sz w:val="24"/>
                <w:highlight w:val="none"/>
              </w:rPr>
            </w:pPr>
            <w:r>
              <w:rPr>
                <w:rFonts w:hint="eastAsia" w:ascii="宋体" w:hAnsi="宋体" w:cs="宋体"/>
                <w:color w:val="auto"/>
                <w:sz w:val="24"/>
                <w:highlight w:val="none"/>
              </w:rPr>
              <w:t>姓名</w:t>
            </w:r>
          </w:p>
        </w:tc>
        <w:tc>
          <w:tcPr>
            <w:tcW w:w="945" w:type="dxa"/>
            <w:noWrap w:val="0"/>
            <w:vAlign w:val="center"/>
          </w:tcPr>
          <w:p w14:paraId="6BFE342B">
            <w:pPr>
              <w:tabs>
                <w:tab w:val="left" w:pos="9765"/>
              </w:tabs>
              <w:spacing w:line="360" w:lineRule="auto"/>
              <w:jc w:val="center"/>
              <w:outlineLvl w:val="9"/>
              <w:rPr>
                <w:rFonts w:ascii="宋体" w:hAnsi="宋体" w:cs="宋体"/>
                <w:color w:val="auto"/>
                <w:sz w:val="24"/>
                <w:highlight w:val="none"/>
              </w:rPr>
            </w:pPr>
            <w:r>
              <w:rPr>
                <w:rFonts w:hint="eastAsia" w:ascii="宋体" w:hAnsi="宋体" w:cs="宋体"/>
                <w:color w:val="auto"/>
                <w:sz w:val="24"/>
                <w:highlight w:val="none"/>
              </w:rPr>
              <w:t>性别</w:t>
            </w:r>
          </w:p>
        </w:tc>
        <w:tc>
          <w:tcPr>
            <w:tcW w:w="945" w:type="dxa"/>
            <w:noWrap w:val="0"/>
            <w:vAlign w:val="center"/>
          </w:tcPr>
          <w:p w14:paraId="3045E68E">
            <w:pPr>
              <w:tabs>
                <w:tab w:val="left" w:pos="9765"/>
              </w:tabs>
              <w:spacing w:line="360" w:lineRule="auto"/>
              <w:jc w:val="center"/>
              <w:outlineLvl w:val="9"/>
              <w:rPr>
                <w:rFonts w:ascii="宋体" w:hAnsi="宋体" w:cs="宋体"/>
                <w:color w:val="auto"/>
                <w:sz w:val="24"/>
                <w:highlight w:val="none"/>
              </w:rPr>
            </w:pPr>
            <w:r>
              <w:rPr>
                <w:rFonts w:hint="eastAsia" w:ascii="宋体" w:hAnsi="宋体" w:cs="宋体"/>
                <w:color w:val="auto"/>
                <w:sz w:val="24"/>
                <w:highlight w:val="none"/>
              </w:rPr>
              <w:t>年龄</w:t>
            </w:r>
          </w:p>
        </w:tc>
        <w:tc>
          <w:tcPr>
            <w:tcW w:w="945" w:type="dxa"/>
            <w:noWrap w:val="0"/>
            <w:vAlign w:val="center"/>
          </w:tcPr>
          <w:p w14:paraId="484FD0BC">
            <w:pPr>
              <w:tabs>
                <w:tab w:val="left" w:pos="9765"/>
              </w:tabs>
              <w:spacing w:line="360" w:lineRule="auto"/>
              <w:jc w:val="center"/>
              <w:outlineLvl w:val="9"/>
              <w:rPr>
                <w:rFonts w:ascii="宋体" w:hAnsi="宋体" w:cs="宋体"/>
                <w:color w:val="auto"/>
                <w:sz w:val="24"/>
                <w:highlight w:val="none"/>
              </w:rPr>
            </w:pPr>
            <w:r>
              <w:rPr>
                <w:rFonts w:hint="eastAsia" w:ascii="宋体" w:hAnsi="宋体" w:cs="宋体"/>
                <w:color w:val="auto"/>
                <w:sz w:val="24"/>
                <w:highlight w:val="none"/>
              </w:rPr>
              <w:t>毕业学校和学历</w:t>
            </w:r>
          </w:p>
        </w:tc>
        <w:tc>
          <w:tcPr>
            <w:tcW w:w="945" w:type="dxa"/>
            <w:noWrap w:val="0"/>
            <w:vAlign w:val="center"/>
          </w:tcPr>
          <w:p w14:paraId="7CB72485">
            <w:pPr>
              <w:tabs>
                <w:tab w:val="left" w:pos="9765"/>
              </w:tabs>
              <w:spacing w:line="360" w:lineRule="auto"/>
              <w:jc w:val="center"/>
              <w:outlineLvl w:val="9"/>
              <w:rPr>
                <w:rFonts w:ascii="宋体" w:hAnsi="宋体" w:cs="宋体"/>
                <w:color w:val="auto"/>
                <w:sz w:val="24"/>
                <w:highlight w:val="none"/>
              </w:rPr>
            </w:pPr>
            <w:r>
              <w:rPr>
                <w:rFonts w:hint="eastAsia" w:ascii="宋体" w:hAnsi="宋体" w:cs="宋体"/>
                <w:color w:val="auto"/>
                <w:sz w:val="24"/>
                <w:highlight w:val="none"/>
              </w:rPr>
              <w:t>专业</w:t>
            </w:r>
          </w:p>
        </w:tc>
        <w:tc>
          <w:tcPr>
            <w:tcW w:w="945" w:type="dxa"/>
            <w:noWrap w:val="0"/>
            <w:vAlign w:val="center"/>
          </w:tcPr>
          <w:p w14:paraId="7F4A4AA1">
            <w:pPr>
              <w:tabs>
                <w:tab w:val="left" w:pos="9765"/>
              </w:tabs>
              <w:spacing w:line="360" w:lineRule="auto"/>
              <w:jc w:val="center"/>
              <w:outlineLvl w:val="9"/>
              <w:rPr>
                <w:rFonts w:ascii="宋体" w:hAnsi="宋体" w:cs="宋体"/>
                <w:color w:val="auto"/>
                <w:sz w:val="24"/>
                <w:highlight w:val="none"/>
              </w:rPr>
            </w:pPr>
            <w:r>
              <w:rPr>
                <w:rFonts w:hint="eastAsia" w:ascii="宋体" w:hAnsi="宋体" w:cs="宋体"/>
                <w:color w:val="auto"/>
                <w:sz w:val="24"/>
                <w:highlight w:val="none"/>
              </w:rPr>
              <w:t>职称</w:t>
            </w:r>
          </w:p>
        </w:tc>
        <w:tc>
          <w:tcPr>
            <w:tcW w:w="945" w:type="dxa"/>
            <w:noWrap w:val="0"/>
            <w:vAlign w:val="center"/>
          </w:tcPr>
          <w:p w14:paraId="3AC4D539">
            <w:pPr>
              <w:tabs>
                <w:tab w:val="left" w:pos="9765"/>
              </w:tabs>
              <w:spacing w:line="360" w:lineRule="auto"/>
              <w:jc w:val="center"/>
              <w:outlineLvl w:val="9"/>
              <w:rPr>
                <w:rFonts w:ascii="宋体" w:hAnsi="宋体" w:cs="宋体"/>
                <w:color w:val="auto"/>
                <w:sz w:val="24"/>
                <w:highlight w:val="none"/>
              </w:rPr>
            </w:pPr>
            <w:r>
              <w:rPr>
                <w:rFonts w:hint="eastAsia" w:ascii="宋体" w:hAnsi="宋体" w:cs="宋体"/>
                <w:color w:val="auto"/>
                <w:sz w:val="24"/>
                <w:highlight w:val="none"/>
              </w:rPr>
              <w:t>专业培训及证书</w:t>
            </w:r>
          </w:p>
        </w:tc>
        <w:tc>
          <w:tcPr>
            <w:tcW w:w="945" w:type="dxa"/>
            <w:noWrap w:val="0"/>
            <w:vAlign w:val="center"/>
          </w:tcPr>
          <w:p w14:paraId="799606AB">
            <w:pPr>
              <w:tabs>
                <w:tab w:val="left" w:pos="9765"/>
              </w:tabs>
              <w:spacing w:line="360" w:lineRule="auto"/>
              <w:jc w:val="center"/>
              <w:outlineLvl w:val="9"/>
              <w:rPr>
                <w:rFonts w:ascii="宋体" w:hAnsi="宋体" w:cs="宋体"/>
                <w:color w:val="auto"/>
                <w:sz w:val="24"/>
                <w:highlight w:val="none"/>
              </w:rPr>
            </w:pPr>
            <w:r>
              <w:rPr>
                <w:rFonts w:hint="eastAsia" w:ascii="宋体" w:hAnsi="宋体" w:cs="宋体"/>
                <w:color w:val="auto"/>
                <w:sz w:val="24"/>
                <w:highlight w:val="none"/>
              </w:rPr>
              <w:t>责任</w:t>
            </w:r>
          </w:p>
          <w:p w14:paraId="115F0608">
            <w:pPr>
              <w:tabs>
                <w:tab w:val="left" w:pos="9765"/>
              </w:tabs>
              <w:spacing w:line="360" w:lineRule="auto"/>
              <w:jc w:val="center"/>
              <w:outlineLvl w:val="9"/>
              <w:rPr>
                <w:rFonts w:ascii="宋体" w:hAnsi="宋体" w:cs="宋体"/>
                <w:color w:val="auto"/>
                <w:sz w:val="24"/>
                <w:highlight w:val="none"/>
              </w:rPr>
            </w:pPr>
            <w:r>
              <w:rPr>
                <w:rFonts w:hint="eastAsia" w:ascii="宋体" w:hAnsi="宋体" w:cs="宋体"/>
                <w:color w:val="auto"/>
                <w:sz w:val="24"/>
                <w:highlight w:val="none"/>
              </w:rPr>
              <w:t>或分工</w:t>
            </w:r>
          </w:p>
        </w:tc>
        <w:tc>
          <w:tcPr>
            <w:tcW w:w="945" w:type="dxa"/>
            <w:noWrap w:val="0"/>
            <w:vAlign w:val="center"/>
          </w:tcPr>
          <w:p w14:paraId="31309C52">
            <w:pPr>
              <w:tabs>
                <w:tab w:val="left" w:pos="9765"/>
              </w:tabs>
              <w:spacing w:line="360" w:lineRule="auto"/>
              <w:jc w:val="center"/>
              <w:outlineLvl w:val="9"/>
              <w:rPr>
                <w:rFonts w:ascii="宋体" w:hAnsi="宋体" w:cs="宋体"/>
                <w:color w:val="auto"/>
                <w:sz w:val="24"/>
                <w:highlight w:val="none"/>
              </w:rPr>
            </w:pPr>
            <w:r>
              <w:rPr>
                <w:rFonts w:hint="eastAsia" w:ascii="宋体" w:hAnsi="宋体" w:cs="宋体"/>
                <w:color w:val="auto"/>
                <w:sz w:val="24"/>
                <w:highlight w:val="none"/>
              </w:rPr>
              <w:t>项目经历或主要工作</w:t>
            </w:r>
          </w:p>
          <w:p w14:paraId="2E2DAB3E">
            <w:pPr>
              <w:tabs>
                <w:tab w:val="left" w:pos="9765"/>
              </w:tabs>
              <w:spacing w:line="360" w:lineRule="auto"/>
              <w:jc w:val="center"/>
              <w:outlineLvl w:val="9"/>
              <w:rPr>
                <w:rFonts w:ascii="宋体" w:hAnsi="宋体" w:cs="宋体"/>
                <w:color w:val="auto"/>
                <w:sz w:val="24"/>
                <w:highlight w:val="none"/>
              </w:rPr>
            </w:pPr>
            <w:r>
              <w:rPr>
                <w:rFonts w:hint="eastAsia" w:ascii="宋体" w:hAnsi="宋体" w:cs="宋体"/>
                <w:color w:val="auto"/>
                <w:sz w:val="24"/>
                <w:highlight w:val="none"/>
              </w:rPr>
              <w:t>业绩</w:t>
            </w:r>
          </w:p>
        </w:tc>
      </w:tr>
      <w:tr w14:paraId="6D91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noWrap w:val="0"/>
            <w:vAlign w:val="top"/>
          </w:tcPr>
          <w:p w14:paraId="35D9090E">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37087EA8">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329F70D9">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3C4C2FDB">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5FCF7F28">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4F3206FE">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4E7058B8">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204094EA">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6F98E1A8">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0A5E19C4">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r>
      <w:tr w14:paraId="67BB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noWrap w:val="0"/>
            <w:vAlign w:val="top"/>
          </w:tcPr>
          <w:p w14:paraId="1CAD518A">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0414B0A7">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28F24BEB">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24B6E475">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3484F336">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46A4351E">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07633BE9">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44F3FE1E">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00A0015C">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43D94865">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r>
      <w:tr w14:paraId="7483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noWrap w:val="0"/>
            <w:vAlign w:val="top"/>
          </w:tcPr>
          <w:p w14:paraId="4BEB3486">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15F559FC">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11452D78">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2F559612">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3E87EA5C">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61E9BBA5">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5D3E06C4">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430F9A7B">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5479B300">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165F023C">
            <w:pPr>
              <w:tabs>
                <w:tab w:val="left" w:pos="9765"/>
              </w:tabs>
              <w:spacing w:line="360" w:lineRule="auto"/>
              <w:outlineLvl w:val="9"/>
              <w:rPr>
                <w:rFonts w:ascii="宋体" w:hAnsi="宋体" w:cs="宋体"/>
                <w:color w:val="auto"/>
                <w:sz w:val="24"/>
                <w:highlight w:val="none"/>
              </w:rPr>
            </w:pPr>
          </w:p>
        </w:tc>
      </w:tr>
      <w:tr w14:paraId="616F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noWrap w:val="0"/>
            <w:vAlign w:val="top"/>
          </w:tcPr>
          <w:p w14:paraId="20A180E0">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71A45AA3">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666CEC59">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454F6C81">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27E3B8BE">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36AC8F1E">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7828F836">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3D958FC7">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3DB16F3B">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212E8A6F">
            <w:pPr>
              <w:tabs>
                <w:tab w:val="left" w:pos="9765"/>
              </w:tabs>
              <w:spacing w:line="360" w:lineRule="auto"/>
              <w:outlineLvl w:val="9"/>
              <w:rPr>
                <w:rFonts w:ascii="宋体" w:hAnsi="宋体" w:cs="宋体"/>
                <w:color w:val="auto"/>
                <w:sz w:val="24"/>
                <w:highlight w:val="none"/>
              </w:rPr>
            </w:pPr>
          </w:p>
        </w:tc>
      </w:tr>
      <w:tr w14:paraId="506A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noWrap w:val="0"/>
            <w:vAlign w:val="top"/>
          </w:tcPr>
          <w:p w14:paraId="65680AA6">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4C50AC01">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667D918F">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5F0E7845">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00AD95DF">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1E0E412D">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13FC9A7E">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56610DC0">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0F1EC499">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76706E3B">
            <w:pPr>
              <w:tabs>
                <w:tab w:val="left" w:pos="9765"/>
              </w:tabs>
              <w:spacing w:line="360" w:lineRule="auto"/>
              <w:outlineLvl w:val="9"/>
              <w:rPr>
                <w:rFonts w:ascii="宋体" w:hAnsi="宋体" w:cs="宋体"/>
                <w:color w:val="auto"/>
                <w:sz w:val="24"/>
                <w:highlight w:val="none"/>
              </w:rPr>
            </w:pPr>
          </w:p>
        </w:tc>
      </w:tr>
      <w:tr w14:paraId="69E7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noWrap w:val="0"/>
            <w:vAlign w:val="top"/>
          </w:tcPr>
          <w:p w14:paraId="7FE820BD">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28FC057E">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1CC46DD9">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28727BAC">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72FBF719">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6E79513A">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389FCB94">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57113A6C">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64C09F7F">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30D7F3D1">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r>
    </w:tbl>
    <w:p w14:paraId="6AFEC38C">
      <w:pPr>
        <w:tabs>
          <w:tab w:val="left" w:pos="9765"/>
        </w:tabs>
        <w:outlineLvl w:val="9"/>
        <w:rPr>
          <w:rFonts w:ascii="宋体" w:hAnsi="宋体" w:cs="宋体"/>
          <w:b/>
          <w:color w:val="auto"/>
          <w:sz w:val="24"/>
          <w:highlight w:val="none"/>
          <w:lang w:val="zh-CN"/>
        </w:rPr>
      </w:pPr>
    </w:p>
    <w:p w14:paraId="57FA3717">
      <w:pPr>
        <w:tabs>
          <w:tab w:val="left" w:pos="9765"/>
        </w:tabs>
        <w:spacing w:line="360" w:lineRule="auto"/>
        <w:outlineLvl w:val="9"/>
        <w:rPr>
          <w:rFonts w:ascii="宋体" w:hAnsi="宋体" w:cs="宋体"/>
          <w:b/>
          <w:color w:val="auto"/>
          <w:sz w:val="24"/>
          <w:highlight w:val="none"/>
        </w:rPr>
      </w:pPr>
      <w:r>
        <w:rPr>
          <w:rFonts w:hint="eastAsia" w:ascii="宋体" w:hAnsi="宋体" w:cs="宋体"/>
          <w:b/>
          <w:color w:val="auto"/>
          <w:sz w:val="24"/>
          <w:highlight w:val="none"/>
          <w:lang w:val="zh-CN"/>
        </w:rPr>
        <w:t>注：参加本项目人员须是供应商正式职工。</w:t>
      </w:r>
    </w:p>
    <w:p w14:paraId="20912C94">
      <w:pPr>
        <w:spacing w:line="360" w:lineRule="auto"/>
        <w:outlineLvl w:val="9"/>
        <w:rPr>
          <w:rFonts w:ascii="宋体" w:hAnsi="宋体"/>
          <w:color w:val="auto"/>
          <w:sz w:val="24"/>
          <w:highlight w:val="none"/>
        </w:rPr>
      </w:pPr>
    </w:p>
    <w:p w14:paraId="49642F87">
      <w:pPr>
        <w:spacing w:before="25" w:after="25" w:line="360" w:lineRule="auto"/>
        <w:outlineLvl w:val="9"/>
        <w:rPr>
          <w:color w:val="auto"/>
          <w:sz w:val="24"/>
          <w:highlight w:val="none"/>
          <w:lang w:val="zh-CN"/>
        </w:rPr>
      </w:pPr>
      <w:r>
        <w:rPr>
          <w:color w:val="auto"/>
          <w:sz w:val="24"/>
          <w:highlight w:val="none"/>
        </w:rPr>
        <w:t>供应商名称（加盖公章）</w:t>
      </w:r>
      <w:r>
        <w:rPr>
          <w:color w:val="auto"/>
          <w:sz w:val="24"/>
          <w:highlight w:val="none"/>
          <w:lang w:val="zh-CN"/>
        </w:rPr>
        <w:t>：    ____________</w:t>
      </w:r>
    </w:p>
    <w:p w14:paraId="3E8C7E5A">
      <w:pPr>
        <w:spacing w:before="25" w:after="25" w:line="360" w:lineRule="auto"/>
        <w:outlineLvl w:val="9"/>
        <w:rPr>
          <w:color w:val="auto"/>
          <w:sz w:val="24"/>
          <w:highlight w:val="none"/>
          <w:lang w:val="zh-CN"/>
        </w:rPr>
      </w:pPr>
      <w:r>
        <w:rPr>
          <w:color w:val="auto"/>
          <w:sz w:val="24"/>
          <w:szCs w:val="20"/>
          <w:highlight w:val="none"/>
        </w:rPr>
        <w:t xml:space="preserve">日期：_____年______月______日   </w:t>
      </w:r>
    </w:p>
    <w:p w14:paraId="54EB689F">
      <w:pPr>
        <w:outlineLvl w:val="9"/>
        <w:rPr>
          <w:color w:val="auto"/>
          <w:sz w:val="24"/>
          <w:szCs w:val="20"/>
          <w:highlight w:val="none"/>
        </w:rPr>
      </w:pPr>
      <w:r>
        <w:rPr>
          <w:color w:val="auto"/>
          <w:sz w:val="22"/>
          <w:highlight w:val="none"/>
        </w:rPr>
        <w:br w:type="page" w:clear="all"/>
      </w:r>
      <w:bookmarkStart w:id="658" w:name="_Toc288738397"/>
      <w:bookmarkStart w:id="659" w:name="_Toc288738839"/>
      <w:r>
        <w:rPr>
          <w:rFonts w:hint="eastAsia"/>
          <w:color w:val="auto"/>
          <w:sz w:val="24"/>
          <w:szCs w:val="20"/>
          <w:highlight w:val="none"/>
        </w:rPr>
        <w:t>1</w:t>
      </w:r>
      <w:r>
        <w:rPr>
          <w:rFonts w:hint="eastAsia"/>
          <w:color w:val="auto"/>
          <w:sz w:val="24"/>
          <w:szCs w:val="20"/>
          <w:highlight w:val="none"/>
          <w:lang w:val="en-US" w:eastAsia="zh-CN"/>
        </w:rPr>
        <w:t>3</w:t>
      </w:r>
      <w:r>
        <w:rPr>
          <w:rFonts w:hint="eastAsia"/>
          <w:color w:val="auto"/>
          <w:sz w:val="24"/>
          <w:szCs w:val="20"/>
          <w:highlight w:val="none"/>
        </w:rPr>
        <w:t xml:space="preserve">  相关业绩案例一览表</w:t>
      </w:r>
    </w:p>
    <w:p w14:paraId="6DD8495C">
      <w:pPr>
        <w:outlineLvl w:val="9"/>
        <w:rPr>
          <w:color w:val="auto"/>
          <w:sz w:val="24"/>
          <w:szCs w:val="20"/>
          <w:highlight w:val="none"/>
        </w:rPr>
      </w:pPr>
    </w:p>
    <w:p w14:paraId="286FF57F">
      <w:pPr>
        <w:jc w:val="center"/>
        <w:outlineLvl w:val="9"/>
        <w:rPr>
          <w:rFonts w:ascii="宋体" w:hAnsi="宋体"/>
          <w:b/>
          <w:color w:val="auto"/>
          <w:sz w:val="32"/>
          <w:szCs w:val="32"/>
          <w:highlight w:val="none"/>
        </w:rPr>
      </w:pPr>
      <w:r>
        <w:rPr>
          <w:rFonts w:hint="eastAsia" w:ascii="宋体" w:hAnsi="宋体"/>
          <w:b/>
          <w:color w:val="auto"/>
          <w:sz w:val="32"/>
          <w:szCs w:val="32"/>
          <w:highlight w:val="none"/>
        </w:rPr>
        <w:t>相关业绩案例一览表</w:t>
      </w:r>
      <w:bookmarkEnd w:id="658"/>
      <w:bookmarkEnd w:id="659"/>
    </w:p>
    <w:p w14:paraId="076BC4F8">
      <w:pPr>
        <w:spacing w:line="360" w:lineRule="auto"/>
        <w:jc w:val="center"/>
        <w:outlineLvl w:val="9"/>
        <w:rPr>
          <w:rFonts w:ascii="宋体" w:hAnsi="宋体"/>
          <w:b/>
          <w:color w:val="auto"/>
          <w:sz w:val="28"/>
          <w:szCs w:val="30"/>
          <w:highlight w:val="none"/>
        </w:rPr>
      </w:pPr>
    </w:p>
    <w:p w14:paraId="12067D19">
      <w:pPr>
        <w:spacing w:line="360" w:lineRule="auto"/>
        <w:ind w:firstLine="480"/>
        <w:outlineLvl w:val="9"/>
        <w:rPr>
          <w:rFonts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tbl>
      <w:tblPr>
        <w:tblStyle w:val="36"/>
        <w:tblW w:w="0" w:type="auto"/>
        <w:jc w:val="center"/>
        <w:tblLayout w:type="fixed"/>
        <w:tblCellMar>
          <w:top w:w="0" w:type="dxa"/>
          <w:left w:w="108" w:type="dxa"/>
          <w:bottom w:w="0" w:type="dxa"/>
          <w:right w:w="108" w:type="dxa"/>
        </w:tblCellMar>
      </w:tblPr>
      <w:tblGrid>
        <w:gridCol w:w="1284"/>
        <w:gridCol w:w="1681"/>
        <w:gridCol w:w="1521"/>
        <w:gridCol w:w="1198"/>
        <w:gridCol w:w="1730"/>
        <w:gridCol w:w="1597"/>
      </w:tblGrid>
      <w:tr w14:paraId="5F040C7D">
        <w:tblPrEx>
          <w:tblCellMar>
            <w:top w:w="0" w:type="dxa"/>
            <w:left w:w="108" w:type="dxa"/>
            <w:bottom w:w="0" w:type="dxa"/>
            <w:right w:w="108" w:type="dxa"/>
          </w:tblCellMar>
        </w:tblPrEx>
        <w:trPr>
          <w:trHeight w:val="498" w:hRule="atLeast"/>
          <w:jc w:val="center"/>
        </w:trPr>
        <w:tc>
          <w:tcPr>
            <w:tcW w:w="1284" w:type="dxa"/>
            <w:tcBorders>
              <w:top w:val="single" w:color="000000" w:sz="6" w:space="0"/>
              <w:left w:val="single" w:color="000000" w:sz="6" w:space="0"/>
              <w:bottom w:val="single" w:color="000000" w:sz="6" w:space="0"/>
              <w:right w:val="single" w:color="000000" w:sz="6" w:space="0"/>
            </w:tcBorders>
            <w:noWrap w:val="0"/>
            <w:vAlign w:val="center"/>
          </w:tcPr>
          <w:p w14:paraId="26141889">
            <w:pPr>
              <w:tabs>
                <w:tab w:val="left" w:pos="9765"/>
              </w:tabs>
              <w:spacing w:line="360" w:lineRule="auto"/>
              <w:jc w:val="center"/>
              <w:outlineLvl w:val="9"/>
              <w:rPr>
                <w:rFonts w:ascii="宋体" w:hAnsi="宋体" w:cs="宋体"/>
                <w:color w:val="auto"/>
                <w:sz w:val="24"/>
                <w:highlight w:val="none"/>
                <w:lang w:val="zh-CN"/>
              </w:rPr>
            </w:pPr>
            <w:r>
              <w:rPr>
                <w:rFonts w:hint="eastAsia" w:ascii="宋体" w:hAnsi="宋体" w:cs="宋体"/>
                <w:color w:val="auto"/>
                <w:sz w:val="24"/>
                <w:highlight w:val="none"/>
                <w:lang w:val="zh-CN"/>
              </w:rPr>
              <w:t>项目时间</w:t>
            </w:r>
          </w:p>
        </w:tc>
        <w:tc>
          <w:tcPr>
            <w:tcW w:w="1681" w:type="dxa"/>
            <w:tcBorders>
              <w:top w:val="single" w:color="000000" w:sz="6" w:space="0"/>
              <w:left w:val="single" w:color="000000" w:sz="6" w:space="0"/>
              <w:bottom w:val="single" w:color="000000" w:sz="6" w:space="0"/>
              <w:right w:val="single" w:color="000000" w:sz="6" w:space="0"/>
            </w:tcBorders>
            <w:noWrap w:val="0"/>
            <w:vAlign w:val="center"/>
          </w:tcPr>
          <w:p w14:paraId="0876C0F0">
            <w:pPr>
              <w:tabs>
                <w:tab w:val="left" w:pos="9765"/>
              </w:tabs>
              <w:spacing w:line="360" w:lineRule="auto"/>
              <w:jc w:val="center"/>
              <w:outlineLvl w:val="9"/>
              <w:rPr>
                <w:rFonts w:ascii="宋体" w:hAnsi="宋体" w:cs="宋体"/>
                <w:color w:val="auto"/>
                <w:sz w:val="24"/>
                <w:highlight w:val="none"/>
                <w:lang w:val="zh-CN"/>
              </w:rPr>
            </w:pPr>
            <w:r>
              <w:rPr>
                <w:rFonts w:hint="eastAsia" w:ascii="宋体" w:hAnsi="宋体" w:cs="宋体"/>
                <w:color w:val="auto"/>
                <w:sz w:val="24"/>
                <w:highlight w:val="none"/>
                <w:lang w:val="zh-CN"/>
              </w:rPr>
              <w:t>项目甲方单位</w:t>
            </w:r>
          </w:p>
        </w:tc>
        <w:tc>
          <w:tcPr>
            <w:tcW w:w="1521" w:type="dxa"/>
            <w:tcBorders>
              <w:top w:val="single" w:color="000000" w:sz="6" w:space="0"/>
              <w:left w:val="single" w:color="000000" w:sz="6" w:space="0"/>
              <w:bottom w:val="single" w:color="000000" w:sz="6" w:space="0"/>
              <w:right w:val="single" w:color="000000" w:sz="6" w:space="0"/>
            </w:tcBorders>
            <w:noWrap w:val="0"/>
            <w:vAlign w:val="center"/>
          </w:tcPr>
          <w:p w14:paraId="54304AD6">
            <w:pPr>
              <w:tabs>
                <w:tab w:val="left" w:pos="9765"/>
              </w:tabs>
              <w:spacing w:line="360" w:lineRule="auto"/>
              <w:jc w:val="center"/>
              <w:outlineLvl w:val="9"/>
              <w:rPr>
                <w:rFonts w:ascii="宋体" w:hAnsi="宋体" w:cs="宋体"/>
                <w:color w:val="auto"/>
                <w:sz w:val="24"/>
                <w:highlight w:val="none"/>
                <w:lang w:val="zh-CN"/>
              </w:rPr>
            </w:pPr>
            <w:r>
              <w:rPr>
                <w:rFonts w:hint="eastAsia" w:ascii="宋体" w:hAnsi="宋体" w:cs="宋体"/>
                <w:color w:val="auto"/>
                <w:sz w:val="24"/>
                <w:highlight w:val="none"/>
                <w:lang w:val="zh-CN"/>
              </w:rPr>
              <w:t>项目名称</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2506CEE2">
            <w:pPr>
              <w:tabs>
                <w:tab w:val="left" w:pos="9765"/>
              </w:tabs>
              <w:spacing w:line="360" w:lineRule="auto"/>
              <w:jc w:val="center"/>
              <w:outlineLvl w:val="9"/>
              <w:rPr>
                <w:rFonts w:ascii="宋体" w:hAnsi="宋体" w:cs="宋体"/>
                <w:color w:val="auto"/>
                <w:sz w:val="24"/>
                <w:highlight w:val="none"/>
                <w:lang w:val="zh-CN"/>
              </w:rPr>
            </w:pPr>
            <w:r>
              <w:rPr>
                <w:rFonts w:hint="eastAsia" w:ascii="宋体" w:hAnsi="宋体" w:cs="宋体"/>
                <w:color w:val="auto"/>
                <w:sz w:val="24"/>
                <w:highlight w:val="none"/>
                <w:lang w:val="zh-CN"/>
              </w:rPr>
              <w:t>合同金额</w:t>
            </w:r>
          </w:p>
        </w:tc>
        <w:tc>
          <w:tcPr>
            <w:tcW w:w="1730" w:type="dxa"/>
            <w:tcBorders>
              <w:top w:val="single" w:color="000000" w:sz="6" w:space="0"/>
              <w:left w:val="single" w:color="000000" w:sz="6" w:space="0"/>
              <w:bottom w:val="single" w:color="000000" w:sz="6" w:space="0"/>
              <w:right w:val="single" w:color="000000" w:sz="6" w:space="0"/>
            </w:tcBorders>
            <w:noWrap w:val="0"/>
            <w:vAlign w:val="center"/>
          </w:tcPr>
          <w:p w14:paraId="43DE8161">
            <w:pPr>
              <w:tabs>
                <w:tab w:val="left" w:pos="9765"/>
              </w:tabs>
              <w:spacing w:line="360" w:lineRule="auto"/>
              <w:jc w:val="center"/>
              <w:outlineLvl w:val="9"/>
              <w:rPr>
                <w:rFonts w:ascii="宋体" w:hAnsi="宋体" w:cs="宋体"/>
                <w:color w:val="auto"/>
                <w:sz w:val="24"/>
                <w:highlight w:val="none"/>
                <w:lang w:val="zh-CN"/>
              </w:rPr>
            </w:pPr>
            <w:r>
              <w:rPr>
                <w:rFonts w:hint="eastAsia" w:ascii="宋体" w:hAnsi="宋体" w:cs="宋体"/>
                <w:color w:val="auto"/>
                <w:sz w:val="24"/>
                <w:highlight w:val="none"/>
                <w:lang w:val="zh-CN"/>
              </w:rPr>
              <w:t>单位地址</w:t>
            </w:r>
          </w:p>
        </w:tc>
        <w:tc>
          <w:tcPr>
            <w:tcW w:w="1597" w:type="dxa"/>
            <w:tcBorders>
              <w:top w:val="single" w:color="000000" w:sz="6" w:space="0"/>
              <w:left w:val="single" w:color="000000" w:sz="6" w:space="0"/>
              <w:bottom w:val="single" w:color="000000" w:sz="6" w:space="0"/>
              <w:right w:val="single" w:color="000000" w:sz="6" w:space="0"/>
            </w:tcBorders>
            <w:noWrap w:val="0"/>
            <w:vAlign w:val="center"/>
          </w:tcPr>
          <w:p w14:paraId="2C2802AE">
            <w:pPr>
              <w:tabs>
                <w:tab w:val="left" w:pos="9765"/>
              </w:tabs>
              <w:spacing w:line="360" w:lineRule="auto"/>
              <w:jc w:val="center"/>
              <w:outlineLvl w:val="9"/>
              <w:rPr>
                <w:rFonts w:ascii="宋体" w:hAnsi="宋体" w:cs="宋体"/>
                <w:color w:val="auto"/>
                <w:sz w:val="24"/>
                <w:highlight w:val="none"/>
                <w:lang w:val="zh-CN"/>
              </w:rPr>
            </w:pPr>
            <w:r>
              <w:rPr>
                <w:rFonts w:hint="eastAsia" w:ascii="宋体" w:hAnsi="宋体" w:cs="宋体"/>
                <w:color w:val="auto"/>
                <w:sz w:val="24"/>
                <w:highlight w:val="none"/>
                <w:lang w:val="zh-CN"/>
              </w:rPr>
              <w:t>联系电话</w:t>
            </w:r>
          </w:p>
        </w:tc>
      </w:tr>
      <w:tr w14:paraId="037A7C28">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center"/>
          </w:tcPr>
          <w:p w14:paraId="58B45196">
            <w:pPr>
              <w:tabs>
                <w:tab w:val="left" w:pos="9765"/>
              </w:tabs>
              <w:spacing w:line="360" w:lineRule="auto"/>
              <w:jc w:val="center"/>
              <w:outlineLvl w:val="9"/>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val="0"/>
            <w:vAlign w:val="center"/>
          </w:tcPr>
          <w:p w14:paraId="55E1C742">
            <w:pPr>
              <w:tabs>
                <w:tab w:val="left" w:pos="9765"/>
              </w:tabs>
              <w:spacing w:line="360" w:lineRule="auto"/>
              <w:jc w:val="center"/>
              <w:outlineLvl w:val="9"/>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center"/>
          </w:tcPr>
          <w:p w14:paraId="041B553F">
            <w:pPr>
              <w:tabs>
                <w:tab w:val="left" w:pos="9765"/>
              </w:tabs>
              <w:spacing w:line="360" w:lineRule="auto"/>
              <w:jc w:val="center"/>
              <w:outlineLvl w:val="9"/>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7152A39F">
            <w:pPr>
              <w:tabs>
                <w:tab w:val="left" w:pos="9765"/>
              </w:tabs>
              <w:spacing w:line="360" w:lineRule="auto"/>
              <w:jc w:val="center"/>
              <w:outlineLvl w:val="9"/>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val="0"/>
            <w:vAlign w:val="center"/>
          </w:tcPr>
          <w:p w14:paraId="5B4C592A">
            <w:pPr>
              <w:tabs>
                <w:tab w:val="left" w:pos="9765"/>
              </w:tabs>
              <w:spacing w:line="360" w:lineRule="auto"/>
              <w:ind w:hanging="523"/>
              <w:jc w:val="center"/>
              <w:outlineLvl w:val="9"/>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val="0"/>
            <w:vAlign w:val="center"/>
          </w:tcPr>
          <w:p w14:paraId="0D97DB18">
            <w:pPr>
              <w:tabs>
                <w:tab w:val="left" w:pos="9765"/>
              </w:tabs>
              <w:spacing w:line="360" w:lineRule="auto"/>
              <w:ind w:hanging="523"/>
              <w:jc w:val="center"/>
              <w:outlineLvl w:val="9"/>
              <w:rPr>
                <w:rFonts w:ascii="宋体" w:hAnsi="宋体" w:cs="宋体"/>
                <w:color w:val="auto"/>
                <w:sz w:val="24"/>
                <w:highlight w:val="none"/>
              </w:rPr>
            </w:pPr>
          </w:p>
        </w:tc>
      </w:tr>
      <w:tr w14:paraId="11E3E139">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top"/>
          </w:tcPr>
          <w:p w14:paraId="3D05158E">
            <w:pPr>
              <w:tabs>
                <w:tab w:val="left" w:pos="9765"/>
              </w:tabs>
              <w:spacing w:line="360" w:lineRule="auto"/>
              <w:outlineLvl w:val="9"/>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14:paraId="5F92BEAD">
            <w:pPr>
              <w:tabs>
                <w:tab w:val="left" w:pos="9765"/>
              </w:tabs>
              <w:spacing w:line="360" w:lineRule="auto"/>
              <w:outlineLvl w:val="9"/>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top"/>
          </w:tcPr>
          <w:p w14:paraId="3E859836">
            <w:pPr>
              <w:tabs>
                <w:tab w:val="left" w:pos="9765"/>
              </w:tabs>
              <w:spacing w:line="360" w:lineRule="auto"/>
              <w:outlineLvl w:val="9"/>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val="0"/>
            <w:vAlign w:val="top"/>
          </w:tcPr>
          <w:p w14:paraId="64C2DBA4">
            <w:pPr>
              <w:tabs>
                <w:tab w:val="left" w:pos="9765"/>
              </w:tabs>
              <w:spacing w:line="360" w:lineRule="auto"/>
              <w:outlineLvl w:val="9"/>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val="0"/>
            <w:vAlign w:val="top"/>
          </w:tcPr>
          <w:p w14:paraId="7FAFD029">
            <w:pPr>
              <w:tabs>
                <w:tab w:val="left" w:pos="9765"/>
              </w:tabs>
              <w:spacing w:line="360" w:lineRule="auto"/>
              <w:outlineLvl w:val="9"/>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val="0"/>
            <w:vAlign w:val="top"/>
          </w:tcPr>
          <w:p w14:paraId="5C889B23">
            <w:pPr>
              <w:tabs>
                <w:tab w:val="left" w:pos="9765"/>
              </w:tabs>
              <w:spacing w:line="360" w:lineRule="auto"/>
              <w:outlineLvl w:val="9"/>
              <w:rPr>
                <w:rFonts w:ascii="宋体" w:hAnsi="宋体" w:cs="宋体"/>
                <w:color w:val="auto"/>
                <w:sz w:val="24"/>
                <w:highlight w:val="none"/>
              </w:rPr>
            </w:pPr>
          </w:p>
        </w:tc>
      </w:tr>
      <w:tr w14:paraId="14E1A0AB">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top"/>
          </w:tcPr>
          <w:p w14:paraId="1B0E340B">
            <w:pPr>
              <w:tabs>
                <w:tab w:val="left" w:pos="9765"/>
              </w:tabs>
              <w:spacing w:line="360" w:lineRule="auto"/>
              <w:outlineLvl w:val="9"/>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14:paraId="0A608EF1">
            <w:pPr>
              <w:tabs>
                <w:tab w:val="left" w:pos="9765"/>
              </w:tabs>
              <w:spacing w:line="360" w:lineRule="auto"/>
              <w:outlineLvl w:val="9"/>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top"/>
          </w:tcPr>
          <w:p w14:paraId="0D1FAA26">
            <w:pPr>
              <w:tabs>
                <w:tab w:val="left" w:pos="9765"/>
              </w:tabs>
              <w:spacing w:line="360" w:lineRule="auto"/>
              <w:outlineLvl w:val="9"/>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val="0"/>
            <w:vAlign w:val="top"/>
          </w:tcPr>
          <w:p w14:paraId="69BF9E5E">
            <w:pPr>
              <w:tabs>
                <w:tab w:val="left" w:pos="9765"/>
              </w:tabs>
              <w:spacing w:line="360" w:lineRule="auto"/>
              <w:outlineLvl w:val="9"/>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val="0"/>
            <w:vAlign w:val="top"/>
          </w:tcPr>
          <w:p w14:paraId="672D052A">
            <w:pPr>
              <w:tabs>
                <w:tab w:val="left" w:pos="9765"/>
              </w:tabs>
              <w:spacing w:line="360" w:lineRule="auto"/>
              <w:outlineLvl w:val="9"/>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val="0"/>
            <w:vAlign w:val="top"/>
          </w:tcPr>
          <w:p w14:paraId="118FDA3E">
            <w:pPr>
              <w:tabs>
                <w:tab w:val="left" w:pos="9765"/>
              </w:tabs>
              <w:spacing w:line="360" w:lineRule="auto"/>
              <w:outlineLvl w:val="9"/>
              <w:rPr>
                <w:rFonts w:ascii="宋体" w:hAnsi="宋体" w:cs="宋体"/>
                <w:color w:val="auto"/>
                <w:sz w:val="24"/>
                <w:highlight w:val="none"/>
              </w:rPr>
            </w:pPr>
          </w:p>
        </w:tc>
      </w:tr>
      <w:tr w14:paraId="418F5185">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top"/>
          </w:tcPr>
          <w:p w14:paraId="105CE52A">
            <w:pPr>
              <w:tabs>
                <w:tab w:val="left" w:pos="9765"/>
              </w:tabs>
              <w:spacing w:line="360" w:lineRule="auto"/>
              <w:outlineLvl w:val="9"/>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14:paraId="2DF9E84E">
            <w:pPr>
              <w:tabs>
                <w:tab w:val="left" w:pos="9765"/>
              </w:tabs>
              <w:spacing w:line="360" w:lineRule="auto"/>
              <w:outlineLvl w:val="9"/>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top"/>
          </w:tcPr>
          <w:p w14:paraId="19E9AA1D">
            <w:pPr>
              <w:tabs>
                <w:tab w:val="left" w:pos="9765"/>
              </w:tabs>
              <w:spacing w:line="360" w:lineRule="auto"/>
              <w:outlineLvl w:val="9"/>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val="0"/>
            <w:vAlign w:val="top"/>
          </w:tcPr>
          <w:p w14:paraId="1F277592">
            <w:pPr>
              <w:tabs>
                <w:tab w:val="left" w:pos="9765"/>
              </w:tabs>
              <w:spacing w:line="360" w:lineRule="auto"/>
              <w:outlineLvl w:val="9"/>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val="0"/>
            <w:vAlign w:val="top"/>
          </w:tcPr>
          <w:p w14:paraId="51C90C7A">
            <w:pPr>
              <w:tabs>
                <w:tab w:val="left" w:pos="9765"/>
              </w:tabs>
              <w:spacing w:line="360" w:lineRule="auto"/>
              <w:outlineLvl w:val="9"/>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val="0"/>
            <w:vAlign w:val="top"/>
          </w:tcPr>
          <w:p w14:paraId="5E5A4C5F">
            <w:pPr>
              <w:tabs>
                <w:tab w:val="left" w:pos="9765"/>
              </w:tabs>
              <w:spacing w:line="360" w:lineRule="auto"/>
              <w:outlineLvl w:val="9"/>
              <w:rPr>
                <w:rFonts w:ascii="宋体" w:hAnsi="宋体" w:cs="宋体"/>
                <w:color w:val="auto"/>
                <w:sz w:val="24"/>
                <w:highlight w:val="none"/>
              </w:rPr>
            </w:pPr>
          </w:p>
        </w:tc>
      </w:tr>
      <w:tr w14:paraId="58953512">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top"/>
          </w:tcPr>
          <w:p w14:paraId="07C9EC5F">
            <w:pPr>
              <w:tabs>
                <w:tab w:val="left" w:pos="9765"/>
              </w:tabs>
              <w:spacing w:line="360" w:lineRule="auto"/>
              <w:outlineLvl w:val="9"/>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14:paraId="2B5A68EE">
            <w:pPr>
              <w:tabs>
                <w:tab w:val="left" w:pos="9765"/>
              </w:tabs>
              <w:spacing w:line="360" w:lineRule="auto"/>
              <w:outlineLvl w:val="9"/>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top"/>
          </w:tcPr>
          <w:p w14:paraId="57088BAB">
            <w:pPr>
              <w:tabs>
                <w:tab w:val="left" w:pos="9765"/>
              </w:tabs>
              <w:spacing w:line="360" w:lineRule="auto"/>
              <w:outlineLvl w:val="9"/>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val="0"/>
            <w:vAlign w:val="top"/>
          </w:tcPr>
          <w:p w14:paraId="31266932">
            <w:pPr>
              <w:tabs>
                <w:tab w:val="left" w:pos="9765"/>
              </w:tabs>
              <w:spacing w:line="360" w:lineRule="auto"/>
              <w:outlineLvl w:val="9"/>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val="0"/>
            <w:vAlign w:val="top"/>
          </w:tcPr>
          <w:p w14:paraId="278E11AE">
            <w:pPr>
              <w:tabs>
                <w:tab w:val="left" w:pos="9765"/>
              </w:tabs>
              <w:spacing w:line="360" w:lineRule="auto"/>
              <w:outlineLvl w:val="9"/>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val="0"/>
            <w:vAlign w:val="top"/>
          </w:tcPr>
          <w:p w14:paraId="6A3BA774">
            <w:pPr>
              <w:tabs>
                <w:tab w:val="left" w:pos="9765"/>
              </w:tabs>
              <w:spacing w:line="360" w:lineRule="auto"/>
              <w:outlineLvl w:val="9"/>
              <w:rPr>
                <w:rFonts w:ascii="宋体" w:hAnsi="宋体" w:cs="宋体"/>
                <w:color w:val="auto"/>
                <w:sz w:val="24"/>
                <w:highlight w:val="none"/>
              </w:rPr>
            </w:pPr>
          </w:p>
        </w:tc>
      </w:tr>
      <w:tr w14:paraId="46BA6BD3">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top"/>
          </w:tcPr>
          <w:p w14:paraId="466AF632">
            <w:pPr>
              <w:tabs>
                <w:tab w:val="left" w:pos="9765"/>
              </w:tabs>
              <w:spacing w:line="360" w:lineRule="auto"/>
              <w:outlineLvl w:val="9"/>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14:paraId="4D9E60FE">
            <w:pPr>
              <w:tabs>
                <w:tab w:val="left" w:pos="9765"/>
              </w:tabs>
              <w:spacing w:line="360" w:lineRule="auto"/>
              <w:outlineLvl w:val="9"/>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top"/>
          </w:tcPr>
          <w:p w14:paraId="4EC4A2FC">
            <w:pPr>
              <w:tabs>
                <w:tab w:val="left" w:pos="9765"/>
              </w:tabs>
              <w:spacing w:line="360" w:lineRule="auto"/>
              <w:outlineLvl w:val="9"/>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val="0"/>
            <w:vAlign w:val="top"/>
          </w:tcPr>
          <w:p w14:paraId="422BA93B">
            <w:pPr>
              <w:tabs>
                <w:tab w:val="left" w:pos="9765"/>
              </w:tabs>
              <w:spacing w:line="360" w:lineRule="auto"/>
              <w:outlineLvl w:val="9"/>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val="0"/>
            <w:vAlign w:val="top"/>
          </w:tcPr>
          <w:p w14:paraId="54D19095">
            <w:pPr>
              <w:tabs>
                <w:tab w:val="left" w:pos="9765"/>
              </w:tabs>
              <w:spacing w:line="360" w:lineRule="auto"/>
              <w:outlineLvl w:val="9"/>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val="0"/>
            <w:vAlign w:val="top"/>
          </w:tcPr>
          <w:p w14:paraId="7D5604F2">
            <w:pPr>
              <w:tabs>
                <w:tab w:val="left" w:pos="9765"/>
              </w:tabs>
              <w:spacing w:line="360" w:lineRule="auto"/>
              <w:outlineLvl w:val="9"/>
              <w:rPr>
                <w:rFonts w:ascii="宋体" w:hAnsi="宋体" w:cs="宋体"/>
                <w:color w:val="auto"/>
                <w:sz w:val="24"/>
                <w:highlight w:val="none"/>
              </w:rPr>
            </w:pPr>
          </w:p>
        </w:tc>
      </w:tr>
      <w:tr w14:paraId="6333FFF0">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top"/>
          </w:tcPr>
          <w:p w14:paraId="0F4AC97D">
            <w:pPr>
              <w:tabs>
                <w:tab w:val="left" w:pos="9765"/>
              </w:tabs>
              <w:spacing w:line="360" w:lineRule="auto"/>
              <w:outlineLvl w:val="9"/>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14:paraId="375124E3">
            <w:pPr>
              <w:tabs>
                <w:tab w:val="left" w:pos="9765"/>
              </w:tabs>
              <w:spacing w:line="360" w:lineRule="auto"/>
              <w:outlineLvl w:val="9"/>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top"/>
          </w:tcPr>
          <w:p w14:paraId="52AC2D83">
            <w:pPr>
              <w:tabs>
                <w:tab w:val="left" w:pos="9765"/>
              </w:tabs>
              <w:spacing w:line="360" w:lineRule="auto"/>
              <w:outlineLvl w:val="9"/>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val="0"/>
            <w:vAlign w:val="top"/>
          </w:tcPr>
          <w:p w14:paraId="65FC8730">
            <w:pPr>
              <w:tabs>
                <w:tab w:val="left" w:pos="9765"/>
              </w:tabs>
              <w:spacing w:line="360" w:lineRule="auto"/>
              <w:outlineLvl w:val="9"/>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val="0"/>
            <w:vAlign w:val="top"/>
          </w:tcPr>
          <w:p w14:paraId="00AE8F2A">
            <w:pPr>
              <w:tabs>
                <w:tab w:val="left" w:pos="9765"/>
              </w:tabs>
              <w:spacing w:line="360" w:lineRule="auto"/>
              <w:outlineLvl w:val="9"/>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val="0"/>
            <w:vAlign w:val="top"/>
          </w:tcPr>
          <w:p w14:paraId="51FDB519">
            <w:pPr>
              <w:tabs>
                <w:tab w:val="left" w:pos="9765"/>
              </w:tabs>
              <w:spacing w:line="360" w:lineRule="auto"/>
              <w:outlineLvl w:val="9"/>
              <w:rPr>
                <w:rFonts w:ascii="宋体" w:hAnsi="宋体" w:cs="宋体"/>
                <w:color w:val="auto"/>
                <w:sz w:val="24"/>
                <w:highlight w:val="none"/>
              </w:rPr>
            </w:pPr>
          </w:p>
        </w:tc>
      </w:tr>
      <w:tr w14:paraId="3C77F527">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top"/>
          </w:tcPr>
          <w:p w14:paraId="6905E413">
            <w:pPr>
              <w:tabs>
                <w:tab w:val="left" w:pos="9765"/>
              </w:tabs>
              <w:spacing w:line="360" w:lineRule="auto"/>
              <w:outlineLvl w:val="9"/>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14:paraId="254C826E">
            <w:pPr>
              <w:tabs>
                <w:tab w:val="left" w:pos="9765"/>
              </w:tabs>
              <w:spacing w:line="360" w:lineRule="auto"/>
              <w:outlineLvl w:val="9"/>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top"/>
          </w:tcPr>
          <w:p w14:paraId="0646DB49">
            <w:pPr>
              <w:tabs>
                <w:tab w:val="left" w:pos="9765"/>
              </w:tabs>
              <w:spacing w:line="360" w:lineRule="auto"/>
              <w:outlineLvl w:val="9"/>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val="0"/>
            <w:vAlign w:val="top"/>
          </w:tcPr>
          <w:p w14:paraId="5D7D46E2">
            <w:pPr>
              <w:tabs>
                <w:tab w:val="left" w:pos="9765"/>
              </w:tabs>
              <w:spacing w:line="360" w:lineRule="auto"/>
              <w:outlineLvl w:val="9"/>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val="0"/>
            <w:vAlign w:val="top"/>
          </w:tcPr>
          <w:p w14:paraId="55E75373">
            <w:pPr>
              <w:tabs>
                <w:tab w:val="left" w:pos="9765"/>
              </w:tabs>
              <w:spacing w:line="360" w:lineRule="auto"/>
              <w:outlineLvl w:val="9"/>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val="0"/>
            <w:vAlign w:val="top"/>
          </w:tcPr>
          <w:p w14:paraId="73AF9BE9">
            <w:pPr>
              <w:tabs>
                <w:tab w:val="left" w:pos="9765"/>
              </w:tabs>
              <w:spacing w:line="360" w:lineRule="auto"/>
              <w:outlineLvl w:val="9"/>
              <w:rPr>
                <w:rFonts w:ascii="宋体" w:hAnsi="宋体" w:cs="宋体"/>
                <w:color w:val="auto"/>
                <w:sz w:val="24"/>
                <w:highlight w:val="none"/>
              </w:rPr>
            </w:pPr>
          </w:p>
        </w:tc>
      </w:tr>
      <w:tr w14:paraId="4EA57D73">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top"/>
          </w:tcPr>
          <w:p w14:paraId="4B87716D">
            <w:pPr>
              <w:tabs>
                <w:tab w:val="left" w:pos="9765"/>
              </w:tabs>
              <w:spacing w:line="360" w:lineRule="auto"/>
              <w:outlineLvl w:val="9"/>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14:paraId="23AC21E3">
            <w:pPr>
              <w:tabs>
                <w:tab w:val="left" w:pos="9765"/>
              </w:tabs>
              <w:spacing w:line="360" w:lineRule="auto"/>
              <w:outlineLvl w:val="9"/>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top"/>
          </w:tcPr>
          <w:p w14:paraId="0113A846">
            <w:pPr>
              <w:tabs>
                <w:tab w:val="left" w:pos="9765"/>
              </w:tabs>
              <w:spacing w:line="360" w:lineRule="auto"/>
              <w:outlineLvl w:val="9"/>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val="0"/>
            <w:vAlign w:val="top"/>
          </w:tcPr>
          <w:p w14:paraId="5AE35083">
            <w:pPr>
              <w:tabs>
                <w:tab w:val="left" w:pos="9765"/>
              </w:tabs>
              <w:spacing w:line="360" w:lineRule="auto"/>
              <w:outlineLvl w:val="9"/>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val="0"/>
            <w:vAlign w:val="top"/>
          </w:tcPr>
          <w:p w14:paraId="563371AA">
            <w:pPr>
              <w:tabs>
                <w:tab w:val="left" w:pos="9765"/>
              </w:tabs>
              <w:spacing w:line="360" w:lineRule="auto"/>
              <w:outlineLvl w:val="9"/>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val="0"/>
            <w:vAlign w:val="top"/>
          </w:tcPr>
          <w:p w14:paraId="6D1A037B">
            <w:pPr>
              <w:tabs>
                <w:tab w:val="left" w:pos="9765"/>
              </w:tabs>
              <w:spacing w:line="360" w:lineRule="auto"/>
              <w:outlineLvl w:val="9"/>
              <w:rPr>
                <w:rFonts w:ascii="宋体" w:hAnsi="宋体" w:cs="宋体"/>
                <w:color w:val="auto"/>
                <w:sz w:val="24"/>
                <w:highlight w:val="none"/>
              </w:rPr>
            </w:pPr>
          </w:p>
        </w:tc>
      </w:tr>
    </w:tbl>
    <w:p w14:paraId="543FA4F0">
      <w:pPr>
        <w:tabs>
          <w:tab w:val="left" w:pos="9765"/>
        </w:tabs>
        <w:outlineLvl w:val="9"/>
        <w:rPr>
          <w:rFonts w:ascii="宋体" w:hAnsi="宋体" w:cs="宋体"/>
          <w:color w:val="auto"/>
          <w:sz w:val="24"/>
          <w:highlight w:val="none"/>
          <w:lang w:val="zh-CN"/>
        </w:rPr>
      </w:pPr>
    </w:p>
    <w:p w14:paraId="0273C598">
      <w:pPr>
        <w:spacing w:line="360" w:lineRule="auto"/>
        <w:outlineLvl w:val="9"/>
        <w:rPr>
          <w:rFonts w:ascii="宋体" w:hAnsi="宋体" w:cs="宋体"/>
          <w:color w:val="auto"/>
          <w:sz w:val="24"/>
          <w:highlight w:val="none"/>
        </w:rPr>
      </w:pPr>
    </w:p>
    <w:p w14:paraId="1A653EA7">
      <w:pPr>
        <w:spacing w:before="25" w:after="25" w:line="360" w:lineRule="auto"/>
        <w:outlineLvl w:val="9"/>
        <w:rPr>
          <w:color w:val="auto"/>
          <w:sz w:val="24"/>
          <w:highlight w:val="none"/>
          <w:lang w:val="zh-CN"/>
        </w:rPr>
      </w:pPr>
      <w:r>
        <w:rPr>
          <w:color w:val="auto"/>
          <w:sz w:val="24"/>
          <w:highlight w:val="none"/>
        </w:rPr>
        <w:t>供应商名称（加盖公章）</w:t>
      </w:r>
      <w:r>
        <w:rPr>
          <w:color w:val="auto"/>
          <w:sz w:val="24"/>
          <w:highlight w:val="none"/>
          <w:lang w:val="zh-CN"/>
        </w:rPr>
        <w:t>：    ____________</w:t>
      </w:r>
    </w:p>
    <w:p w14:paraId="37ACE8D3">
      <w:pPr>
        <w:spacing w:before="25" w:after="25" w:line="360" w:lineRule="auto"/>
        <w:outlineLvl w:val="9"/>
        <w:rPr>
          <w:color w:val="auto"/>
          <w:sz w:val="24"/>
          <w:highlight w:val="none"/>
          <w:lang w:val="zh-CN"/>
        </w:rPr>
      </w:pPr>
      <w:r>
        <w:rPr>
          <w:color w:val="auto"/>
          <w:sz w:val="24"/>
          <w:szCs w:val="20"/>
          <w:highlight w:val="none"/>
        </w:rPr>
        <w:t xml:space="preserve">日期：_____年______月______日   </w:t>
      </w:r>
    </w:p>
    <w:p w14:paraId="78376A92">
      <w:pPr>
        <w:spacing w:line="360" w:lineRule="auto"/>
        <w:rPr>
          <w:color w:val="auto"/>
          <w:sz w:val="24"/>
          <w:szCs w:val="20"/>
          <w:highlight w:val="none"/>
        </w:rPr>
        <w:sectPr>
          <w:pgSz w:w="11907" w:h="16840"/>
          <w:pgMar w:top="1418" w:right="1134" w:bottom="1418" w:left="1701" w:header="851" w:footer="851" w:gutter="0"/>
          <w:cols w:space="720" w:num="1"/>
          <w:docGrid w:linePitch="462" w:charSpace="0"/>
        </w:sectPr>
      </w:pPr>
      <w:r>
        <w:rPr>
          <w:color w:val="auto"/>
          <w:sz w:val="24"/>
          <w:highlight w:val="none"/>
        </w:rPr>
        <w:br w:type="page" w:clear="all"/>
      </w:r>
      <w:r>
        <w:rPr>
          <w:rFonts w:hint="eastAsia"/>
          <w:color w:val="auto"/>
          <w:sz w:val="24"/>
          <w:szCs w:val="20"/>
          <w:highlight w:val="none"/>
        </w:rPr>
        <w:t xml:space="preserve"> </w:t>
      </w:r>
      <w:r>
        <w:rPr>
          <w:rFonts w:hint="eastAsia"/>
          <w:color w:val="auto"/>
          <w:sz w:val="24"/>
          <w:szCs w:val="20"/>
          <w:highlight w:val="none"/>
          <w:lang w:val="en-US" w:eastAsia="zh-CN"/>
        </w:rPr>
        <w:t xml:space="preserve">14  </w:t>
      </w:r>
      <w:r>
        <w:rPr>
          <w:color w:val="auto"/>
          <w:sz w:val="24"/>
          <w:szCs w:val="20"/>
          <w:highlight w:val="none"/>
        </w:rPr>
        <w:t>招标文件要求提供或投标人认为应附的其他材料</w:t>
      </w:r>
    </w:p>
    <w:p w14:paraId="76080DC4">
      <w:pPr>
        <w:outlineLvl w:val="9"/>
        <w:rPr>
          <w:color w:val="auto"/>
          <w:sz w:val="24"/>
          <w:highlight w:val="none"/>
          <w:lang w:val="zh-CN"/>
        </w:rPr>
      </w:pPr>
    </w:p>
    <w:sectPr>
      <w:pgSz w:w="11907" w:h="16840"/>
      <w:pgMar w:top="1418" w:right="1134" w:bottom="1418" w:left="1701" w:header="851" w:footer="851" w:gutter="0"/>
      <w:pgNumType w:fmt="decimal"/>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ˎ̥">
    <w:altName w:val="NumberOnly"/>
    <w:panose1 w:val="020B0503020202020204"/>
    <w:charset w:val="00"/>
    <w:family w:val="auto"/>
    <w:pitch w:val="default"/>
    <w:sig w:usb0="00000000" w:usb1="00000000" w:usb2="00000000" w:usb3="00000000" w:csb0="00000000" w:csb1="00000000"/>
  </w:font>
  <w:font w:name="DejaVu Math TeX Gyre">
    <w:altName w:val="Cambria Math"/>
    <w:panose1 w:val="02000503000000000000"/>
    <w:charset w:val="00"/>
    <w:family w:val="auto"/>
    <w:pitch w:val="default"/>
    <w:sig w:usb0="00000000" w:usb1="00000000" w:usb2="02000000" w:usb3="00000000" w:csb0="60000193" w:csb1="0DD4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Century Gothic">
    <w:panose1 w:val="020B0502020202020204"/>
    <w:charset w:val="00"/>
    <w:family w:val="auto"/>
    <w:pitch w:val="default"/>
    <w:sig w:usb0="00000287" w:usb1="00000000" w:usb2="00000000" w:usb3="00000000" w:csb0="2000009F" w:csb1="DFD70000"/>
  </w:font>
  <w:font w:name="微软雅黑">
    <w:panose1 w:val="020B0503020204020204"/>
    <w:charset w:val="86"/>
    <w:family w:val="swiss"/>
    <w:pitch w:val="default"/>
    <w:sig w:usb0="80000287" w:usb1="280F3C52" w:usb2="00000016" w:usb3="00000000" w:csb0="0004001F" w:csb1="00000000"/>
  </w:font>
  <w:font w:name="CESI黑体-GB2312">
    <w:altName w:val="黑体"/>
    <w:panose1 w:val="020B0503020202020204"/>
    <w:charset w:val="00"/>
    <w:family w:val="auto"/>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 w:name="MS PGothic">
    <w:panose1 w:val="020B0600070205080204"/>
    <w:charset w:val="80"/>
    <w:family w:val="auto"/>
    <w:pitch w:val="default"/>
    <w:sig w:usb0="E00002FF" w:usb1="6AC7FDFB" w:usb2="00000012" w:usb3="00000000" w:csb0="4002009F" w:csb1="DFD70000"/>
  </w:font>
  <w:font w:name="NumberOnly">
    <w:panose1 w:val="020B0500000000000000"/>
    <w:charset w:val="00"/>
    <w:family w:val="auto"/>
    <w:pitch w:val="default"/>
    <w:sig w:usb0="8000002F" w:usb1="10000048" w:usb2="00000000" w:usb3="00000000" w:csb0="00000111" w:csb1="4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0C1F7">
    <w:pPr>
      <w:pStyle w:val="239"/>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E4DEF">
    <w:pPr>
      <w:pStyle w:val="239"/>
      <w:framePr w:wrap="around" w:vAnchor="text" w:hAnchor="margin" w:xAlign="center" w:y="1"/>
      <w:rPr>
        <w:rStyle w:val="265"/>
      </w:rPr>
    </w:pPr>
    <w:r>
      <w:fldChar w:fldCharType="begin"/>
    </w:r>
    <w:r>
      <w:rPr>
        <w:rStyle w:val="265"/>
      </w:rPr>
      <w:instrText xml:space="preserve">PAGE  </w:instrText>
    </w:r>
    <w:r>
      <w:fldChar w:fldCharType="end"/>
    </w:r>
  </w:p>
  <w:p w14:paraId="708362C0">
    <w:pPr>
      <w:pStyle w:val="23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9681C">
    <w:pPr>
      <w:pStyle w:val="23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C0CCA">
    <w:pPr>
      <w:pStyle w:val="239"/>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F3043A6">
                          <w:pPr>
                            <w:pStyle w:val="239"/>
                            <w:tabs>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p w14:paraId="6884B487"/>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Wckjz0gEAAKcDAAAOAAAAAAAAAAEAIAAAAB4BAABk&#10;cnMvZTJvRG9jLnhtbFBLBQYAAAAABgAGAFkBAABiBQAAAAA=&#10;">
              <v:fill on="f" focussize="0,0"/>
              <v:stroke on="f"/>
              <v:imagedata o:title=""/>
              <o:lock v:ext="edit" aspectratio="f"/>
              <v:textbox inset="0mm,0mm,0mm,0mm" style="mso-fit-shape-to-text:t;">
                <w:txbxContent>
                  <w:p w14:paraId="4F3043A6">
                    <w:pPr>
                      <w:pStyle w:val="239"/>
                      <w:tabs>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p w14:paraId="6884B487"/>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806DC">
    <w:pPr>
      <w:pStyle w:val="23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7296234">
                          <w:pPr>
                            <w:pStyle w:val="239"/>
                            <w:tabs>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p w14:paraId="74A47C58"/>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nrE9i0gEAAKcDAAAOAAAAAAAAAAEAIAAAAB4BAABk&#10;cnMvZTJvRG9jLnhtbFBLBQYAAAAABgAGAFkBAABiBQAAAAA=&#10;">
              <v:fill on="f" focussize="0,0"/>
              <v:stroke on="f"/>
              <v:imagedata o:title=""/>
              <o:lock v:ext="edit" aspectratio="f"/>
              <v:textbox inset="0mm,0mm,0mm,0mm" style="mso-fit-shape-to-text:t;">
                <w:txbxContent>
                  <w:p w14:paraId="47296234">
                    <w:pPr>
                      <w:pStyle w:val="239"/>
                      <w:tabs>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p w14:paraId="74A47C58"/>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A279B">
    <w:pPr>
      <w:pStyle w:val="239"/>
      <w:framePr w:wrap="around" w:vAnchor="text" w:hAnchor="margin" w:xAlign="right" w:y="1"/>
      <w:rPr>
        <w:rStyle w:val="265"/>
      </w:rPr>
    </w:pPr>
    <w:r>
      <w:rPr>
        <w:rStyle w:val="265"/>
      </w:rPr>
      <w:fldChar w:fldCharType="begin"/>
    </w:r>
    <w:r>
      <w:rPr>
        <w:rStyle w:val="265"/>
      </w:rPr>
      <w:instrText xml:space="preserve">PAGE  </w:instrText>
    </w:r>
    <w:r>
      <w:rPr>
        <w:rStyle w:val="265"/>
      </w:rPr>
      <w:fldChar w:fldCharType="end"/>
    </w:r>
  </w:p>
  <w:p w14:paraId="255F8C26">
    <w:pPr>
      <w:pStyle w:val="239"/>
      <w:ind w:right="360"/>
    </w:pPr>
  </w:p>
  <w:p w14:paraId="42E2B61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C2001">
    <w:pPr>
      <w:pStyle w:val="23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652B2">
    <w:pPr>
      <w:pStyle w:val="241"/>
      <w:jc w:val="right"/>
    </w:pPr>
    <w:r>
      <w:rPr>
        <w:rFonts w:hint="eastAsia"/>
        <w:lang w:eastAsia="zh-CN"/>
      </w:rPr>
      <w:t>新北区联防联控指挥部保障项目</w:t>
    </w:r>
    <w:r>
      <w:rPr>
        <w:rFonts w:hint="eastAsia"/>
      </w:rPr>
      <w:t xml:space="preserve">竞争性磋商文件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82AC4">
    <w:pPr>
      <w:pStyle w:val="241"/>
      <w:pBdr>
        <w:bottom w:val="single" w:color="000000" w:sz="4" w:space="1"/>
      </w:pBdr>
      <w:jc w:val="right"/>
      <w:rPr>
        <w:rFonts w:hint="eastAsia" w:eastAsia="宋体"/>
        <w:lang w:eastAsia="zh-CN"/>
      </w:rPr>
    </w:pPr>
    <w:r>
      <w:rPr>
        <w:rFonts w:hint="eastAsia"/>
        <w:lang w:eastAsia="zh-CN"/>
      </w:rPr>
      <w:t>新北区联防联控指挥部保障项目竞争性磋商文件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40509">
    <w:pPr>
      <w:pStyle w:val="241"/>
    </w:pPr>
  </w:p>
  <w:p w14:paraId="4DE71A9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CC38A">
    <w:pPr>
      <w:pStyle w:val="24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B5E306ED"/>
    <w:multiLevelType w:val="multilevel"/>
    <w:tmpl w:val="B5E306ED"/>
    <w:lvl w:ilvl="0" w:tentative="0">
      <w:start w:val="1"/>
      <w:numFmt w:val="lowerLetter"/>
      <w:pStyle w:val="420"/>
      <w:lvlText w:val="%1)"/>
      <w:lvlJc w:val="left"/>
      <w:pPr>
        <w:ind w:left="902" w:hanging="420"/>
      </w:pPr>
      <w:rPr>
        <w:color w:val="00000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BF205925"/>
    <w:multiLevelType w:val="multilevel"/>
    <w:tmpl w:val="BF205925"/>
    <w:lvl w:ilvl="0" w:tentative="0">
      <w:start w:val="1"/>
      <w:numFmt w:val="decimal"/>
      <w:pStyle w:val="3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CF092B84"/>
    <w:multiLevelType w:val="multilevel"/>
    <w:tmpl w:val="CF092B84"/>
    <w:lvl w:ilvl="0" w:tentative="0">
      <w:start w:val="1"/>
      <w:numFmt w:val="decimal"/>
      <w:pStyle w:val="385"/>
      <w:lvlText w:val="%1"/>
      <w:lvlJc w:val="left"/>
      <w:pPr>
        <w:ind w:left="680" w:hanging="680"/>
      </w:pPr>
      <w:rPr>
        <w:rFonts w:hint="eastAsia" w:ascii="宋体" w:hAnsi="宋体" w:eastAsia="宋体"/>
      </w:rPr>
    </w:lvl>
    <w:lvl w:ilvl="1" w:tentative="0">
      <w:start w:val="1"/>
      <w:numFmt w:val="decimal"/>
      <w:pStyle w:val="329"/>
      <w:lvlText w:val="%1.%2"/>
      <w:lvlJc w:val="left"/>
      <w:pPr>
        <w:ind w:left="851" w:hanging="851"/>
      </w:pPr>
      <w:rPr>
        <w:rFonts w:hint="eastAsia" w:ascii="宋体" w:hAnsi="宋体" w:eastAsia="宋体"/>
        <w:color w:val="000000"/>
      </w:rPr>
    </w:lvl>
    <w:lvl w:ilvl="2" w:tentative="0">
      <w:start w:val="1"/>
      <w:numFmt w:val="decimal"/>
      <w:pStyle w:val="43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4">
    <w:nsid w:val="0053208E"/>
    <w:multiLevelType w:val="multilevel"/>
    <w:tmpl w:val="0053208E"/>
    <w:lvl w:ilvl="0" w:tentative="0">
      <w:start w:val="1"/>
      <w:numFmt w:val="decimal"/>
      <w:pStyle w:val="334"/>
      <w:suff w:val="nothing"/>
      <w:lvlText w:val="%1　"/>
      <w:lvlJc w:val="left"/>
      <w:pPr>
        <w:ind w:left="-25" w:firstLine="0"/>
      </w:pPr>
      <w:rPr>
        <w:rFonts w:ascii="Times New Roman" w:hAnsi="Times New Roman" w:eastAsia="宋体"/>
        <w:b/>
        <w:i w:val="0"/>
        <w:color w:val="000000"/>
        <w:sz w:val="28"/>
        <w:u w:val="none"/>
      </w:rPr>
    </w:lvl>
    <w:lvl w:ilvl="1" w:tentative="0">
      <w:start w:val="1"/>
      <w:numFmt w:val="decimal"/>
      <w:pStyle w:val="333"/>
      <w:suff w:val="nothing"/>
      <w:lvlText w:val="%1.%2　"/>
      <w:lvlJc w:val="left"/>
      <w:pPr>
        <w:ind w:left="-25" w:firstLine="0"/>
      </w:pPr>
      <w:rPr>
        <w:rFonts w:ascii="Times New Roman" w:hAnsi="Times New Roman" w:eastAsia="宋体"/>
        <w:b/>
        <w:i w:val="0"/>
        <w:color w:val="000000"/>
        <w:spacing w:val="0"/>
        <w:sz w:val="28"/>
        <w:u w:val="none"/>
      </w:rPr>
    </w:lvl>
    <w:lvl w:ilvl="2" w:tentative="0">
      <w:start w:val="1"/>
      <w:numFmt w:val="decimal"/>
      <w:suff w:val="nothing"/>
      <w:lvlText w:val="%1.%2.%3　"/>
      <w:lvlJc w:val="left"/>
      <w:pPr>
        <w:ind w:left="-25" w:firstLine="0"/>
      </w:pPr>
      <w:rPr>
        <w:rFonts w:ascii="Times New Roman" w:hAnsi="Times New Roman" w:eastAsia="黑体"/>
        <w:b/>
        <w:i w:val="0"/>
        <w:sz w:val="28"/>
      </w:rPr>
    </w:lvl>
    <w:lvl w:ilvl="3" w:tentative="0">
      <w:start w:val="1"/>
      <w:numFmt w:val="decimal"/>
      <w:pStyle w:val="349"/>
      <w:suff w:val="nothing"/>
      <w:lvlText w:val="%1.%2.%3.%4　"/>
      <w:lvlJc w:val="left"/>
      <w:pPr>
        <w:ind w:left="-25" w:firstLine="0"/>
      </w:pPr>
      <w:rPr>
        <w:rFonts w:ascii="Times New Roman" w:hAnsi="Times New Roman" w:eastAsia="宋体"/>
        <w:b/>
        <w:i w:val="0"/>
        <w:color w:val="000000"/>
        <w:sz w:val="28"/>
        <w:u w:val="none"/>
      </w:rPr>
    </w:lvl>
    <w:lvl w:ilvl="4" w:tentative="0">
      <w:start w:val="1"/>
      <w:numFmt w:val="decimal"/>
      <w:pStyle w:val="373"/>
      <w:suff w:val="nothing"/>
      <w:lvlText w:val="%1.%2.%3.%4.%5　"/>
      <w:lvlJc w:val="left"/>
      <w:pPr>
        <w:ind w:left="-25" w:firstLine="0"/>
      </w:pPr>
      <w:rPr>
        <w:rFonts w:ascii="Times New Roman" w:hAnsi="Times New Roman" w:eastAsia="宋体"/>
        <w:b/>
        <w:i w:val="0"/>
        <w:color w:val="000000"/>
        <w:sz w:val="28"/>
        <w:u w:val="none"/>
      </w:rPr>
    </w:lvl>
    <w:lvl w:ilvl="5" w:tentative="0">
      <w:start w:val="1"/>
      <w:numFmt w:val="decimal"/>
      <w:pStyle w:val="404"/>
      <w:suff w:val="nothing"/>
      <w:lvlText w:val="%1.%2.%3.%4.%5.%6　"/>
      <w:lvlJc w:val="left"/>
      <w:pPr>
        <w:ind w:left="-25" w:firstLine="0"/>
      </w:pPr>
      <w:rPr>
        <w:rFonts w:ascii="Times New Roman" w:hAnsi="Times New Roman" w:eastAsia="宋体"/>
        <w:b/>
        <w:i w:val="0"/>
        <w:sz w:val="28"/>
      </w:rPr>
    </w:lvl>
    <w:lvl w:ilvl="6" w:tentative="0">
      <w:start w:val="1"/>
      <w:numFmt w:val="lowerLetter"/>
      <w:pStyle w:val="328"/>
      <w:lvlText w:val="%7) "/>
      <w:lvlJc w:val="left"/>
      <w:pPr>
        <w:tabs>
          <w:tab w:val="left" w:pos="635"/>
        </w:tabs>
        <w:ind w:left="-125" w:firstLine="400"/>
      </w:pPr>
      <w:rPr>
        <w:rFonts w:ascii="Times New Roman" w:hAnsi="Times New Roman" w:eastAsia="宋体"/>
        <w:b/>
        <w:i w:val="0"/>
        <w:color w:val="000000"/>
        <w:sz w:val="28"/>
        <w:u w:val="none"/>
      </w:rPr>
    </w:lvl>
    <w:lvl w:ilvl="7" w:tentative="0">
      <w:start w:val="1"/>
      <w:numFmt w:val="decimal"/>
      <w:pStyle w:val="339"/>
      <w:lvlText w:val="%8) "/>
      <w:lvlJc w:val="left"/>
      <w:pPr>
        <w:tabs>
          <w:tab w:val="left" w:pos="860"/>
        </w:tabs>
        <w:ind w:left="500" w:firstLine="0"/>
      </w:pPr>
      <w:rPr>
        <w:rFonts w:ascii="Times New Roman" w:hAnsi="Times New Roman" w:eastAsia="宋体"/>
        <w:b/>
        <w:i w:val="0"/>
        <w:color w:val="000000"/>
        <w:sz w:val="28"/>
        <w:u w:val="none"/>
      </w:rPr>
    </w:lvl>
    <w:lvl w:ilvl="8" w:tentative="0">
      <w:start w:val="1"/>
      <w:numFmt w:val="decimal"/>
      <w:lvlText w:val="%9"/>
      <w:lvlJc w:val="left"/>
      <w:pPr>
        <w:tabs>
          <w:tab w:val="left" w:pos="860"/>
        </w:tabs>
        <w:ind w:left="500" w:firstLine="0"/>
      </w:pPr>
      <w:rPr>
        <w:rFonts w:hint="eastAsia" w:ascii="宋体" w:eastAsia="宋体"/>
        <w:b w:val="0"/>
        <w:i w:val="0"/>
        <w:color w:val="000000"/>
        <w:sz w:val="28"/>
        <w:u w:val="none"/>
      </w:rPr>
    </w:lvl>
  </w:abstractNum>
  <w:abstractNum w:abstractNumId="5">
    <w:nsid w:val="0248C179"/>
    <w:multiLevelType w:val="multilevel"/>
    <w:tmpl w:val="0248C1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03D62ECE"/>
    <w:multiLevelType w:val="multilevel"/>
    <w:tmpl w:val="03D62ECE"/>
    <w:lvl w:ilvl="0" w:tentative="0">
      <w:start w:val="1"/>
      <w:numFmt w:val="decimal"/>
      <w:lvlText w:val="%1．"/>
      <w:lvlJc w:val="left"/>
      <w:pPr>
        <w:tabs>
          <w:tab w:val="left" w:pos="768"/>
        </w:tabs>
        <w:ind w:left="768" w:hanging="360"/>
      </w:pPr>
      <w:rPr>
        <w:rFonts w:hint="eastAsia"/>
      </w:rPr>
    </w:lvl>
    <w:lvl w:ilvl="1" w:tentative="0">
      <w:start w:val="1"/>
      <w:numFmt w:val="decimal"/>
      <w:pStyle w:val="4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25B654F3"/>
    <w:multiLevelType w:val="multilevel"/>
    <w:tmpl w:val="25B654F3"/>
    <w:lvl w:ilvl="0" w:tentative="0">
      <w:start w:val="1"/>
      <w:numFmt w:val="decimal"/>
      <w:pStyle w:val="423"/>
      <w:lvlText w:val="%1."/>
      <w:lvlJc w:val="left"/>
      <w:pPr>
        <w:tabs>
          <w:tab w:val="left" w:pos="360"/>
        </w:tabs>
        <w:ind w:left="360" w:hanging="36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8">
    <w:nsid w:val="2A8F537B"/>
    <w:multiLevelType w:val="multilevel"/>
    <w:tmpl w:val="2A8F537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59ADCABA"/>
    <w:multiLevelType w:val="multilevel"/>
    <w:tmpl w:val="59ADCABA"/>
    <w:lvl w:ilvl="0" w:tentative="0">
      <w:start w:val="1"/>
      <w:numFmt w:val="decimal"/>
      <w:pStyle w:val="34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2183CF9"/>
    <w:multiLevelType w:val="multilevel"/>
    <w:tmpl w:val="72183CF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0"/>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E1C7B"/>
    <w:rsid w:val="029D398F"/>
    <w:rsid w:val="02BF64DF"/>
    <w:rsid w:val="038F71C9"/>
    <w:rsid w:val="03C53C26"/>
    <w:rsid w:val="04533DF5"/>
    <w:rsid w:val="05B64EE1"/>
    <w:rsid w:val="079271C3"/>
    <w:rsid w:val="088758FF"/>
    <w:rsid w:val="0970353C"/>
    <w:rsid w:val="0A2C6704"/>
    <w:rsid w:val="0A967038"/>
    <w:rsid w:val="0AE60A5A"/>
    <w:rsid w:val="0B09174F"/>
    <w:rsid w:val="0BEB5A3D"/>
    <w:rsid w:val="0D616EF9"/>
    <w:rsid w:val="0DC76478"/>
    <w:rsid w:val="0E1E0456"/>
    <w:rsid w:val="0EB30A56"/>
    <w:rsid w:val="0FC177BC"/>
    <w:rsid w:val="1014006E"/>
    <w:rsid w:val="103356D2"/>
    <w:rsid w:val="11FD2BDC"/>
    <w:rsid w:val="12D469A6"/>
    <w:rsid w:val="140F5AA0"/>
    <w:rsid w:val="14824A9F"/>
    <w:rsid w:val="14B2243D"/>
    <w:rsid w:val="15B43B06"/>
    <w:rsid w:val="16E54675"/>
    <w:rsid w:val="16FB7CDD"/>
    <w:rsid w:val="170C2E82"/>
    <w:rsid w:val="177D6E43"/>
    <w:rsid w:val="17A90275"/>
    <w:rsid w:val="17C52D61"/>
    <w:rsid w:val="189A74A3"/>
    <w:rsid w:val="196B7CFF"/>
    <w:rsid w:val="1A143057"/>
    <w:rsid w:val="1CAC4C24"/>
    <w:rsid w:val="1D45701B"/>
    <w:rsid w:val="1DE80FB7"/>
    <w:rsid w:val="20DD736E"/>
    <w:rsid w:val="212B7D45"/>
    <w:rsid w:val="213A23D0"/>
    <w:rsid w:val="216F237A"/>
    <w:rsid w:val="226671AC"/>
    <w:rsid w:val="22925F36"/>
    <w:rsid w:val="234C7656"/>
    <w:rsid w:val="25901F70"/>
    <w:rsid w:val="25FF38E2"/>
    <w:rsid w:val="260907D6"/>
    <w:rsid w:val="26432C84"/>
    <w:rsid w:val="2862727C"/>
    <w:rsid w:val="28FD25CF"/>
    <w:rsid w:val="290C781C"/>
    <w:rsid w:val="297812E3"/>
    <w:rsid w:val="299E4777"/>
    <w:rsid w:val="2A603E27"/>
    <w:rsid w:val="2B016518"/>
    <w:rsid w:val="2C580736"/>
    <w:rsid w:val="2CFF241A"/>
    <w:rsid w:val="2E7540FB"/>
    <w:rsid w:val="2FEB5261"/>
    <w:rsid w:val="304353DE"/>
    <w:rsid w:val="30750EE5"/>
    <w:rsid w:val="30CA7F98"/>
    <w:rsid w:val="30D52AD3"/>
    <w:rsid w:val="316867E0"/>
    <w:rsid w:val="32C013E2"/>
    <w:rsid w:val="32D83E40"/>
    <w:rsid w:val="340D4A66"/>
    <w:rsid w:val="341C6DCC"/>
    <w:rsid w:val="360B630B"/>
    <w:rsid w:val="36105BBD"/>
    <w:rsid w:val="361E756D"/>
    <w:rsid w:val="36842778"/>
    <w:rsid w:val="38190834"/>
    <w:rsid w:val="387C0DC3"/>
    <w:rsid w:val="39920063"/>
    <w:rsid w:val="39D85791"/>
    <w:rsid w:val="3A945836"/>
    <w:rsid w:val="3AAF5BC7"/>
    <w:rsid w:val="3AE758BF"/>
    <w:rsid w:val="3B8E6898"/>
    <w:rsid w:val="3D4D22AD"/>
    <w:rsid w:val="3D735FEB"/>
    <w:rsid w:val="3E2112C6"/>
    <w:rsid w:val="3E252C28"/>
    <w:rsid w:val="3E4B3711"/>
    <w:rsid w:val="3EB218F1"/>
    <w:rsid w:val="41713A29"/>
    <w:rsid w:val="41F34448"/>
    <w:rsid w:val="42673AA9"/>
    <w:rsid w:val="4292152A"/>
    <w:rsid w:val="447769B0"/>
    <w:rsid w:val="449A1D5B"/>
    <w:rsid w:val="44A931F7"/>
    <w:rsid w:val="44B36987"/>
    <w:rsid w:val="471C3E9C"/>
    <w:rsid w:val="47324A02"/>
    <w:rsid w:val="49145632"/>
    <w:rsid w:val="49E33190"/>
    <w:rsid w:val="4A230166"/>
    <w:rsid w:val="4A4116C4"/>
    <w:rsid w:val="4B1F4EA3"/>
    <w:rsid w:val="4C321DBE"/>
    <w:rsid w:val="4CA50D26"/>
    <w:rsid w:val="4CCA7EF7"/>
    <w:rsid w:val="4D9A5B1B"/>
    <w:rsid w:val="4DA70238"/>
    <w:rsid w:val="4E757543"/>
    <w:rsid w:val="4E782A0B"/>
    <w:rsid w:val="4E982C97"/>
    <w:rsid w:val="4F7A4E66"/>
    <w:rsid w:val="504906B1"/>
    <w:rsid w:val="50FB3A77"/>
    <w:rsid w:val="513E4AEA"/>
    <w:rsid w:val="5155185D"/>
    <w:rsid w:val="5181771E"/>
    <w:rsid w:val="529008F4"/>
    <w:rsid w:val="52DB08A3"/>
    <w:rsid w:val="52FE08FA"/>
    <w:rsid w:val="530025CF"/>
    <w:rsid w:val="533832DF"/>
    <w:rsid w:val="538C4158"/>
    <w:rsid w:val="543C323B"/>
    <w:rsid w:val="54AA2F28"/>
    <w:rsid w:val="56062FA7"/>
    <w:rsid w:val="563A2091"/>
    <w:rsid w:val="56FF545E"/>
    <w:rsid w:val="57C61FAA"/>
    <w:rsid w:val="58AE691E"/>
    <w:rsid w:val="5901594F"/>
    <w:rsid w:val="59837D0B"/>
    <w:rsid w:val="5AF95341"/>
    <w:rsid w:val="5B1669EF"/>
    <w:rsid w:val="5BE663CF"/>
    <w:rsid w:val="5C963E61"/>
    <w:rsid w:val="5CE24DE9"/>
    <w:rsid w:val="5F294F51"/>
    <w:rsid w:val="5F6D4AD6"/>
    <w:rsid w:val="600C0A7C"/>
    <w:rsid w:val="60B56CC7"/>
    <w:rsid w:val="613D7C42"/>
    <w:rsid w:val="616347CD"/>
    <w:rsid w:val="61CA1F20"/>
    <w:rsid w:val="6256493F"/>
    <w:rsid w:val="62994767"/>
    <w:rsid w:val="630B190D"/>
    <w:rsid w:val="63B527EE"/>
    <w:rsid w:val="656D301A"/>
    <w:rsid w:val="65B030BD"/>
    <w:rsid w:val="66A662B1"/>
    <w:rsid w:val="66AE52F7"/>
    <w:rsid w:val="66BE6511"/>
    <w:rsid w:val="66FC25F4"/>
    <w:rsid w:val="67241800"/>
    <w:rsid w:val="685A77CB"/>
    <w:rsid w:val="6D72610A"/>
    <w:rsid w:val="6E0C67E9"/>
    <w:rsid w:val="6EDD006C"/>
    <w:rsid w:val="6F007CA8"/>
    <w:rsid w:val="6F4F1B81"/>
    <w:rsid w:val="6F5C0B92"/>
    <w:rsid w:val="70953140"/>
    <w:rsid w:val="70D77694"/>
    <w:rsid w:val="72801B2F"/>
    <w:rsid w:val="72C07522"/>
    <w:rsid w:val="738A4913"/>
    <w:rsid w:val="739658FC"/>
    <w:rsid w:val="74542534"/>
    <w:rsid w:val="7609628B"/>
    <w:rsid w:val="76677540"/>
    <w:rsid w:val="77B7248E"/>
    <w:rsid w:val="77DB6972"/>
    <w:rsid w:val="78E658B1"/>
    <w:rsid w:val="790A14F7"/>
    <w:rsid w:val="793C00BE"/>
    <w:rsid w:val="7CBD54FB"/>
    <w:rsid w:val="7D6C7FB8"/>
    <w:rsid w:val="7D6F346F"/>
    <w:rsid w:val="7D924BE1"/>
    <w:rsid w:val="7F5E259D"/>
    <w:rsid w:val="7FB404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23"/>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4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4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6"/>
    <w:link w:val="47"/>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8"/>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9"/>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50"/>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51"/>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52"/>
    <w:unhideWhenUsed/>
    <w:qFormat/>
    <w:uiPriority w:val="9"/>
    <w:pPr>
      <w:keepNext/>
      <w:keepLines/>
      <w:spacing w:before="320" w:after="200"/>
      <w:outlineLvl w:val="8"/>
    </w:pPr>
    <w:rPr>
      <w:rFonts w:ascii="Arial" w:hAnsi="Arial" w:eastAsia="Arial" w:cs="Arial"/>
      <w:i/>
      <w:iCs/>
      <w:sz w:val="21"/>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autoSpaceDE w:val="0"/>
      <w:autoSpaceDN w:val="0"/>
      <w:adjustRightInd w:val="0"/>
      <w:ind w:firstLine="420"/>
      <w:jc w:val="left"/>
    </w:pPr>
    <w:rPr>
      <w:rFonts w:ascii="宋体"/>
      <w:sz w:val="24"/>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Document Map"/>
    <w:basedOn w:val="1"/>
    <w:next w:val="1"/>
    <w:qFormat/>
    <w:uiPriority w:val="0"/>
    <w:pPr>
      <w:shd w:val="clear" w:color="auto" w:fill="000080"/>
    </w:pPr>
  </w:style>
  <w:style w:type="paragraph" w:styleId="15">
    <w:name w:val="annotation text"/>
    <w:basedOn w:val="1"/>
    <w:semiHidden/>
    <w:unhideWhenUsed/>
    <w:qFormat/>
    <w:uiPriority w:val="99"/>
    <w:pPr>
      <w:jc w:val="left"/>
    </w:pPr>
  </w:style>
  <w:style w:type="paragraph" w:styleId="16">
    <w:name w:val="Body Text"/>
    <w:basedOn w:val="1"/>
    <w:next w:val="1"/>
    <w:qFormat/>
    <w:uiPriority w:val="0"/>
    <w:pPr>
      <w:tabs>
        <w:tab w:val="left" w:pos="567"/>
      </w:tabs>
      <w:spacing w:before="120" w:line="22" w:lineRule="atLeast"/>
    </w:pPr>
    <w:rPr>
      <w:rFonts w:ascii="宋体" w:hAnsi="宋体"/>
      <w:sz w:val="24"/>
    </w:rPr>
  </w:style>
  <w:style w:type="paragraph" w:styleId="17">
    <w:name w:val="Body Text Indent"/>
    <w:basedOn w:val="1"/>
    <w:next w:val="1"/>
    <w:qFormat/>
    <w:uiPriority w:val="0"/>
    <w:pPr>
      <w:spacing w:line="360" w:lineRule="auto"/>
      <w:ind w:firstLine="570"/>
    </w:pPr>
    <w:rPr>
      <w:sz w:val="24"/>
    </w:rPr>
  </w:style>
  <w:style w:type="paragraph" w:styleId="18">
    <w:name w:val="toc 5"/>
    <w:basedOn w:val="1"/>
    <w:next w:val="1"/>
    <w:unhideWhenUsed/>
    <w:qFormat/>
    <w:uiPriority w:val="39"/>
    <w:pPr>
      <w:spacing w:after="57"/>
      <w:ind w:left="1134" w:right="0" w:firstLine="0"/>
    </w:pPr>
  </w:style>
  <w:style w:type="paragraph" w:styleId="19">
    <w:name w:val="toc 3"/>
    <w:basedOn w:val="1"/>
    <w:next w:val="1"/>
    <w:unhideWhenUsed/>
    <w:qFormat/>
    <w:uiPriority w:val="39"/>
    <w:pPr>
      <w:spacing w:after="57"/>
      <w:ind w:left="567" w:right="0" w:firstLine="0"/>
    </w:pPr>
  </w:style>
  <w:style w:type="paragraph" w:styleId="20">
    <w:name w:val="Plain Text"/>
    <w:basedOn w:val="1"/>
    <w:next w:val="6"/>
    <w:qFormat/>
    <w:uiPriority w:val="0"/>
    <w:rPr>
      <w:rFonts w:hint="eastAsia" w:ascii="宋体" w:hAnsi="Courier New"/>
      <w:szCs w:val="20"/>
    </w:rPr>
  </w:style>
  <w:style w:type="paragraph" w:styleId="21">
    <w:name w:val="toc 8"/>
    <w:basedOn w:val="1"/>
    <w:next w:val="1"/>
    <w:unhideWhenUsed/>
    <w:qFormat/>
    <w:uiPriority w:val="39"/>
    <w:pPr>
      <w:spacing w:after="57"/>
      <w:ind w:left="1984" w:right="0" w:firstLine="0"/>
    </w:pPr>
  </w:style>
  <w:style w:type="paragraph" w:styleId="22">
    <w:name w:val="endnote text"/>
    <w:basedOn w:val="1"/>
    <w:link w:val="189"/>
    <w:semiHidden/>
    <w:unhideWhenUsed/>
    <w:qFormat/>
    <w:uiPriority w:val="99"/>
    <w:pPr>
      <w:spacing w:after="0" w:line="240" w:lineRule="auto"/>
    </w:pPr>
    <w:rPr>
      <w:sz w:val="20"/>
    </w:rPr>
  </w:style>
  <w:style w:type="paragraph" w:styleId="23">
    <w:name w:val="footer"/>
    <w:basedOn w:val="1"/>
    <w:link w:val="62"/>
    <w:unhideWhenUsed/>
    <w:qFormat/>
    <w:uiPriority w:val="99"/>
    <w:pPr>
      <w:tabs>
        <w:tab w:val="center" w:pos="7143"/>
        <w:tab w:val="right" w:pos="14287"/>
      </w:tabs>
      <w:spacing w:after="0" w:line="240" w:lineRule="auto"/>
    </w:pPr>
  </w:style>
  <w:style w:type="paragraph" w:styleId="24">
    <w:name w:val="header"/>
    <w:basedOn w:val="1"/>
    <w:link w:val="60"/>
    <w:unhideWhenUsed/>
    <w:qFormat/>
    <w:uiPriority w:val="99"/>
    <w:pPr>
      <w:tabs>
        <w:tab w:val="center" w:pos="7143"/>
        <w:tab w:val="right" w:pos="14287"/>
      </w:tabs>
      <w:spacing w:after="0" w:line="240" w:lineRule="auto"/>
    </w:pPr>
  </w:style>
  <w:style w:type="paragraph" w:styleId="25">
    <w:name w:val="toc 1"/>
    <w:basedOn w:val="1"/>
    <w:next w:val="1"/>
    <w:unhideWhenUsed/>
    <w:qFormat/>
    <w:uiPriority w:val="39"/>
    <w:pPr>
      <w:spacing w:after="57"/>
      <w:ind w:left="0" w:right="0" w:firstLine="0"/>
    </w:pPr>
  </w:style>
  <w:style w:type="paragraph" w:styleId="26">
    <w:name w:val="toc 4"/>
    <w:basedOn w:val="1"/>
    <w:next w:val="1"/>
    <w:unhideWhenUsed/>
    <w:qFormat/>
    <w:uiPriority w:val="39"/>
    <w:pPr>
      <w:spacing w:after="57"/>
      <w:ind w:left="850" w:right="0" w:firstLine="0"/>
    </w:pPr>
  </w:style>
  <w:style w:type="paragraph" w:styleId="27">
    <w:name w:val="Subtitle"/>
    <w:basedOn w:val="1"/>
    <w:next w:val="1"/>
    <w:link w:val="55"/>
    <w:qFormat/>
    <w:uiPriority w:val="11"/>
    <w:pPr>
      <w:spacing w:before="200" w:after="200"/>
    </w:pPr>
    <w:rPr>
      <w:sz w:val="24"/>
      <w:szCs w:val="24"/>
    </w:rPr>
  </w:style>
  <w:style w:type="paragraph" w:styleId="28">
    <w:name w:val="footnote text"/>
    <w:basedOn w:val="1"/>
    <w:link w:val="188"/>
    <w:semiHidden/>
    <w:unhideWhenUsed/>
    <w:qFormat/>
    <w:uiPriority w:val="99"/>
    <w:pPr>
      <w:spacing w:after="40" w:line="240" w:lineRule="auto"/>
    </w:pPr>
    <w:rPr>
      <w:sz w:val="18"/>
    </w:rPr>
  </w:style>
  <w:style w:type="paragraph" w:styleId="29">
    <w:name w:val="toc 6"/>
    <w:basedOn w:val="1"/>
    <w:next w:val="1"/>
    <w:unhideWhenUsed/>
    <w:qFormat/>
    <w:uiPriority w:val="39"/>
    <w:pPr>
      <w:spacing w:after="57"/>
      <w:ind w:left="1417" w:right="0" w:firstLine="0"/>
    </w:pPr>
  </w:style>
  <w:style w:type="paragraph" w:styleId="30">
    <w:name w:val="table of figures"/>
    <w:basedOn w:val="1"/>
    <w:next w:val="1"/>
    <w:unhideWhenUsed/>
    <w:qFormat/>
    <w:uiPriority w:val="99"/>
    <w:pPr>
      <w:spacing w:after="0" w:afterAutospacing="0"/>
    </w:pPr>
  </w:style>
  <w:style w:type="paragraph" w:styleId="31">
    <w:name w:val="toc 2"/>
    <w:basedOn w:val="1"/>
    <w:next w:val="1"/>
    <w:unhideWhenUsed/>
    <w:qFormat/>
    <w:uiPriority w:val="39"/>
    <w:pPr>
      <w:spacing w:after="57"/>
      <w:ind w:left="283" w:right="0" w:firstLine="0"/>
    </w:pPr>
  </w:style>
  <w:style w:type="paragraph" w:styleId="32">
    <w:name w:val="toc 9"/>
    <w:basedOn w:val="1"/>
    <w:next w:val="1"/>
    <w:unhideWhenUsed/>
    <w:qFormat/>
    <w:uiPriority w:val="39"/>
    <w:pPr>
      <w:spacing w:after="57"/>
      <w:ind w:left="2268" w:right="0" w:firstLine="0"/>
    </w:pPr>
  </w:style>
  <w:style w:type="paragraph" w:styleId="33">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4">
    <w:name w:val="Title"/>
    <w:basedOn w:val="1"/>
    <w:next w:val="1"/>
    <w:link w:val="54"/>
    <w:qFormat/>
    <w:uiPriority w:val="10"/>
    <w:pPr>
      <w:spacing w:before="300" w:after="200"/>
      <w:contextualSpacing/>
    </w:pPr>
    <w:rPr>
      <w:sz w:val="48"/>
      <w:szCs w:val="48"/>
    </w:rPr>
  </w:style>
  <w:style w:type="paragraph" w:styleId="35">
    <w:name w:val="Body Text First Indent 2"/>
    <w:basedOn w:val="17"/>
    <w:next w:val="1"/>
    <w:qFormat/>
    <w:uiPriority w:val="0"/>
    <w:pPr>
      <w:adjustRightInd w:val="0"/>
      <w:spacing w:after="120" w:line="360" w:lineRule="auto"/>
      <w:ind w:left="420" w:firstLine="420"/>
      <w:textAlignment w:val="baseline"/>
    </w:pPr>
    <w:rPr>
      <w:color w:val="000000"/>
      <w:kern w:val="0"/>
      <w:sz w:val="20"/>
      <w:szCs w:val="24"/>
    </w:rPr>
  </w:style>
  <w:style w:type="table" w:styleId="37">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9">
    <w:name w:val="endnote reference"/>
    <w:semiHidden/>
    <w:unhideWhenUsed/>
    <w:qFormat/>
    <w:uiPriority w:val="99"/>
    <w:rPr>
      <w:vertAlign w:val="superscript"/>
    </w:rPr>
  </w:style>
  <w:style w:type="character" w:styleId="40">
    <w:name w:val="Emphasis"/>
    <w:qFormat/>
    <w:uiPriority w:val="0"/>
    <w:rPr>
      <w:color w:val="CC0033"/>
    </w:rPr>
  </w:style>
  <w:style w:type="character" w:styleId="41">
    <w:name w:val="Hyperlink"/>
    <w:unhideWhenUsed/>
    <w:qFormat/>
    <w:uiPriority w:val="99"/>
    <w:rPr>
      <w:color w:val="0000FF" w:themeColor="hyperlink"/>
      <w:u w:val="single"/>
      <w14:textFill>
        <w14:solidFill>
          <w14:schemeClr w14:val="hlink"/>
        </w14:solidFill>
      </w14:textFill>
    </w:rPr>
  </w:style>
  <w:style w:type="character" w:styleId="42">
    <w:name w:val="footnote reference"/>
    <w:unhideWhenUsed/>
    <w:qFormat/>
    <w:uiPriority w:val="99"/>
    <w:rPr>
      <w:vertAlign w:val="superscript"/>
    </w:rPr>
  </w:style>
  <w:style w:type="paragraph" w:customStyle="1" w:styleId="43">
    <w:name w:val="段"/>
    <w:next w:val="1"/>
    <w:unhideWhenUsed/>
    <w:qFormat/>
    <w:uiPriority w:val="0"/>
    <w:pPr>
      <w:spacing w:line="360" w:lineRule="auto"/>
      <w:ind w:firstLine="200"/>
      <w:jc w:val="both"/>
    </w:pPr>
    <w:rPr>
      <w:rFonts w:hint="eastAsia" w:ascii="宋体" w:hAnsi="Times New Roman" w:eastAsia="宋体" w:cs="Times New Roman"/>
      <w:sz w:val="24"/>
      <w:lang w:val="en-US" w:eastAsia="zh-CN" w:bidi="ar-SA"/>
    </w:rPr>
  </w:style>
  <w:style w:type="character" w:customStyle="1" w:styleId="44">
    <w:name w:val="Heading 1 Char"/>
    <w:link w:val="2"/>
    <w:qFormat/>
    <w:uiPriority w:val="9"/>
    <w:rPr>
      <w:rFonts w:ascii="Arial" w:hAnsi="Arial" w:eastAsia="Arial" w:cs="Arial"/>
      <w:sz w:val="40"/>
      <w:szCs w:val="40"/>
    </w:rPr>
  </w:style>
  <w:style w:type="character" w:customStyle="1" w:styleId="45">
    <w:name w:val="Heading 2 Char"/>
    <w:link w:val="3"/>
    <w:qFormat/>
    <w:uiPriority w:val="9"/>
    <w:rPr>
      <w:rFonts w:ascii="Arial" w:hAnsi="Arial" w:eastAsia="Arial" w:cs="Arial"/>
      <w:sz w:val="34"/>
    </w:rPr>
  </w:style>
  <w:style w:type="character" w:customStyle="1" w:styleId="46">
    <w:name w:val="Heading 3 Char"/>
    <w:link w:val="4"/>
    <w:qFormat/>
    <w:uiPriority w:val="9"/>
    <w:rPr>
      <w:rFonts w:ascii="Arial" w:hAnsi="Arial" w:eastAsia="Arial" w:cs="Arial"/>
      <w:sz w:val="30"/>
      <w:szCs w:val="30"/>
    </w:rPr>
  </w:style>
  <w:style w:type="character" w:customStyle="1" w:styleId="47">
    <w:name w:val="Heading 4 Char"/>
    <w:link w:val="5"/>
    <w:qFormat/>
    <w:uiPriority w:val="9"/>
    <w:rPr>
      <w:rFonts w:ascii="Arial" w:hAnsi="Arial" w:eastAsia="Arial" w:cs="Arial"/>
      <w:b/>
      <w:bCs/>
      <w:sz w:val="26"/>
      <w:szCs w:val="26"/>
    </w:rPr>
  </w:style>
  <w:style w:type="character" w:customStyle="1" w:styleId="48">
    <w:name w:val="Heading 5 Char"/>
    <w:link w:val="7"/>
    <w:qFormat/>
    <w:uiPriority w:val="9"/>
    <w:rPr>
      <w:rFonts w:ascii="Arial" w:hAnsi="Arial" w:eastAsia="Arial" w:cs="Arial"/>
      <w:b/>
      <w:bCs/>
      <w:sz w:val="24"/>
      <w:szCs w:val="24"/>
    </w:rPr>
  </w:style>
  <w:style w:type="character" w:customStyle="1" w:styleId="49">
    <w:name w:val="Heading 6 Char"/>
    <w:link w:val="8"/>
    <w:qFormat/>
    <w:uiPriority w:val="9"/>
    <w:rPr>
      <w:rFonts w:ascii="Arial" w:hAnsi="Arial" w:eastAsia="Arial" w:cs="Arial"/>
      <w:b/>
      <w:bCs/>
      <w:sz w:val="22"/>
      <w:szCs w:val="22"/>
    </w:rPr>
  </w:style>
  <w:style w:type="character" w:customStyle="1" w:styleId="50">
    <w:name w:val="Heading 7 Char"/>
    <w:link w:val="9"/>
    <w:qFormat/>
    <w:uiPriority w:val="9"/>
    <w:rPr>
      <w:rFonts w:ascii="Arial" w:hAnsi="Arial" w:eastAsia="Arial" w:cs="Arial"/>
      <w:b/>
      <w:bCs/>
      <w:i/>
      <w:iCs/>
      <w:sz w:val="22"/>
      <w:szCs w:val="22"/>
    </w:rPr>
  </w:style>
  <w:style w:type="character" w:customStyle="1" w:styleId="51">
    <w:name w:val="Heading 8 Char"/>
    <w:link w:val="10"/>
    <w:qFormat/>
    <w:uiPriority w:val="9"/>
    <w:rPr>
      <w:rFonts w:ascii="Arial" w:hAnsi="Arial" w:eastAsia="Arial" w:cs="Arial"/>
      <w:i/>
      <w:iCs/>
      <w:sz w:val="22"/>
      <w:szCs w:val="22"/>
    </w:rPr>
  </w:style>
  <w:style w:type="character" w:customStyle="1" w:styleId="52">
    <w:name w:val="Heading 9 Char"/>
    <w:link w:val="11"/>
    <w:qFormat/>
    <w:uiPriority w:val="9"/>
    <w:rPr>
      <w:rFonts w:ascii="Arial" w:hAnsi="Arial" w:eastAsia="Arial" w:cs="Arial"/>
      <w:i/>
      <w:iCs/>
      <w:sz w:val="21"/>
      <w:szCs w:val="21"/>
    </w:rPr>
  </w:style>
  <w:style w:type="paragraph" w:styleId="53">
    <w:name w:val="No Spacing"/>
    <w:qFormat/>
    <w:uiPriority w:val="1"/>
    <w:pPr>
      <w:spacing w:before="0" w:after="0" w:line="240" w:lineRule="auto"/>
    </w:pPr>
    <w:rPr>
      <w:rFonts w:hint="default" w:ascii="Times New Roman" w:hAnsi="Times New Roman" w:eastAsia="宋体" w:cs="Times New Roman"/>
    </w:rPr>
  </w:style>
  <w:style w:type="character" w:customStyle="1" w:styleId="54">
    <w:name w:val="Title Char"/>
    <w:link w:val="34"/>
    <w:qFormat/>
    <w:uiPriority w:val="10"/>
    <w:rPr>
      <w:sz w:val="48"/>
      <w:szCs w:val="48"/>
    </w:rPr>
  </w:style>
  <w:style w:type="character" w:customStyle="1" w:styleId="55">
    <w:name w:val="Subtitle Char"/>
    <w:link w:val="27"/>
    <w:qFormat/>
    <w:uiPriority w:val="11"/>
    <w:rPr>
      <w:sz w:val="24"/>
      <w:szCs w:val="24"/>
    </w:rPr>
  </w:style>
  <w:style w:type="paragraph" w:styleId="56">
    <w:name w:val="Quote"/>
    <w:basedOn w:val="1"/>
    <w:next w:val="1"/>
    <w:link w:val="57"/>
    <w:qFormat/>
    <w:uiPriority w:val="29"/>
    <w:pPr>
      <w:ind w:left="720" w:right="720"/>
    </w:pPr>
    <w:rPr>
      <w:i/>
    </w:rPr>
  </w:style>
  <w:style w:type="character" w:customStyle="1" w:styleId="57">
    <w:name w:val="Quote Char"/>
    <w:link w:val="56"/>
    <w:qFormat/>
    <w:uiPriority w:val="29"/>
    <w:rPr>
      <w:i/>
    </w:rPr>
  </w:style>
  <w:style w:type="paragraph" w:styleId="58">
    <w:name w:val="Intense Quote"/>
    <w:basedOn w:val="1"/>
    <w:next w:val="1"/>
    <w:link w:val="5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9">
    <w:name w:val="Intense Quote Char"/>
    <w:link w:val="58"/>
    <w:qFormat/>
    <w:uiPriority w:val="30"/>
    <w:rPr>
      <w:i/>
    </w:rPr>
  </w:style>
  <w:style w:type="character" w:customStyle="1" w:styleId="60">
    <w:name w:val="Header Char"/>
    <w:link w:val="24"/>
    <w:qFormat/>
    <w:uiPriority w:val="99"/>
  </w:style>
  <w:style w:type="character" w:customStyle="1" w:styleId="61">
    <w:name w:val="Footer Char"/>
    <w:link w:val="23"/>
    <w:qFormat/>
    <w:uiPriority w:val="99"/>
  </w:style>
  <w:style w:type="character" w:customStyle="1" w:styleId="62">
    <w:name w:val="Caption Char"/>
    <w:link w:val="23"/>
    <w:qFormat/>
    <w:uiPriority w:val="99"/>
  </w:style>
  <w:style w:type="table" w:customStyle="1" w:styleId="63">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4">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5">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6">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7">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8">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9">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0">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1">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2">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3">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4">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5">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6">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8">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9">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0">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1">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2">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3">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5">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6">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7">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8">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9">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0">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1">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2">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3">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4">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5">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6">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7">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8">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9">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0">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1">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2">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3">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4">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6">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7">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8">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9">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0">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1">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2">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3">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4">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5">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6">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7">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8">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9">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0">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1">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2">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3">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4">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5">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6">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7">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8">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9">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0">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1">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2">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3">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4">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5">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6">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7">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8">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9">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0">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1">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2">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3">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4">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5">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6">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7">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8">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9">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0">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1">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2">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3">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4">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5">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6">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7">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8">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9">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0">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1">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2">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3">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4">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5">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6">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7">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9">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0">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1">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2">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3">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4">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5">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6">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7">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8">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9">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0">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1">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2">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3">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4">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5">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6">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7">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8">
    <w:name w:val="Footnote Text Char"/>
    <w:link w:val="28"/>
    <w:qFormat/>
    <w:uiPriority w:val="99"/>
    <w:rPr>
      <w:sz w:val="18"/>
    </w:rPr>
  </w:style>
  <w:style w:type="character" w:customStyle="1" w:styleId="189">
    <w:name w:val="Endnote Text Char"/>
    <w:link w:val="22"/>
    <w:qFormat/>
    <w:uiPriority w:val="99"/>
    <w:rPr>
      <w:sz w:val="20"/>
    </w:rPr>
  </w:style>
  <w:style w:type="paragraph" w:customStyle="1" w:styleId="190">
    <w:name w:val="TOC Heading"/>
    <w:unhideWhenUsed/>
    <w:qFormat/>
    <w:uiPriority w:val="39"/>
    <w:rPr>
      <w:rFonts w:hint="default" w:ascii="Times New Roman" w:hAnsi="Times New Roman" w:eastAsia="宋体" w:cs="Times New Roman"/>
    </w:rPr>
  </w:style>
  <w:style w:type="paragraph" w:customStyle="1" w:styleId="191">
    <w:name w:val="标题 11"/>
    <w:basedOn w:val="1"/>
    <w:next w:val="1"/>
    <w:link w:val="203"/>
    <w:qFormat/>
    <w:uiPriority w:val="0"/>
    <w:pPr>
      <w:keepNext/>
      <w:keepLines/>
      <w:spacing w:before="240" w:after="120" w:line="300" w:lineRule="auto"/>
      <w:jc w:val="center"/>
      <w:outlineLvl w:val="0"/>
    </w:pPr>
    <w:rPr>
      <w:rFonts w:ascii="宋体"/>
      <w:b/>
      <w:sz w:val="32"/>
      <w:szCs w:val="20"/>
    </w:rPr>
  </w:style>
  <w:style w:type="paragraph" w:customStyle="1" w:styleId="192">
    <w:name w:val="标题 21"/>
    <w:basedOn w:val="1"/>
    <w:next w:val="193"/>
    <w:link w:val="204"/>
    <w:qFormat/>
    <w:uiPriority w:val="0"/>
    <w:pPr>
      <w:keepNext/>
      <w:keepLines/>
      <w:spacing w:before="120" w:line="300" w:lineRule="auto"/>
      <w:jc w:val="center"/>
      <w:outlineLvl w:val="1"/>
    </w:pPr>
    <w:rPr>
      <w:rFonts w:ascii="Arial" w:hAnsi="Arial" w:eastAsia="黑体"/>
      <w:b/>
      <w:sz w:val="30"/>
      <w:szCs w:val="20"/>
    </w:rPr>
  </w:style>
  <w:style w:type="paragraph" w:customStyle="1" w:styleId="193">
    <w:name w:val="正文缩进11"/>
    <w:basedOn w:val="1"/>
    <w:next w:val="1"/>
    <w:link w:val="205"/>
    <w:qFormat/>
    <w:uiPriority w:val="0"/>
    <w:pPr>
      <w:ind w:firstLine="420"/>
      <w:jc w:val="left"/>
    </w:pPr>
    <w:rPr>
      <w:rFonts w:ascii="宋体"/>
      <w:sz w:val="24"/>
    </w:rPr>
  </w:style>
  <w:style w:type="paragraph" w:customStyle="1" w:styleId="194">
    <w:name w:val="标题 31"/>
    <w:basedOn w:val="1"/>
    <w:next w:val="1"/>
    <w:link w:val="206"/>
    <w:qFormat/>
    <w:uiPriority w:val="0"/>
    <w:pPr>
      <w:keepNext/>
      <w:keepLines/>
      <w:spacing w:before="360" w:after="120"/>
      <w:jc w:val="left"/>
      <w:outlineLvl w:val="2"/>
    </w:pPr>
    <w:rPr>
      <w:rFonts w:ascii="宋体"/>
      <w:b/>
      <w:sz w:val="24"/>
      <w:szCs w:val="20"/>
      <w:u w:val="single"/>
    </w:rPr>
  </w:style>
  <w:style w:type="paragraph" w:customStyle="1" w:styleId="195">
    <w:name w:val="标题 41"/>
    <w:basedOn w:val="1"/>
    <w:next w:val="1"/>
    <w:link w:val="207"/>
    <w:qFormat/>
    <w:uiPriority w:val="0"/>
    <w:pPr>
      <w:keepNext/>
      <w:keepLines/>
      <w:spacing w:before="280" w:after="290" w:line="376" w:lineRule="atLeast"/>
      <w:outlineLvl w:val="3"/>
    </w:pPr>
    <w:rPr>
      <w:rFonts w:ascii="Arial" w:hAnsi="Arial" w:eastAsia="黑体"/>
      <w:b/>
      <w:sz w:val="28"/>
      <w:szCs w:val="20"/>
    </w:rPr>
  </w:style>
  <w:style w:type="paragraph" w:customStyle="1" w:styleId="196">
    <w:name w:val="标题 51"/>
    <w:basedOn w:val="1"/>
    <w:next w:val="1"/>
    <w:link w:val="208"/>
    <w:qFormat/>
    <w:uiPriority w:val="0"/>
    <w:pPr>
      <w:keepNext/>
      <w:keepLines/>
      <w:spacing w:before="280" w:after="290" w:line="376" w:lineRule="atLeast"/>
      <w:outlineLvl w:val="4"/>
    </w:pPr>
    <w:rPr>
      <w:b/>
      <w:sz w:val="28"/>
      <w:szCs w:val="20"/>
    </w:rPr>
  </w:style>
  <w:style w:type="paragraph" w:customStyle="1" w:styleId="197">
    <w:name w:val="标题 61"/>
    <w:basedOn w:val="1"/>
    <w:next w:val="1"/>
    <w:link w:val="209"/>
    <w:qFormat/>
    <w:uiPriority w:val="0"/>
    <w:pPr>
      <w:keepNext/>
      <w:keepLines/>
      <w:spacing w:before="240" w:after="64" w:line="320" w:lineRule="atLeast"/>
      <w:outlineLvl w:val="5"/>
    </w:pPr>
    <w:rPr>
      <w:rFonts w:ascii="Arial" w:hAnsi="Arial" w:eastAsia="黑体"/>
      <w:b/>
      <w:sz w:val="24"/>
      <w:szCs w:val="20"/>
    </w:rPr>
  </w:style>
  <w:style w:type="paragraph" w:customStyle="1" w:styleId="198">
    <w:name w:val="标题 71"/>
    <w:basedOn w:val="1"/>
    <w:next w:val="1"/>
    <w:link w:val="210"/>
    <w:qFormat/>
    <w:uiPriority w:val="0"/>
    <w:pPr>
      <w:keepNext/>
      <w:keepLines/>
      <w:spacing w:before="240" w:after="64" w:line="320" w:lineRule="atLeast"/>
      <w:outlineLvl w:val="6"/>
    </w:pPr>
    <w:rPr>
      <w:b/>
      <w:sz w:val="24"/>
      <w:szCs w:val="20"/>
    </w:rPr>
  </w:style>
  <w:style w:type="paragraph" w:customStyle="1" w:styleId="199">
    <w:name w:val="标题 81"/>
    <w:basedOn w:val="1"/>
    <w:next w:val="1"/>
    <w:link w:val="211"/>
    <w:qFormat/>
    <w:uiPriority w:val="0"/>
    <w:pPr>
      <w:keepNext/>
      <w:keepLines/>
      <w:spacing w:before="240" w:after="64" w:line="320" w:lineRule="atLeast"/>
      <w:outlineLvl w:val="7"/>
    </w:pPr>
    <w:rPr>
      <w:rFonts w:ascii="Arial" w:hAnsi="Arial" w:eastAsia="黑体"/>
      <w:sz w:val="24"/>
      <w:szCs w:val="20"/>
    </w:rPr>
  </w:style>
  <w:style w:type="paragraph" w:customStyle="1" w:styleId="200">
    <w:name w:val="标题 91"/>
    <w:basedOn w:val="1"/>
    <w:next w:val="1"/>
    <w:link w:val="212"/>
    <w:qFormat/>
    <w:uiPriority w:val="0"/>
    <w:pPr>
      <w:keepNext/>
      <w:keepLines/>
      <w:spacing w:before="240" w:after="64" w:line="320" w:lineRule="atLeast"/>
      <w:outlineLvl w:val="8"/>
    </w:pPr>
    <w:rPr>
      <w:rFonts w:ascii="Arial" w:hAnsi="Arial" w:eastAsia="黑体"/>
      <w:szCs w:val="20"/>
    </w:rPr>
  </w:style>
  <w:style w:type="character" w:customStyle="1" w:styleId="201">
    <w:name w:val="默认段落字体1"/>
    <w:link w:val="1"/>
    <w:unhideWhenUsed/>
    <w:qFormat/>
    <w:uiPriority w:val="1"/>
  </w:style>
  <w:style w:type="table" w:customStyle="1" w:styleId="202">
    <w:name w:val="普通表格1"/>
    <w:unhideWhenUsed/>
    <w:qFormat/>
    <w:uiPriority w:val="99"/>
  </w:style>
  <w:style w:type="character" w:customStyle="1" w:styleId="203">
    <w:name w:val="标题 1 Char"/>
    <w:basedOn w:val="201"/>
    <w:link w:val="191"/>
    <w:qFormat/>
    <w:uiPriority w:val="0"/>
    <w:rPr>
      <w:rFonts w:ascii="宋体"/>
      <w:b/>
      <w:sz w:val="32"/>
    </w:rPr>
  </w:style>
  <w:style w:type="character" w:customStyle="1" w:styleId="204">
    <w:name w:val="标题 2 Char1"/>
    <w:link w:val="192"/>
    <w:qFormat/>
    <w:uiPriority w:val="0"/>
    <w:rPr>
      <w:rFonts w:ascii="Arial" w:hAnsi="Arial" w:eastAsia="黑体"/>
      <w:b/>
      <w:sz w:val="30"/>
      <w:lang w:val="en-US" w:eastAsia="zh-CN" w:bidi="ar-SA"/>
    </w:rPr>
  </w:style>
  <w:style w:type="character" w:customStyle="1" w:styleId="205">
    <w:name w:val="正文缩进 Char1"/>
    <w:link w:val="193"/>
    <w:qFormat/>
    <w:uiPriority w:val="0"/>
    <w:rPr>
      <w:rFonts w:ascii="宋体" w:eastAsia="宋体"/>
      <w:sz w:val="24"/>
      <w:szCs w:val="24"/>
      <w:lang w:val="en-US" w:eastAsia="zh-CN" w:bidi="ar-SA"/>
    </w:rPr>
  </w:style>
  <w:style w:type="character" w:customStyle="1" w:styleId="206">
    <w:name w:val="标题 3 Char1"/>
    <w:link w:val="194"/>
    <w:qFormat/>
    <w:uiPriority w:val="0"/>
    <w:rPr>
      <w:rFonts w:ascii="宋体" w:eastAsia="宋体"/>
      <w:b/>
      <w:sz w:val="24"/>
      <w:u w:val="single"/>
      <w:lang w:val="en-US" w:eastAsia="zh-CN" w:bidi="ar-SA"/>
    </w:rPr>
  </w:style>
  <w:style w:type="character" w:customStyle="1" w:styleId="207">
    <w:name w:val="标题 4 Char"/>
    <w:basedOn w:val="201"/>
    <w:link w:val="195"/>
    <w:qFormat/>
    <w:uiPriority w:val="0"/>
    <w:rPr>
      <w:rFonts w:ascii="Arial" w:hAnsi="Arial" w:eastAsia="黑体"/>
      <w:b/>
      <w:sz w:val="28"/>
    </w:rPr>
  </w:style>
  <w:style w:type="character" w:customStyle="1" w:styleId="208">
    <w:name w:val="标题 5 Char"/>
    <w:basedOn w:val="201"/>
    <w:link w:val="196"/>
    <w:qFormat/>
    <w:uiPriority w:val="0"/>
    <w:rPr>
      <w:b/>
      <w:sz w:val="28"/>
    </w:rPr>
  </w:style>
  <w:style w:type="character" w:customStyle="1" w:styleId="209">
    <w:name w:val="标题 6 Char"/>
    <w:basedOn w:val="201"/>
    <w:link w:val="197"/>
    <w:qFormat/>
    <w:uiPriority w:val="0"/>
    <w:rPr>
      <w:rFonts w:ascii="Arial" w:hAnsi="Arial" w:eastAsia="黑体"/>
      <w:b/>
      <w:sz w:val="24"/>
    </w:rPr>
  </w:style>
  <w:style w:type="character" w:customStyle="1" w:styleId="210">
    <w:name w:val="标题 7 Char"/>
    <w:basedOn w:val="201"/>
    <w:link w:val="198"/>
    <w:qFormat/>
    <w:uiPriority w:val="0"/>
    <w:rPr>
      <w:b/>
      <w:sz w:val="24"/>
    </w:rPr>
  </w:style>
  <w:style w:type="character" w:customStyle="1" w:styleId="211">
    <w:name w:val="标题 8 Char"/>
    <w:basedOn w:val="201"/>
    <w:link w:val="199"/>
    <w:qFormat/>
    <w:uiPriority w:val="0"/>
    <w:rPr>
      <w:rFonts w:ascii="Arial" w:hAnsi="Arial" w:eastAsia="黑体"/>
      <w:sz w:val="24"/>
    </w:rPr>
  </w:style>
  <w:style w:type="character" w:customStyle="1" w:styleId="212">
    <w:name w:val="标题 9 Char"/>
    <w:basedOn w:val="201"/>
    <w:link w:val="200"/>
    <w:qFormat/>
    <w:uiPriority w:val="0"/>
    <w:rPr>
      <w:rFonts w:ascii="Arial" w:hAnsi="Arial" w:eastAsia="黑体"/>
      <w:sz w:val="21"/>
    </w:rPr>
  </w:style>
  <w:style w:type="paragraph" w:customStyle="1" w:styleId="213">
    <w:name w:val="目录 71"/>
    <w:basedOn w:val="1"/>
    <w:next w:val="1"/>
    <w:qFormat/>
    <w:uiPriority w:val="0"/>
    <w:pPr>
      <w:ind w:left="2520"/>
    </w:pPr>
  </w:style>
  <w:style w:type="paragraph" w:customStyle="1" w:styleId="214">
    <w:name w:val="题注1"/>
    <w:basedOn w:val="1"/>
    <w:next w:val="1"/>
    <w:qFormat/>
    <w:uiPriority w:val="0"/>
    <w:pPr>
      <w:spacing w:line="480" w:lineRule="auto"/>
    </w:pPr>
    <w:rPr>
      <w:rFonts w:ascii="华文中宋" w:hAnsi="华文中宋" w:eastAsia="华文中宋"/>
      <w:sz w:val="36"/>
      <w:szCs w:val="20"/>
    </w:rPr>
  </w:style>
  <w:style w:type="paragraph" w:customStyle="1" w:styleId="215">
    <w:name w:val="索引 51"/>
    <w:basedOn w:val="1"/>
    <w:next w:val="1"/>
    <w:unhideWhenUsed/>
    <w:qFormat/>
    <w:uiPriority w:val="99"/>
    <w:pPr>
      <w:ind w:left="800"/>
    </w:pPr>
  </w:style>
  <w:style w:type="paragraph" w:customStyle="1" w:styleId="216">
    <w:name w:val="文档结构图1"/>
    <w:basedOn w:val="1"/>
    <w:next w:val="1"/>
    <w:link w:val="217"/>
    <w:qFormat/>
    <w:uiPriority w:val="0"/>
    <w:pPr>
      <w:shd w:val="clear" w:color="auto" w:fill="000080"/>
    </w:pPr>
  </w:style>
  <w:style w:type="character" w:customStyle="1" w:styleId="217">
    <w:name w:val="文档结构图 Char"/>
    <w:basedOn w:val="201"/>
    <w:link w:val="216"/>
    <w:qFormat/>
    <w:uiPriority w:val="0"/>
    <w:rPr>
      <w:sz w:val="21"/>
      <w:szCs w:val="24"/>
      <w:shd w:val="clear" w:color="auto" w:fill="000080"/>
    </w:rPr>
  </w:style>
  <w:style w:type="paragraph" w:customStyle="1" w:styleId="218">
    <w:name w:val="批注文字1"/>
    <w:basedOn w:val="1"/>
    <w:link w:val="219"/>
    <w:qFormat/>
    <w:uiPriority w:val="99"/>
    <w:pPr>
      <w:jc w:val="left"/>
    </w:pPr>
  </w:style>
  <w:style w:type="character" w:customStyle="1" w:styleId="219">
    <w:name w:val="批注文字 Char1"/>
    <w:link w:val="218"/>
    <w:qFormat/>
    <w:uiPriority w:val="99"/>
    <w:rPr>
      <w:sz w:val="21"/>
      <w:szCs w:val="24"/>
    </w:rPr>
  </w:style>
  <w:style w:type="paragraph" w:customStyle="1" w:styleId="220">
    <w:name w:val="正文文本 31"/>
    <w:basedOn w:val="1"/>
    <w:link w:val="221"/>
    <w:qFormat/>
    <w:uiPriority w:val="0"/>
    <w:pPr>
      <w:spacing w:after="120"/>
    </w:pPr>
    <w:rPr>
      <w:sz w:val="16"/>
      <w:szCs w:val="16"/>
    </w:rPr>
  </w:style>
  <w:style w:type="character" w:customStyle="1" w:styleId="221">
    <w:name w:val="正文文本 3 Char"/>
    <w:basedOn w:val="201"/>
    <w:link w:val="220"/>
    <w:qFormat/>
    <w:uiPriority w:val="0"/>
    <w:rPr>
      <w:sz w:val="16"/>
      <w:szCs w:val="16"/>
    </w:rPr>
  </w:style>
  <w:style w:type="paragraph" w:customStyle="1" w:styleId="222">
    <w:name w:val="正文文本1"/>
    <w:basedOn w:val="1"/>
    <w:next w:val="1"/>
    <w:link w:val="223"/>
    <w:qFormat/>
    <w:uiPriority w:val="0"/>
    <w:pPr>
      <w:tabs>
        <w:tab w:val="left" w:pos="567"/>
      </w:tabs>
      <w:spacing w:before="120" w:line="22" w:lineRule="atLeast"/>
    </w:pPr>
    <w:rPr>
      <w:rFonts w:ascii="宋体" w:hAnsi="宋体"/>
      <w:sz w:val="24"/>
    </w:rPr>
  </w:style>
  <w:style w:type="character" w:customStyle="1" w:styleId="223">
    <w:name w:val="正文文本 Char"/>
    <w:basedOn w:val="201"/>
    <w:link w:val="222"/>
    <w:qFormat/>
    <w:uiPriority w:val="0"/>
    <w:rPr>
      <w:rFonts w:ascii="宋体" w:hAnsi="宋体"/>
      <w:sz w:val="24"/>
      <w:szCs w:val="24"/>
    </w:rPr>
  </w:style>
  <w:style w:type="paragraph" w:customStyle="1" w:styleId="224">
    <w:name w:val="正文文本缩进11"/>
    <w:basedOn w:val="1"/>
    <w:next w:val="1"/>
    <w:link w:val="225"/>
    <w:qFormat/>
    <w:uiPriority w:val="0"/>
    <w:pPr>
      <w:spacing w:line="360" w:lineRule="auto"/>
      <w:ind w:firstLine="570"/>
    </w:pPr>
    <w:rPr>
      <w:sz w:val="24"/>
    </w:rPr>
  </w:style>
  <w:style w:type="character" w:customStyle="1" w:styleId="225">
    <w:name w:val="正文文本缩进 Char2"/>
    <w:link w:val="224"/>
    <w:qFormat/>
    <w:uiPriority w:val="0"/>
    <w:rPr>
      <w:rFonts w:eastAsia="宋体"/>
      <w:sz w:val="24"/>
      <w:szCs w:val="24"/>
      <w:lang w:val="en-US" w:eastAsia="zh-CN" w:bidi="ar-SA"/>
    </w:rPr>
  </w:style>
  <w:style w:type="paragraph" w:customStyle="1" w:styleId="226">
    <w:name w:val="列表 21"/>
    <w:basedOn w:val="1"/>
    <w:qFormat/>
    <w:uiPriority w:val="0"/>
    <w:pPr>
      <w:ind w:left="100" w:hanging="200"/>
    </w:pPr>
  </w:style>
  <w:style w:type="paragraph" w:customStyle="1" w:styleId="227">
    <w:name w:val="文本块1"/>
    <w:basedOn w:val="1"/>
    <w:qFormat/>
    <w:uiPriority w:val="0"/>
    <w:pPr>
      <w:widowControl/>
      <w:ind w:left="480" w:right="-341" w:firstLine="513"/>
    </w:pPr>
    <w:rPr>
      <w:sz w:val="24"/>
      <w:szCs w:val="20"/>
    </w:rPr>
  </w:style>
  <w:style w:type="paragraph" w:customStyle="1" w:styleId="228">
    <w:name w:val="目录 51"/>
    <w:basedOn w:val="1"/>
    <w:next w:val="1"/>
    <w:qFormat/>
    <w:uiPriority w:val="0"/>
    <w:pPr>
      <w:ind w:left="1680"/>
    </w:pPr>
  </w:style>
  <w:style w:type="paragraph" w:customStyle="1" w:styleId="229">
    <w:name w:val="目录 31"/>
    <w:basedOn w:val="1"/>
    <w:next w:val="1"/>
    <w:qFormat/>
    <w:uiPriority w:val="39"/>
    <w:pPr>
      <w:ind w:left="840"/>
    </w:pPr>
  </w:style>
  <w:style w:type="paragraph" w:customStyle="1" w:styleId="230">
    <w:name w:val="纯文本11"/>
    <w:basedOn w:val="1"/>
    <w:next w:val="193"/>
    <w:link w:val="231"/>
    <w:qFormat/>
    <w:uiPriority w:val="0"/>
    <w:rPr>
      <w:rFonts w:hint="eastAsia" w:ascii="宋体" w:hAnsi="Courier New"/>
      <w:szCs w:val="20"/>
    </w:rPr>
  </w:style>
  <w:style w:type="character" w:customStyle="1" w:styleId="231">
    <w:name w:val="纯文本 Char"/>
    <w:basedOn w:val="201"/>
    <w:link w:val="230"/>
    <w:qFormat/>
    <w:uiPriority w:val="0"/>
    <w:rPr>
      <w:rFonts w:hint="eastAsia" w:ascii="宋体" w:hAnsi="Courier New" w:eastAsia="宋体" w:cs="宋体"/>
      <w:sz w:val="21"/>
    </w:rPr>
  </w:style>
  <w:style w:type="paragraph" w:customStyle="1" w:styleId="232">
    <w:name w:val="目录 81"/>
    <w:basedOn w:val="1"/>
    <w:next w:val="1"/>
    <w:qFormat/>
    <w:uiPriority w:val="0"/>
    <w:pPr>
      <w:ind w:left="2940"/>
    </w:pPr>
  </w:style>
  <w:style w:type="paragraph" w:customStyle="1" w:styleId="233">
    <w:name w:val="日期1"/>
    <w:basedOn w:val="1"/>
    <w:next w:val="1"/>
    <w:link w:val="234"/>
    <w:qFormat/>
    <w:uiPriority w:val="0"/>
    <w:pPr>
      <w:ind w:left="100"/>
    </w:pPr>
    <w:rPr>
      <w:rFonts w:ascii="仿宋_GB2312" w:hAnsi="宋体" w:eastAsia="仿宋_GB2312"/>
      <w:color w:val="000000"/>
      <w:sz w:val="24"/>
    </w:rPr>
  </w:style>
  <w:style w:type="character" w:customStyle="1" w:styleId="234">
    <w:name w:val="日期 Char"/>
    <w:basedOn w:val="201"/>
    <w:link w:val="233"/>
    <w:qFormat/>
    <w:uiPriority w:val="0"/>
    <w:rPr>
      <w:rFonts w:ascii="仿宋_GB2312" w:hAnsi="宋体" w:eastAsia="仿宋_GB2312"/>
      <w:color w:val="000000"/>
      <w:sz w:val="24"/>
      <w:szCs w:val="24"/>
    </w:rPr>
  </w:style>
  <w:style w:type="paragraph" w:customStyle="1" w:styleId="235">
    <w:name w:val="正文文本缩进 21"/>
    <w:basedOn w:val="1"/>
    <w:link w:val="236"/>
    <w:qFormat/>
    <w:uiPriority w:val="0"/>
    <w:pPr>
      <w:ind w:firstLine="480"/>
    </w:pPr>
    <w:rPr>
      <w:rFonts w:ascii="仿宋_GB2312" w:eastAsia="仿宋_GB2312"/>
      <w:sz w:val="24"/>
    </w:rPr>
  </w:style>
  <w:style w:type="character" w:customStyle="1" w:styleId="236">
    <w:name w:val="正文文本缩进 2 Char"/>
    <w:basedOn w:val="201"/>
    <w:link w:val="235"/>
    <w:qFormat/>
    <w:uiPriority w:val="0"/>
    <w:rPr>
      <w:rFonts w:ascii="仿宋_GB2312" w:eastAsia="仿宋_GB2312"/>
      <w:sz w:val="24"/>
      <w:szCs w:val="24"/>
    </w:rPr>
  </w:style>
  <w:style w:type="paragraph" w:customStyle="1" w:styleId="237">
    <w:name w:val="批注框文本1"/>
    <w:basedOn w:val="1"/>
    <w:link w:val="238"/>
    <w:qFormat/>
    <w:uiPriority w:val="0"/>
    <w:rPr>
      <w:sz w:val="18"/>
      <w:szCs w:val="18"/>
    </w:rPr>
  </w:style>
  <w:style w:type="character" w:customStyle="1" w:styleId="238">
    <w:name w:val="批注框文本 Char"/>
    <w:basedOn w:val="201"/>
    <w:link w:val="237"/>
    <w:qFormat/>
    <w:uiPriority w:val="0"/>
    <w:rPr>
      <w:sz w:val="18"/>
      <w:szCs w:val="18"/>
    </w:rPr>
  </w:style>
  <w:style w:type="paragraph" w:customStyle="1" w:styleId="239">
    <w:name w:val="页脚1"/>
    <w:basedOn w:val="1"/>
    <w:link w:val="240"/>
    <w:qFormat/>
    <w:uiPriority w:val="99"/>
    <w:pPr>
      <w:tabs>
        <w:tab w:val="center" w:pos="4153"/>
        <w:tab w:val="right" w:pos="8306"/>
      </w:tabs>
      <w:jc w:val="left"/>
    </w:pPr>
    <w:rPr>
      <w:rFonts w:ascii="宋体"/>
      <w:sz w:val="18"/>
      <w:szCs w:val="20"/>
    </w:rPr>
  </w:style>
  <w:style w:type="character" w:customStyle="1" w:styleId="240">
    <w:name w:val="页脚 Char1"/>
    <w:link w:val="239"/>
    <w:qFormat/>
    <w:uiPriority w:val="99"/>
    <w:rPr>
      <w:rFonts w:ascii="宋体" w:eastAsia="宋体"/>
      <w:sz w:val="18"/>
      <w:lang w:val="en-US" w:eastAsia="zh-CN" w:bidi="ar-SA"/>
    </w:rPr>
  </w:style>
  <w:style w:type="paragraph" w:customStyle="1" w:styleId="241">
    <w:name w:val="页眉1"/>
    <w:basedOn w:val="1"/>
    <w:link w:val="242"/>
    <w:qFormat/>
    <w:uiPriority w:val="0"/>
    <w:pPr>
      <w:pBdr>
        <w:bottom w:val="single" w:color="000000" w:sz="6" w:space="1"/>
      </w:pBdr>
      <w:tabs>
        <w:tab w:val="center" w:pos="4153"/>
        <w:tab w:val="right" w:pos="8306"/>
      </w:tabs>
      <w:jc w:val="center"/>
    </w:pPr>
    <w:rPr>
      <w:sz w:val="18"/>
      <w:szCs w:val="18"/>
    </w:rPr>
  </w:style>
  <w:style w:type="character" w:customStyle="1" w:styleId="242">
    <w:name w:val="页眉 Char1"/>
    <w:link w:val="241"/>
    <w:qFormat/>
    <w:uiPriority w:val="0"/>
    <w:rPr>
      <w:rFonts w:eastAsia="宋体"/>
      <w:sz w:val="18"/>
      <w:szCs w:val="18"/>
      <w:lang w:val="en-US" w:eastAsia="zh-CN" w:bidi="ar-SA"/>
    </w:rPr>
  </w:style>
  <w:style w:type="paragraph" w:customStyle="1" w:styleId="243">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244">
    <w:name w:val="目录 41"/>
    <w:basedOn w:val="1"/>
    <w:next w:val="1"/>
    <w:qFormat/>
    <w:uiPriority w:val="0"/>
    <w:pPr>
      <w:ind w:left="1260"/>
    </w:pPr>
  </w:style>
  <w:style w:type="paragraph" w:customStyle="1" w:styleId="245">
    <w:name w:val="脚注文本1"/>
    <w:basedOn w:val="1"/>
    <w:next w:val="215"/>
    <w:qFormat/>
    <w:uiPriority w:val="0"/>
    <w:pPr>
      <w:spacing w:before="120" w:line="360" w:lineRule="auto"/>
      <w:ind w:firstLine="425"/>
      <w:jc w:val="left"/>
    </w:pPr>
    <w:rPr>
      <w:sz w:val="18"/>
      <w:szCs w:val="20"/>
    </w:rPr>
  </w:style>
  <w:style w:type="paragraph" w:customStyle="1" w:styleId="246">
    <w:name w:val="目录 61"/>
    <w:basedOn w:val="1"/>
    <w:next w:val="1"/>
    <w:qFormat/>
    <w:uiPriority w:val="0"/>
    <w:pPr>
      <w:ind w:left="2100"/>
    </w:pPr>
  </w:style>
  <w:style w:type="paragraph" w:customStyle="1" w:styleId="247">
    <w:name w:val="正文文本缩进 31"/>
    <w:basedOn w:val="1"/>
    <w:link w:val="248"/>
    <w:qFormat/>
    <w:uiPriority w:val="0"/>
    <w:pPr>
      <w:spacing w:before="120" w:line="22" w:lineRule="atLeast"/>
      <w:ind w:left="720" w:firstLine="480"/>
      <w:jc w:val="left"/>
    </w:pPr>
    <w:rPr>
      <w:rFonts w:ascii="宋体"/>
      <w:sz w:val="24"/>
      <w:szCs w:val="20"/>
    </w:rPr>
  </w:style>
  <w:style w:type="character" w:customStyle="1" w:styleId="248">
    <w:name w:val="正文文本缩进 3 Char"/>
    <w:basedOn w:val="201"/>
    <w:link w:val="247"/>
    <w:qFormat/>
    <w:uiPriority w:val="0"/>
    <w:rPr>
      <w:rFonts w:ascii="宋体"/>
      <w:sz w:val="24"/>
    </w:rPr>
  </w:style>
  <w:style w:type="paragraph" w:customStyle="1" w:styleId="249">
    <w:name w:val="目录 21"/>
    <w:basedOn w:val="1"/>
    <w:next w:val="1"/>
    <w:qFormat/>
    <w:uiPriority w:val="39"/>
    <w:pPr>
      <w:tabs>
        <w:tab w:val="right" w:leader="dot" w:pos="8937"/>
      </w:tabs>
      <w:spacing w:line="312" w:lineRule="auto"/>
      <w:ind w:left="420"/>
    </w:pPr>
  </w:style>
  <w:style w:type="paragraph" w:customStyle="1" w:styleId="250">
    <w:name w:val="目录 91"/>
    <w:basedOn w:val="1"/>
    <w:next w:val="1"/>
    <w:qFormat/>
    <w:uiPriority w:val="0"/>
    <w:pPr>
      <w:ind w:left="3360"/>
    </w:pPr>
  </w:style>
  <w:style w:type="paragraph" w:customStyle="1" w:styleId="251">
    <w:name w:val="HTML 预设格式1"/>
    <w:basedOn w:val="1"/>
    <w:link w:val="25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character" w:customStyle="1" w:styleId="252">
    <w:name w:val="HTML 预设格式 Char"/>
    <w:basedOn w:val="201"/>
    <w:link w:val="251"/>
    <w:qFormat/>
    <w:uiPriority w:val="0"/>
    <w:rPr>
      <w:rFonts w:ascii="宋体" w:hAnsi="宋体" w:cs="宋体"/>
      <w:sz w:val="24"/>
      <w:szCs w:val="24"/>
    </w:rPr>
  </w:style>
  <w:style w:type="paragraph" w:customStyle="1" w:styleId="253">
    <w:name w:val="普通(网站)1"/>
    <w:basedOn w:val="1"/>
    <w:unhideWhenUsed/>
    <w:qFormat/>
    <w:uiPriority w:val="99"/>
    <w:pPr>
      <w:widowControl/>
      <w:spacing w:before="100" w:beforeAutospacing="1" w:after="100" w:afterAutospacing="1"/>
      <w:jc w:val="left"/>
    </w:pPr>
    <w:rPr>
      <w:rFonts w:ascii="宋体" w:hAnsi="宋体" w:cs="宋体"/>
      <w:sz w:val="24"/>
    </w:rPr>
  </w:style>
  <w:style w:type="paragraph" w:customStyle="1" w:styleId="254">
    <w:name w:val="索引 11"/>
    <w:basedOn w:val="1"/>
    <w:next w:val="1"/>
    <w:qFormat/>
    <w:uiPriority w:val="0"/>
    <w:rPr>
      <w:szCs w:val="20"/>
    </w:rPr>
  </w:style>
  <w:style w:type="paragraph" w:customStyle="1" w:styleId="255">
    <w:name w:val="标题1"/>
    <w:basedOn w:val="1"/>
    <w:link w:val="256"/>
    <w:qFormat/>
    <w:uiPriority w:val="0"/>
    <w:pPr>
      <w:jc w:val="center"/>
      <w:outlineLvl w:val="0"/>
    </w:pPr>
    <w:rPr>
      <w:b/>
      <w:sz w:val="32"/>
      <w:szCs w:val="20"/>
    </w:rPr>
  </w:style>
  <w:style w:type="character" w:customStyle="1" w:styleId="256">
    <w:name w:val="标题 Char1"/>
    <w:link w:val="255"/>
    <w:qFormat/>
    <w:uiPriority w:val="0"/>
    <w:rPr>
      <w:b/>
      <w:sz w:val="32"/>
    </w:rPr>
  </w:style>
  <w:style w:type="paragraph" w:customStyle="1" w:styleId="257">
    <w:name w:val="批注主题1"/>
    <w:basedOn w:val="218"/>
    <w:next w:val="218"/>
    <w:link w:val="258"/>
    <w:qFormat/>
    <w:uiPriority w:val="0"/>
    <w:rPr>
      <w:b/>
      <w:bCs/>
    </w:rPr>
  </w:style>
  <w:style w:type="character" w:customStyle="1" w:styleId="258">
    <w:name w:val="批注主题 Char"/>
    <w:basedOn w:val="259"/>
    <w:link w:val="257"/>
    <w:qFormat/>
    <w:uiPriority w:val="0"/>
    <w:rPr>
      <w:rFonts w:ascii="Times New Roman" w:hAnsi="Times New Roman" w:eastAsia="宋体" w:cs="Times New Roman"/>
      <w:b/>
      <w:bCs/>
      <w:sz w:val="21"/>
      <w:szCs w:val="24"/>
      <w:lang w:val="en-US" w:eastAsia="zh-CN" w:bidi="ar-SA"/>
    </w:rPr>
  </w:style>
  <w:style w:type="character" w:customStyle="1" w:styleId="259">
    <w:name w:val="批注文字 字符"/>
    <w:link w:val="1"/>
    <w:qFormat/>
    <w:uiPriority w:val="99"/>
    <w:rPr>
      <w:rFonts w:ascii="Times New Roman" w:hAnsi="Times New Roman" w:eastAsia="宋体" w:cs="Times New Roman"/>
      <w:sz w:val="24"/>
      <w:lang w:val="en-US" w:eastAsia="zh-CN" w:bidi="ar-SA"/>
    </w:rPr>
  </w:style>
  <w:style w:type="paragraph" w:customStyle="1" w:styleId="260">
    <w:name w:val="正文首行缩进 21"/>
    <w:basedOn w:val="224"/>
    <w:next w:val="1"/>
    <w:link w:val="261"/>
    <w:qFormat/>
    <w:uiPriority w:val="0"/>
    <w:pPr>
      <w:spacing w:after="120" w:line="480" w:lineRule="exact"/>
      <w:ind w:left="420" w:firstLine="420"/>
    </w:pPr>
    <w:rPr>
      <w:szCs w:val="20"/>
    </w:rPr>
  </w:style>
  <w:style w:type="character" w:customStyle="1" w:styleId="261">
    <w:name w:val="正文首行缩进 2 Char"/>
    <w:basedOn w:val="225"/>
    <w:link w:val="260"/>
    <w:qFormat/>
    <w:uiPriority w:val="0"/>
    <w:rPr>
      <w:rFonts w:eastAsia="宋体"/>
      <w:sz w:val="24"/>
      <w:szCs w:val="24"/>
      <w:lang w:val="en-US" w:eastAsia="zh-CN" w:bidi="ar-SA"/>
    </w:rPr>
  </w:style>
  <w:style w:type="table" w:customStyle="1" w:styleId="262">
    <w:name w:val="网格型1"/>
    <w:basedOn w:val="202"/>
    <w:qFormat/>
    <w:uiPriority w:val="39"/>
  </w:style>
  <w:style w:type="table" w:customStyle="1" w:styleId="263">
    <w:name w:val="中等深浅网格 1 - 强调文字颜色 21"/>
    <w:basedOn w:val="202"/>
    <w:qFormat/>
    <w:uiPriority w:val="0"/>
    <w:rPr>
      <w:sz w:val="21"/>
      <w:szCs w:val="24"/>
    </w:rPr>
  </w:style>
  <w:style w:type="character" w:customStyle="1" w:styleId="264">
    <w:name w:val="要点1"/>
    <w:link w:val="1"/>
    <w:qFormat/>
    <w:uiPriority w:val="0"/>
    <w:rPr>
      <w:b/>
      <w:bCs/>
    </w:rPr>
  </w:style>
  <w:style w:type="character" w:customStyle="1" w:styleId="265">
    <w:name w:val="页码1"/>
    <w:basedOn w:val="201"/>
    <w:link w:val="1"/>
    <w:qFormat/>
    <w:uiPriority w:val="0"/>
  </w:style>
  <w:style w:type="character" w:customStyle="1" w:styleId="266">
    <w:name w:val="已访问的超链接1"/>
    <w:link w:val="1"/>
    <w:qFormat/>
    <w:uiPriority w:val="0"/>
    <w:rPr>
      <w:color w:val="800080"/>
      <w:u w:val="single"/>
    </w:rPr>
  </w:style>
  <w:style w:type="character" w:customStyle="1" w:styleId="267">
    <w:name w:val="强调1"/>
    <w:link w:val="1"/>
    <w:qFormat/>
    <w:uiPriority w:val="0"/>
    <w:rPr>
      <w:color w:val="CC0033"/>
    </w:rPr>
  </w:style>
  <w:style w:type="character" w:customStyle="1" w:styleId="268">
    <w:name w:val="超链接1"/>
    <w:link w:val="1"/>
    <w:qFormat/>
    <w:uiPriority w:val="99"/>
    <w:rPr>
      <w:color w:val="0000FF"/>
      <w:u w:val="single"/>
    </w:rPr>
  </w:style>
  <w:style w:type="character" w:customStyle="1" w:styleId="269">
    <w:name w:val="批注引用1"/>
    <w:link w:val="1"/>
    <w:qFormat/>
    <w:uiPriority w:val="99"/>
    <w:rPr>
      <w:sz w:val="21"/>
      <w:szCs w:val="21"/>
    </w:rPr>
  </w:style>
  <w:style w:type="character" w:customStyle="1" w:styleId="270">
    <w:name w:val="HTML 引文1"/>
    <w:link w:val="1"/>
    <w:qFormat/>
    <w:uiPriority w:val="0"/>
    <w:rPr>
      <w:i/>
      <w:iCs/>
    </w:rPr>
  </w:style>
  <w:style w:type="paragraph" w:customStyle="1" w:styleId="271">
    <w:name w:val="首行缩进"/>
    <w:basedOn w:val="1"/>
    <w:qFormat/>
    <w:uiPriority w:val="0"/>
    <w:pPr>
      <w:ind w:firstLine="720"/>
    </w:pPr>
    <w:rPr>
      <w:sz w:val="24"/>
    </w:rPr>
  </w:style>
  <w:style w:type="paragraph" w:customStyle="1" w:styleId="272">
    <w:name w:val="正文_2_0"/>
    <w:qFormat/>
    <w:uiPriority w:val="0"/>
    <w:pPr>
      <w:widowControl w:val="0"/>
      <w:spacing w:line="440" w:lineRule="exact"/>
    </w:pPr>
    <w:rPr>
      <w:rFonts w:hint="default" w:ascii="Calibri" w:hAnsi="Calibri" w:eastAsia="宋体" w:cs="Times New Roman"/>
      <w:lang w:val="en-US" w:eastAsia="zh-CN" w:bidi="ar-SA"/>
    </w:rPr>
  </w:style>
  <w:style w:type="paragraph" w:customStyle="1" w:styleId="273">
    <w:name w:val="Normal_0"/>
    <w:next w:val="222"/>
    <w:qFormat/>
    <w:uiPriority w:val="0"/>
    <w:pPr>
      <w:widowControl w:val="0"/>
      <w:jc w:val="both"/>
    </w:pPr>
    <w:rPr>
      <w:rFonts w:hint="default" w:ascii="Calibri" w:hAnsi="Calibri" w:eastAsia="Times New Roman" w:cs="Times New Roman"/>
      <w:lang w:val="en-US" w:eastAsia="zh-CN" w:bidi="ar-SA"/>
    </w:rPr>
  </w:style>
  <w:style w:type="character" w:customStyle="1" w:styleId="274">
    <w:name w:val="street-address"/>
    <w:basedOn w:val="201"/>
    <w:link w:val="1"/>
    <w:qFormat/>
    <w:uiPriority w:val="0"/>
  </w:style>
  <w:style w:type="character" w:customStyle="1" w:styleId="275">
    <w:name w:val="注释 Char"/>
    <w:link w:val="276"/>
    <w:qFormat/>
    <w:uiPriority w:val="0"/>
    <w:rPr>
      <w:rFonts w:ascii="宋体" w:hAnsi="宋体"/>
      <w:sz w:val="21"/>
      <w:szCs w:val="21"/>
    </w:rPr>
  </w:style>
  <w:style w:type="paragraph" w:customStyle="1" w:styleId="276">
    <w:name w:val="注释"/>
    <w:basedOn w:val="1"/>
    <w:link w:val="275"/>
    <w:qFormat/>
    <w:uiPriority w:val="0"/>
    <w:pPr>
      <w:ind w:left="420" w:hanging="420"/>
      <w:jc w:val="left"/>
    </w:pPr>
    <w:rPr>
      <w:rFonts w:ascii="宋体" w:hAnsi="宋体"/>
      <w:szCs w:val="21"/>
    </w:rPr>
  </w:style>
  <w:style w:type="character" w:customStyle="1" w:styleId="277">
    <w:name w:val="locality"/>
    <w:basedOn w:val="201"/>
    <w:link w:val="1"/>
    <w:qFormat/>
    <w:uiPriority w:val="0"/>
  </w:style>
  <w:style w:type="character" w:customStyle="1" w:styleId="278">
    <w:name w:val="标题 Char"/>
    <w:link w:val="1"/>
    <w:qFormat/>
    <w:uiPriority w:val="0"/>
    <w:rPr>
      <w:b/>
      <w:sz w:val="32"/>
    </w:rPr>
  </w:style>
  <w:style w:type="character" w:customStyle="1" w:styleId="279">
    <w:name w:val="标题 2 Char"/>
    <w:link w:val="1"/>
    <w:qFormat/>
    <w:uiPriority w:val="0"/>
    <w:rPr>
      <w:rFonts w:ascii="Arial" w:hAnsi="Arial" w:eastAsia="黑体"/>
      <w:b/>
      <w:sz w:val="30"/>
      <w:lang w:val="en-US" w:eastAsia="zh-CN" w:bidi="ar-SA"/>
    </w:rPr>
  </w:style>
  <w:style w:type="character" w:customStyle="1" w:styleId="280">
    <w:name w:val="纯文本 Char1"/>
    <w:link w:val="1"/>
    <w:qFormat/>
    <w:uiPriority w:val="0"/>
    <w:rPr>
      <w:rFonts w:ascii="宋体" w:hAnsi="Courier New" w:eastAsia="宋体"/>
      <w:sz w:val="21"/>
      <w:lang w:val="en-US" w:eastAsia="zh-CN" w:bidi="ar-SA"/>
    </w:rPr>
  </w:style>
  <w:style w:type="character" w:customStyle="1" w:styleId="281">
    <w:name w:val="Char Char11"/>
    <w:link w:val="1"/>
    <w:qFormat/>
    <w:uiPriority w:val="0"/>
    <w:rPr>
      <w:rFonts w:ascii="宋体" w:eastAsia="宋体"/>
      <w:b/>
      <w:sz w:val="24"/>
      <w:u w:val="single"/>
      <w:lang w:val="en-US" w:eastAsia="zh-CN" w:bidi="ar-SA"/>
    </w:rPr>
  </w:style>
  <w:style w:type="character" w:customStyle="1" w:styleId="282">
    <w:name w:val="页脚 Char"/>
    <w:link w:val="1"/>
    <w:qFormat/>
    <w:uiPriority w:val="0"/>
    <w:rPr>
      <w:rFonts w:ascii="宋体" w:eastAsia="宋体"/>
      <w:sz w:val="18"/>
      <w:lang w:val="en-US" w:eastAsia="zh-CN" w:bidi="ar-SA"/>
    </w:rPr>
  </w:style>
  <w:style w:type="character" w:customStyle="1" w:styleId="283">
    <w:name w:val="列出段落 Char"/>
    <w:link w:val="1"/>
    <w:qFormat/>
    <w:uiPriority w:val="0"/>
    <w:rPr>
      <w:rFonts w:ascii="Calibri" w:hAnsi="Calibri" w:eastAsia="宋体"/>
      <w:sz w:val="21"/>
      <w:szCs w:val="22"/>
      <w:lang w:val="en-US" w:eastAsia="zh-CN" w:bidi="ar-SA"/>
    </w:rPr>
  </w:style>
  <w:style w:type="character" w:customStyle="1" w:styleId="284">
    <w:name w:val="纯文本 字符1"/>
    <w:link w:val="1"/>
    <w:qFormat/>
    <w:uiPriority w:val="0"/>
    <w:rPr>
      <w:rFonts w:ascii="宋体" w:hAnsi="Courier New"/>
    </w:rPr>
  </w:style>
  <w:style w:type="character" w:customStyle="1" w:styleId="285">
    <w:name w:val="chanpin1"/>
    <w:link w:val="1"/>
    <w:qFormat/>
    <w:uiPriority w:val="0"/>
    <w:rPr>
      <w:rFonts w:ascii="ˎ̥" w:hAnsi="ˎ̥"/>
      <w:color w:val="000000"/>
      <w:sz w:val="20"/>
      <w:szCs w:val="20"/>
      <w:u w:val="none"/>
    </w:rPr>
  </w:style>
  <w:style w:type="character" w:customStyle="1" w:styleId="286">
    <w:name w:val="apple-style-span"/>
    <w:link w:val="1"/>
    <w:qFormat/>
    <w:uiPriority w:val="0"/>
    <w:rPr>
      <w:rFonts w:cs="Times New Roman"/>
    </w:rPr>
  </w:style>
  <w:style w:type="character" w:customStyle="1" w:styleId="287">
    <w:name w:val="c21"/>
    <w:link w:val="1"/>
    <w:qFormat/>
    <w:uiPriority w:val="0"/>
    <w:rPr>
      <w:rFonts w:ascii="ˎ̥" w:hAnsi="ˎ̥"/>
      <w:color w:val="000000"/>
      <w:sz w:val="20"/>
      <w:szCs w:val="20"/>
      <w:u w:val="none"/>
    </w:rPr>
  </w:style>
  <w:style w:type="character" w:customStyle="1" w:styleId="288">
    <w:name w:val="正文缩进 Char Char"/>
    <w:link w:val="289"/>
    <w:qFormat/>
    <w:uiPriority w:val="0"/>
    <w:rPr>
      <w:rFonts w:ascii="宋体" w:eastAsia="宋体"/>
      <w:color w:val="000000"/>
      <w:sz w:val="28"/>
      <w:lang w:bidi="ar-SA"/>
    </w:rPr>
  </w:style>
  <w:style w:type="paragraph" w:customStyle="1" w:styleId="289">
    <w:name w:val="正文缩进1"/>
    <w:basedOn w:val="1"/>
    <w:link w:val="288"/>
    <w:qFormat/>
    <w:uiPriority w:val="0"/>
    <w:pPr>
      <w:widowControl/>
      <w:spacing w:line="480" w:lineRule="exact"/>
      <w:ind w:firstLine="567"/>
    </w:pPr>
    <w:rPr>
      <w:rFonts w:ascii="宋体"/>
      <w:color w:val="000000"/>
      <w:sz w:val="28"/>
      <w:szCs w:val="20"/>
    </w:rPr>
  </w:style>
  <w:style w:type="character" w:customStyle="1" w:styleId="290">
    <w:name w:val="标题 2 Char Char"/>
    <w:link w:val="1"/>
    <w:qFormat/>
    <w:uiPriority w:val="0"/>
    <w:rPr>
      <w:rFonts w:ascii="Arial" w:hAnsi="Arial" w:eastAsia="黑体"/>
      <w:b/>
      <w:bCs/>
      <w:sz w:val="32"/>
      <w:szCs w:val="32"/>
      <w:lang w:val="en-US" w:eastAsia="zh-CN" w:bidi="ar-SA"/>
    </w:rPr>
  </w:style>
  <w:style w:type="character" w:customStyle="1" w:styleId="291">
    <w:name w:val="段1 Char"/>
    <w:link w:val="1"/>
    <w:qFormat/>
    <w:uiPriority w:val="0"/>
    <w:rPr>
      <w:rFonts w:ascii="宋体" w:eastAsia="宋体"/>
      <w:sz w:val="24"/>
      <w:lang w:val="en-US" w:eastAsia="zh-CN" w:bidi="ar-SA"/>
    </w:rPr>
  </w:style>
  <w:style w:type="character" w:customStyle="1" w:styleId="292">
    <w:name w:val="成文日期 Char"/>
    <w:link w:val="293"/>
    <w:qFormat/>
    <w:uiPriority w:val="0"/>
    <w:rPr>
      <w:rFonts w:ascii="仿宋_GB2312" w:eastAsia="仿宋_GB2312"/>
      <w:sz w:val="32"/>
    </w:rPr>
  </w:style>
  <w:style w:type="paragraph" w:customStyle="1" w:styleId="293">
    <w:name w:val="成文日期"/>
    <w:basedOn w:val="1"/>
    <w:link w:val="292"/>
    <w:qFormat/>
    <w:uiPriority w:val="0"/>
    <w:pPr>
      <w:spacing w:line="570" w:lineRule="exact"/>
      <w:ind w:right="400" w:firstLine="200"/>
      <w:jc w:val="right"/>
    </w:pPr>
    <w:rPr>
      <w:rFonts w:ascii="仿宋_GB2312" w:eastAsia="仿宋_GB2312"/>
      <w:sz w:val="32"/>
      <w:szCs w:val="20"/>
    </w:rPr>
  </w:style>
  <w:style w:type="character" w:customStyle="1" w:styleId="294">
    <w:name w:val="中等深浅网格 1 - 强调文字颜色 2 Char"/>
    <w:link w:val="295"/>
    <w:qFormat/>
    <w:uiPriority w:val="0"/>
    <w:rPr>
      <w:sz w:val="21"/>
      <w:szCs w:val="24"/>
      <w:lang w:val="zh-CN" w:eastAsia="zh-CN" w:bidi="ar-SA"/>
    </w:rPr>
  </w:style>
  <w:style w:type="paragraph" w:customStyle="1" w:styleId="295">
    <w:name w:val="1"/>
    <w:link w:val="294"/>
    <w:qFormat/>
    <w:uiPriority w:val="0"/>
    <w:rPr>
      <w:rFonts w:hint="default" w:ascii="Times New Roman" w:hAnsi="Times New Roman" w:eastAsia="宋体" w:cs="Times New Roman"/>
      <w:sz w:val="21"/>
      <w:szCs w:val="24"/>
      <w:lang w:val="zh-CN" w:eastAsia="zh-CN" w:bidi="ar-SA"/>
    </w:rPr>
  </w:style>
  <w:style w:type="character" w:customStyle="1" w:styleId="296">
    <w:name w:val="标题 3 Char Char"/>
    <w:link w:val="1"/>
    <w:qFormat/>
    <w:uiPriority w:val="0"/>
    <w:rPr>
      <w:rFonts w:eastAsia="宋体"/>
      <w:b/>
      <w:bCs/>
      <w:sz w:val="32"/>
      <w:szCs w:val="32"/>
      <w:lang w:val="en-US" w:eastAsia="zh-CN" w:bidi="ar-SA"/>
    </w:rPr>
  </w:style>
  <w:style w:type="character" w:customStyle="1" w:styleId="297">
    <w:name w:val="txt"/>
    <w:basedOn w:val="201"/>
    <w:link w:val="1"/>
    <w:qFormat/>
    <w:uiPriority w:val="0"/>
  </w:style>
  <w:style w:type="character" w:customStyle="1" w:styleId="298">
    <w:name w:val="纯文本 字符"/>
    <w:link w:val="1"/>
    <w:qFormat/>
    <w:uiPriority w:val="99"/>
    <w:rPr>
      <w:rFonts w:ascii="宋体" w:hAnsi="Courier New" w:eastAsia="宋体" w:cs="Times New Roman"/>
      <w:sz w:val="21"/>
      <w:szCs w:val="21"/>
      <w:lang w:val="en-US" w:eastAsia="zh-CN" w:bidi="ar-SA"/>
    </w:rPr>
  </w:style>
  <w:style w:type="character" w:customStyle="1" w:styleId="299">
    <w:name w:val="正文大标题 Char"/>
    <w:link w:val="300"/>
    <w:qFormat/>
    <w:uiPriority w:val="0"/>
    <w:rPr>
      <w:rFonts w:ascii="宋体" w:hAnsi="宋体"/>
      <w:b/>
      <w:color w:val="000000"/>
      <w:sz w:val="28"/>
      <w:szCs w:val="21"/>
    </w:rPr>
  </w:style>
  <w:style w:type="paragraph" w:customStyle="1" w:styleId="300">
    <w:name w:val="正文大标题"/>
    <w:basedOn w:val="301"/>
    <w:next w:val="193"/>
    <w:link w:val="299"/>
    <w:qFormat/>
    <w:uiPriority w:val="0"/>
    <w:pPr>
      <w:jc w:val="center"/>
    </w:pPr>
    <w:rPr>
      <w:i w:val="0"/>
      <w:color w:val="000000"/>
      <w:sz w:val="28"/>
      <w:szCs w:val="21"/>
    </w:rPr>
  </w:style>
  <w:style w:type="paragraph" w:customStyle="1" w:styleId="301">
    <w:name w:val="正文小标题"/>
    <w:basedOn w:val="1"/>
    <w:next w:val="193"/>
    <w:link w:val="302"/>
    <w:qFormat/>
    <w:uiPriority w:val="0"/>
    <w:pPr>
      <w:spacing w:before="312" w:after="312"/>
      <w:ind w:firstLine="482"/>
      <w:jc w:val="left"/>
    </w:pPr>
    <w:rPr>
      <w:rFonts w:ascii="宋体" w:hAnsi="宋体"/>
      <w:b/>
      <w:i/>
      <w:color w:val="FF0000"/>
      <w:sz w:val="24"/>
      <w:szCs w:val="20"/>
    </w:rPr>
  </w:style>
  <w:style w:type="character" w:customStyle="1" w:styleId="302">
    <w:name w:val="正文小标题 Char"/>
    <w:link w:val="301"/>
    <w:qFormat/>
    <w:uiPriority w:val="0"/>
    <w:rPr>
      <w:rFonts w:ascii="宋体" w:hAnsi="宋体"/>
      <w:b/>
      <w:i/>
      <w:color w:val="FF0000"/>
      <w:sz w:val="24"/>
    </w:rPr>
  </w:style>
  <w:style w:type="character" w:customStyle="1" w:styleId="303">
    <w:name w:val="正文格式 Char"/>
    <w:link w:val="304"/>
    <w:qFormat/>
    <w:uiPriority w:val="0"/>
    <w:rPr>
      <w:rFonts w:ascii="宋体" w:hAnsi="宋体"/>
      <w:sz w:val="24"/>
      <w:szCs w:val="24"/>
      <w:lang w:val="en-GB"/>
    </w:rPr>
  </w:style>
  <w:style w:type="paragraph" w:customStyle="1" w:styleId="304">
    <w:name w:val="正文格式"/>
    <w:basedOn w:val="1"/>
    <w:link w:val="303"/>
    <w:qFormat/>
    <w:uiPriority w:val="0"/>
    <w:pPr>
      <w:spacing w:line="360" w:lineRule="auto"/>
      <w:ind w:firstLine="480"/>
    </w:pPr>
    <w:rPr>
      <w:rFonts w:ascii="宋体" w:hAnsi="宋体"/>
      <w:sz w:val="24"/>
      <w:lang w:val="en-GB"/>
    </w:rPr>
  </w:style>
  <w:style w:type="character" w:customStyle="1" w:styleId="305">
    <w:name w:val="title4"/>
    <w:link w:val="1"/>
    <w:qFormat/>
    <w:uiPriority w:val="0"/>
    <w:rPr>
      <w:b/>
      <w:bCs/>
      <w:color w:val="1D87B3"/>
      <w:sz w:val="15"/>
      <w:szCs w:val="15"/>
    </w:rPr>
  </w:style>
  <w:style w:type="character" w:customStyle="1" w:styleId="306">
    <w:name w:val="列出段落 Char1"/>
    <w:link w:val="307"/>
    <w:qFormat/>
    <w:uiPriority w:val="34"/>
    <w:rPr>
      <w:rFonts w:ascii="Calibri" w:hAnsi="Calibri" w:eastAsia="宋体"/>
      <w:sz w:val="21"/>
      <w:szCs w:val="22"/>
      <w:lang w:val="en-US" w:eastAsia="zh-CN" w:bidi="ar-SA"/>
    </w:rPr>
  </w:style>
  <w:style w:type="paragraph" w:customStyle="1" w:styleId="307">
    <w:name w:val="列出段落"/>
    <w:basedOn w:val="1"/>
    <w:link w:val="306"/>
    <w:qFormat/>
    <w:uiPriority w:val="34"/>
    <w:pPr>
      <w:ind w:firstLine="420"/>
    </w:pPr>
    <w:rPr>
      <w:rFonts w:ascii="Calibri" w:hAnsi="Calibri"/>
      <w:szCs w:val="22"/>
    </w:rPr>
  </w:style>
  <w:style w:type="character" w:customStyle="1" w:styleId="308">
    <w:name w:val="批注文字 Char"/>
    <w:link w:val="1"/>
    <w:qFormat/>
    <w:uiPriority w:val="99"/>
    <w:rPr>
      <w:sz w:val="21"/>
      <w:szCs w:val="24"/>
    </w:rPr>
  </w:style>
  <w:style w:type="character" w:customStyle="1" w:styleId="309">
    <w:name w:val="chanpin拷贝"/>
    <w:basedOn w:val="201"/>
    <w:link w:val="1"/>
    <w:qFormat/>
    <w:uiPriority w:val="0"/>
  </w:style>
  <w:style w:type="character" w:customStyle="1" w:styleId="310">
    <w:name w:val="普通文字1 Char1"/>
    <w:link w:val="1"/>
    <w:qFormat/>
    <w:uiPriority w:val="0"/>
    <w:rPr>
      <w:rFonts w:ascii="宋体" w:hAnsi="Courier New" w:eastAsia="宋体"/>
      <w:sz w:val="21"/>
      <w:lang w:val="en-US" w:eastAsia="zh-CN" w:bidi="ar-SA"/>
    </w:rPr>
  </w:style>
  <w:style w:type="character" w:customStyle="1" w:styleId="311">
    <w:name w:val="正文表格 Char"/>
    <w:link w:val="312"/>
    <w:qFormat/>
    <w:uiPriority w:val="0"/>
    <w:rPr>
      <w:rFonts w:ascii="宋体" w:hAnsi="宋体"/>
      <w:color w:val="000000"/>
      <w:sz w:val="21"/>
      <w:szCs w:val="21"/>
    </w:rPr>
  </w:style>
  <w:style w:type="paragraph" w:customStyle="1" w:styleId="312">
    <w:name w:val="正文表格"/>
    <w:basedOn w:val="1"/>
    <w:link w:val="311"/>
    <w:qFormat/>
    <w:uiPriority w:val="0"/>
    <w:pPr>
      <w:jc w:val="left"/>
    </w:pPr>
    <w:rPr>
      <w:rFonts w:ascii="宋体" w:hAnsi="宋体"/>
      <w:color w:val="000000"/>
      <w:szCs w:val="21"/>
    </w:rPr>
  </w:style>
  <w:style w:type="character" w:customStyle="1" w:styleId="313">
    <w:name w:val="正文缩进 Char"/>
    <w:link w:val="1"/>
    <w:qFormat/>
    <w:uiPriority w:val="0"/>
    <w:rPr>
      <w:rFonts w:ascii="宋体" w:eastAsia="宋体"/>
      <w:sz w:val="24"/>
      <w:szCs w:val="24"/>
      <w:lang w:val="en-US" w:eastAsia="zh-CN" w:bidi="ar-SA"/>
    </w:rPr>
  </w:style>
  <w:style w:type="character" w:customStyle="1" w:styleId="314">
    <w:name w:val="页眉 Char"/>
    <w:link w:val="1"/>
    <w:qFormat/>
    <w:uiPriority w:val="0"/>
    <w:rPr>
      <w:rFonts w:eastAsia="宋体"/>
      <w:sz w:val="18"/>
      <w:szCs w:val="18"/>
      <w:lang w:val="en-US" w:eastAsia="zh-CN" w:bidi="ar-SA"/>
    </w:rPr>
  </w:style>
  <w:style w:type="character" w:customStyle="1" w:styleId="315">
    <w:name w:val="black1"/>
    <w:link w:val="1"/>
    <w:qFormat/>
    <w:uiPriority w:val="0"/>
    <w:rPr>
      <w:color w:val="000000"/>
    </w:rPr>
  </w:style>
  <w:style w:type="character" w:customStyle="1" w:styleId="316">
    <w:name w:val="正文文本缩进 Char"/>
    <w:link w:val="1"/>
    <w:qFormat/>
    <w:uiPriority w:val="0"/>
    <w:rPr>
      <w:rFonts w:eastAsia="宋体"/>
      <w:sz w:val="24"/>
      <w:szCs w:val="24"/>
      <w:lang w:val="en-US" w:eastAsia="zh-CN" w:bidi="ar-SA"/>
    </w:rPr>
  </w:style>
  <w:style w:type="character" w:customStyle="1" w:styleId="317">
    <w:name w:val="正文文本缩进 Char1"/>
    <w:link w:val="318"/>
    <w:qFormat/>
    <w:uiPriority w:val="0"/>
    <w:rPr>
      <w:rFonts w:ascii="宋体" w:hAnsi="宋体" w:eastAsia="宋体"/>
      <w:sz w:val="24"/>
      <w:szCs w:val="24"/>
      <w:lang w:bidi="ar-SA"/>
    </w:rPr>
  </w:style>
  <w:style w:type="paragraph" w:customStyle="1" w:styleId="318">
    <w:name w:val="正文文本缩进1"/>
    <w:basedOn w:val="1"/>
    <w:link w:val="317"/>
    <w:qFormat/>
    <w:uiPriority w:val="0"/>
    <w:pPr>
      <w:spacing w:line="480" w:lineRule="exact"/>
      <w:ind w:firstLine="480"/>
    </w:pPr>
    <w:rPr>
      <w:rFonts w:ascii="宋体" w:hAnsi="宋体"/>
      <w:sz w:val="24"/>
    </w:rPr>
  </w:style>
  <w:style w:type="character" w:customStyle="1" w:styleId="319">
    <w:name w:val="正文重点 Char"/>
    <w:link w:val="320"/>
    <w:qFormat/>
    <w:uiPriority w:val="0"/>
    <w:rPr>
      <w:b/>
      <w:sz w:val="24"/>
    </w:rPr>
  </w:style>
  <w:style w:type="paragraph" w:customStyle="1" w:styleId="320">
    <w:name w:val="正文重点"/>
    <w:basedOn w:val="1"/>
    <w:link w:val="319"/>
    <w:qFormat/>
    <w:uiPriority w:val="0"/>
    <w:pPr>
      <w:spacing w:line="360" w:lineRule="auto"/>
      <w:ind w:firstLine="482"/>
      <w:jc w:val="left"/>
    </w:pPr>
    <w:rPr>
      <w:b/>
      <w:sz w:val="24"/>
      <w:szCs w:val="20"/>
    </w:rPr>
  </w:style>
  <w:style w:type="character" w:customStyle="1" w:styleId="321">
    <w:name w:val="标题 3 Char"/>
    <w:link w:val="1"/>
    <w:qFormat/>
    <w:uiPriority w:val="0"/>
    <w:rPr>
      <w:rFonts w:ascii="宋体" w:eastAsia="宋体"/>
      <w:b/>
      <w:sz w:val="24"/>
      <w:u w:val="single"/>
      <w:lang w:val="en-US" w:eastAsia="zh-CN" w:bidi="ar-SA"/>
    </w:rPr>
  </w:style>
  <w:style w:type="character" w:customStyle="1" w:styleId="322">
    <w:name w:val="Char Char111"/>
    <w:link w:val="1"/>
    <w:qFormat/>
    <w:uiPriority w:val="0"/>
    <w:rPr>
      <w:rFonts w:ascii="宋体" w:eastAsia="宋体"/>
      <w:b/>
      <w:sz w:val="24"/>
      <w:u w:val="single"/>
      <w:lang w:val="en-US" w:eastAsia="zh-CN" w:bidi="ar-SA"/>
    </w:rPr>
  </w:style>
  <w:style w:type="character" w:customStyle="1" w:styleId="323">
    <w:name w:val="bjh-p"/>
    <w:link w:val="1"/>
    <w:qFormat/>
    <w:uiPriority w:val="0"/>
  </w:style>
  <w:style w:type="paragraph" w:customStyle="1" w:styleId="32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25">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26">
    <w:name w:val="图中文字"/>
    <w:basedOn w:val="1"/>
    <w:qFormat/>
    <w:uiPriority w:val="0"/>
    <w:pPr>
      <w:spacing w:line="0" w:lineRule="atLeast"/>
      <w:jc w:val="center"/>
    </w:pPr>
    <w:rPr>
      <w:sz w:val="24"/>
      <w:szCs w:val="20"/>
    </w:rPr>
  </w:style>
  <w:style w:type="paragraph" w:customStyle="1" w:styleId="327">
    <w:name w:val="1 Char Char Char Char"/>
    <w:basedOn w:val="1"/>
    <w:qFormat/>
    <w:uiPriority w:val="0"/>
    <w:rPr>
      <w:rFonts w:ascii="Tahoma" w:hAnsi="Tahoma"/>
      <w:sz w:val="24"/>
      <w:szCs w:val="20"/>
    </w:rPr>
  </w:style>
  <w:style w:type="paragraph" w:customStyle="1" w:styleId="328">
    <w:name w:val="正文列项_字母"/>
    <w:basedOn w:val="1"/>
    <w:qFormat/>
    <w:uiPriority w:val="0"/>
    <w:pPr>
      <w:numPr>
        <w:ilvl w:val="6"/>
        <w:numId w:val="1"/>
      </w:numPr>
      <w:tabs>
        <w:tab w:val="clear" w:pos="635"/>
      </w:tabs>
      <w:spacing w:line="460" w:lineRule="exact"/>
      <w:ind w:left="480" w:hanging="180"/>
      <w:outlineLvl w:val="6"/>
    </w:pPr>
    <w:rPr>
      <w:rFonts w:ascii="宋体"/>
      <w:sz w:val="28"/>
      <w:szCs w:val="20"/>
    </w:rPr>
  </w:style>
  <w:style w:type="paragraph" w:customStyle="1" w:styleId="329">
    <w:name w:val="正文须知-2级"/>
    <w:basedOn w:val="1"/>
    <w:qFormat/>
    <w:uiPriority w:val="0"/>
    <w:pPr>
      <w:numPr>
        <w:ilvl w:val="1"/>
        <w:numId w:val="2"/>
      </w:numPr>
      <w:spacing w:line="300" w:lineRule="auto"/>
    </w:pPr>
    <w:rPr>
      <w:rFonts w:ascii="宋体" w:hAnsi="Calibri"/>
      <w:sz w:val="24"/>
      <w:szCs w:val="21"/>
    </w:rPr>
  </w:style>
  <w:style w:type="paragraph" w:customStyle="1" w:styleId="330">
    <w:name w:val="Char1 Char Char Char1"/>
    <w:basedOn w:val="1"/>
    <w:qFormat/>
    <w:uiPriority w:val="0"/>
    <w:rPr>
      <w:rFonts w:ascii="Tahoma" w:hAnsi="Tahoma" w:cs="仿宋_GB2312"/>
      <w:sz w:val="24"/>
      <w:szCs w:val="28"/>
    </w:rPr>
  </w:style>
  <w:style w:type="paragraph" w:customStyle="1" w:styleId="331">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32">
    <w:name w:val="二级条标题"/>
    <w:basedOn w:val="33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333">
    <w:name w:val="一级条标题"/>
    <w:basedOn w:val="334"/>
    <w:next w:val="1"/>
    <w:qFormat/>
    <w:uiPriority w:val="0"/>
    <w:pPr>
      <w:numPr>
        <w:ilvl w:val="1"/>
      </w:numPr>
      <w:tabs>
        <w:tab w:val="left" w:pos="360"/>
        <w:tab w:val="left" w:pos="840"/>
      </w:tabs>
      <w:ind w:left="0" w:hanging="840"/>
      <w:outlineLvl w:val="1"/>
    </w:pPr>
  </w:style>
  <w:style w:type="paragraph" w:customStyle="1" w:styleId="334">
    <w:name w:val="章标题"/>
    <w:next w:val="1"/>
    <w:qFormat/>
    <w:uiPriority w:val="0"/>
    <w:pPr>
      <w:numPr>
        <w:ilvl w:val="0"/>
        <w:numId w:val="1"/>
      </w:numPr>
      <w:spacing w:before="156" w:after="156" w:line="460" w:lineRule="exact"/>
      <w:ind w:left="0"/>
      <w:jc w:val="both"/>
      <w:outlineLvl w:val="0"/>
    </w:pPr>
    <w:rPr>
      <w:rFonts w:hint="default" w:ascii="黑体" w:hAnsi="Times New Roman" w:eastAsia="黑体" w:cs="Times New Roman"/>
      <w:b/>
      <w:sz w:val="28"/>
      <w:lang w:val="en-US" w:eastAsia="zh-CN" w:bidi="ar-SA"/>
    </w:rPr>
  </w:style>
  <w:style w:type="paragraph" w:customStyle="1" w:styleId="335">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sz w:val="20"/>
      <w:szCs w:val="20"/>
    </w:rPr>
  </w:style>
  <w:style w:type="paragraph" w:customStyle="1" w:styleId="336">
    <w:name w:val="正文文本样式"/>
    <w:basedOn w:val="1"/>
    <w:qFormat/>
    <w:uiPriority w:val="0"/>
    <w:pPr>
      <w:spacing w:line="360" w:lineRule="auto"/>
      <w:ind w:firstLine="482"/>
    </w:pPr>
    <w:rPr>
      <w:rFonts w:cs="宋体"/>
      <w:sz w:val="24"/>
      <w:szCs w:val="20"/>
    </w:rPr>
  </w:style>
  <w:style w:type="paragraph" w:customStyle="1" w:styleId="337">
    <w:name w:val="Char2 Char Char Char Char Char Char"/>
    <w:basedOn w:val="1"/>
    <w:qFormat/>
    <w:uiPriority w:val="0"/>
    <w:pPr>
      <w:widowControl/>
      <w:spacing w:line="400" w:lineRule="exact"/>
      <w:jc w:val="center"/>
    </w:pPr>
  </w:style>
  <w:style w:type="paragraph" w:customStyle="1" w:styleId="338">
    <w:name w:val="Char Char1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339">
    <w:name w:val="正文列项_数字"/>
    <w:basedOn w:val="1"/>
    <w:qFormat/>
    <w:uiPriority w:val="0"/>
    <w:pPr>
      <w:numPr>
        <w:ilvl w:val="7"/>
        <w:numId w:val="1"/>
      </w:numPr>
      <w:tabs>
        <w:tab w:val="clear" w:pos="860"/>
      </w:tabs>
      <w:spacing w:line="460" w:lineRule="exact"/>
      <w:ind w:left="680" w:hanging="150"/>
      <w:outlineLvl w:val="7"/>
    </w:pPr>
    <w:rPr>
      <w:rFonts w:ascii="宋体"/>
      <w:sz w:val="28"/>
      <w:szCs w:val="20"/>
    </w:rPr>
  </w:style>
  <w:style w:type="paragraph" w:customStyle="1" w:styleId="340">
    <w:name w:val="表格1"/>
    <w:basedOn w:val="1"/>
    <w:qFormat/>
    <w:uiPriority w:val="0"/>
    <w:pPr>
      <w:ind w:firstLine="480"/>
      <w:jc w:val="center"/>
    </w:pPr>
    <w:rPr>
      <w:sz w:val="24"/>
      <w:szCs w:val="20"/>
    </w:rPr>
  </w:style>
  <w:style w:type="paragraph" w:customStyle="1" w:styleId="341">
    <w:name w:val="纯文本1"/>
    <w:qFormat/>
    <w:uiPriority w:val="0"/>
    <w:pPr>
      <w:widowControl w:val="0"/>
      <w:jc w:val="both"/>
    </w:pPr>
    <w:rPr>
      <w:rFonts w:hint="default" w:ascii="宋体" w:hAnsi="宋体" w:eastAsia="宋体" w:cs="Times New Roman"/>
      <w:sz w:val="26"/>
      <w:lang w:val="en-US" w:eastAsia="zh-CN" w:bidi="ar-SA"/>
    </w:rPr>
  </w:style>
  <w:style w:type="paragraph" w:customStyle="1" w:styleId="342">
    <w:name w:val="xl23"/>
    <w:basedOn w:val="1"/>
    <w:qFormat/>
    <w:uiPriority w:val="0"/>
    <w:pPr>
      <w:widowControl/>
      <w:spacing w:before="100" w:beforeAutospacing="1" w:after="100" w:afterAutospacing="1" w:line="360" w:lineRule="auto"/>
    </w:pPr>
    <w:rPr>
      <w:sz w:val="24"/>
      <w:szCs w:val="20"/>
    </w:rPr>
  </w:style>
  <w:style w:type="paragraph" w:customStyle="1" w:styleId="343">
    <w:name w:val="项目符号1"/>
    <w:basedOn w:val="336"/>
    <w:qFormat/>
    <w:uiPriority w:val="0"/>
    <w:pPr>
      <w:ind w:left="-25" w:firstLine="0"/>
    </w:pPr>
  </w:style>
  <w:style w:type="paragraph" w:customStyle="1" w:styleId="344">
    <w:name w:val="正文 + 宋体"/>
    <w:basedOn w:val="1"/>
    <w:qFormat/>
    <w:uiPriority w:val="0"/>
    <w:pPr>
      <w:widowControl/>
      <w:ind w:left="360" w:hanging="360"/>
      <w:jc w:val="left"/>
    </w:pPr>
    <w:rPr>
      <w:rFonts w:ascii="宋体" w:hAnsi="宋体" w:cs="宋体"/>
      <w:b/>
      <w:bCs/>
      <w:color w:val="000000"/>
      <w:sz w:val="18"/>
      <w:szCs w:val="18"/>
    </w:rPr>
  </w:style>
  <w:style w:type="paragraph" w:customStyle="1" w:styleId="345">
    <w:name w:val="xl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16"/>
      <w:szCs w:val="16"/>
    </w:rPr>
  </w:style>
  <w:style w:type="paragraph" w:customStyle="1" w:styleId="346">
    <w:name w:val="图文"/>
    <w:basedOn w:val="1"/>
    <w:qFormat/>
    <w:uiPriority w:val="0"/>
    <w:pPr>
      <w:spacing w:after="50" w:line="360" w:lineRule="auto"/>
    </w:pPr>
    <w:rPr>
      <w:sz w:val="24"/>
    </w:rPr>
  </w:style>
  <w:style w:type="paragraph" w:customStyle="1" w:styleId="347">
    <w:name w:val="xl4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4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349">
    <w:name w:val="三级条标题"/>
    <w:basedOn w:val="332"/>
    <w:next w:val="1"/>
    <w:qFormat/>
    <w:uiPriority w:val="0"/>
    <w:pPr>
      <w:numPr>
        <w:ilvl w:val="3"/>
        <w:numId w:val="1"/>
      </w:numPr>
      <w:ind w:left="0" w:hanging="840"/>
      <w:outlineLvl w:val="3"/>
    </w:pPr>
  </w:style>
  <w:style w:type="paragraph" w:customStyle="1" w:styleId="350">
    <w:name w:val="正文 A"/>
    <w:qFormat/>
    <w:uiPriority w:val="0"/>
    <w:pPr>
      <w:widowControl w:val="0"/>
      <w:jc w:val="both"/>
    </w:pPr>
    <w:rPr>
      <w:rFonts w:hint="default" w:ascii="Times New Roman" w:hAnsi="Times New Roman" w:eastAsia="Times New Roman" w:cs="Times New Roman"/>
      <w:color w:val="000000"/>
      <w:sz w:val="21"/>
      <w:szCs w:val="21"/>
      <w:lang w:val="en-US" w:eastAsia="zh-CN" w:bidi="ar-SA"/>
    </w:rPr>
  </w:style>
  <w:style w:type="paragraph" w:customStyle="1" w:styleId="351">
    <w:name w:val="字元 字元1"/>
    <w:basedOn w:val="1"/>
    <w:qFormat/>
    <w:uiPriority w:val="0"/>
    <w:rPr>
      <w:rFonts w:ascii="Tahoma" w:hAnsi="Tahoma"/>
      <w:sz w:val="24"/>
      <w:szCs w:val="20"/>
    </w:rPr>
  </w:style>
  <w:style w:type="paragraph" w:customStyle="1" w:styleId="352">
    <w:name w:val="Char3"/>
    <w:basedOn w:val="1"/>
    <w:qFormat/>
    <w:uiPriority w:val="0"/>
    <w:pPr>
      <w:tabs>
        <w:tab w:val="left" w:pos="360"/>
      </w:tabs>
    </w:pPr>
    <w:rPr>
      <w:sz w:val="24"/>
    </w:rPr>
  </w:style>
  <w:style w:type="paragraph" w:customStyle="1" w:styleId="353">
    <w:name w:val="xl4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54">
    <w:name w:val="xl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32"/>
      <w:szCs w:val="32"/>
    </w:rPr>
  </w:style>
  <w:style w:type="paragraph" w:customStyle="1" w:styleId="355">
    <w:name w:val="Table Paragraph"/>
    <w:basedOn w:val="1"/>
    <w:qFormat/>
    <w:uiPriority w:val="1"/>
    <w:pPr>
      <w:jc w:val="left"/>
    </w:pPr>
    <w:rPr>
      <w:rFonts w:ascii="宋体" w:hAnsi="宋体" w:cs="宋体"/>
      <w:sz w:val="22"/>
      <w:szCs w:val="22"/>
      <w:lang w:eastAsia="en-US"/>
    </w:rPr>
  </w:style>
  <w:style w:type="paragraph" w:customStyle="1" w:styleId="356">
    <w:name w:val="Char Char1"/>
    <w:basedOn w:val="216"/>
    <w:qFormat/>
    <w:uiPriority w:val="0"/>
    <w:rPr>
      <w:rFonts w:ascii="Tahoma" w:hAnsi="Tahoma"/>
      <w:sz w:val="24"/>
    </w:rPr>
  </w:style>
  <w:style w:type="paragraph" w:customStyle="1" w:styleId="357">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0"/>
      <w:szCs w:val="20"/>
    </w:rPr>
  </w:style>
  <w:style w:type="paragraph" w:customStyle="1" w:styleId="358">
    <w:name w:val="Char22"/>
    <w:basedOn w:val="1"/>
    <w:qFormat/>
    <w:uiPriority w:val="0"/>
    <w:rPr>
      <w:rFonts w:ascii="Tahoma" w:hAnsi="Tahoma"/>
      <w:sz w:val="24"/>
      <w:szCs w:val="20"/>
    </w:rPr>
  </w:style>
  <w:style w:type="paragraph" w:customStyle="1" w:styleId="359">
    <w:name w:val="font9"/>
    <w:basedOn w:val="1"/>
    <w:qFormat/>
    <w:uiPriority w:val="0"/>
    <w:pPr>
      <w:widowControl/>
      <w:spacing w:before="100" w:beforeAutospacing="1" w:after="100" w:afterAutospacing="1"/>
      <w:jc w:val="left"/>
    </w:pPr>
    <w:rPr>
      <w:rFonts w:hint="eastAsia" w:ascii="宋体" w:hAnsi="宋体" w:cs="Arial Unicode MS"/>
      <w:color w:val="000000"/>
      <w:sz w:val="20"/>
      <w:szCs w:val="20"/>
    </w:rPr>
  </w:style>
  <w:style w:type="paragraph" w:customStyle="1" w:styleId="360">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61">
    <w:name w:val="Char2 Char Char Char Char Char Char1"/>
    <w:basedOn w:val="1"/>
    <w:qFormat/>
    <w:uiPriority w:val="0"/>
    <w:pPr>
      <w:widowControl/>
      <w:spacing w:line="400" w:lineRule="exact"/>
      <w:jc w:val="center"/>
    </w:pPr>
  </w:style>
  <w:style w:type="paragraph" w:customStyle="1" w:styleId="362">
    <w:name w:val="Char Char Char Char Char Char Char Char Char Char1"/>
    <w:basedOn w:val="1"/>
    <w:qFormat/>
    <w:uiPriority w:val="0"/>
    <w:rPr>
      <w:rFonts w:ascii="宋体" w:hAnsi="宋体" w:cs="Courier New"/>
      <w:sz w:val="32"/>
      <w:szCs w:val="32"/>
    </w:rPr>
  </w:style>
  <w:style w:type="paragraph" w:customStyle="1" w:styleId="363">
    <w:name w:val="Char Char Char1 Char"/>
    <w:basedOn w:val="1"/>
    <w:qFormat/>
    <w:uiPriority w:val="0"/>
    <w:rPr>
      <w:rFonts w:ascii="Tahoma" w:hAnsi="Tahoma"/>
      <w:sz w:val="24"/>
      <w:szCs w:val="20"/>
    </w:rPr>
  </w:style>
  <w:style w:type="paragraph" w:customStyle="1" w:styleId="364">
    <w:name w:val="正文文本样式 加粗"/>
    <w:basedOn w:val="336"/>
    <w:qFormat/>
    <w:uiPriority w:val="0"/>
    <w:rPr>
      <w:b/>
    </w:rPr>
  </w:style>
  <w:style w:type="paragraph" w:customStyle="1" w:styleId="365">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eastAsia="Arial Unicode MS"/>
      <w:color w:val="000000"/>
      <w:sz w:val="20"/>
      <w:szCs w:val="20"/>
    </w:rPr>
  </w:style>
  <w:style w:type="paragraph" w:customStyle="1" w:styleId="366">
    <w:name w:val="xl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67">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2"/>
      <w:szCs w:val="22"/>
    </w:rPr>
  </w:style>
  <w:style w:type="paragraph" w:customStyle="1" w:styleId="368">
    <w:name w:val="xl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0"/>
      <w:szCs w:val="20"/>
    </w:rPr>
  </w:style>
  <w:style w:type="paragraph" w:customStyle="1" w:styleId="369">
    <w:name w:val="font8"/>
    <w:basedOn w:val="1"/>
    <w:qFormat/>
    <w:uiPriority w:val="0"/>
    <w:pPr>
      <w:widowControl/>
      <w:spacing w:before="100" w:beforeAutospacing="1" w:after="100" w:afterAutospacing="1"/>
      <w:jc w:val="left"/>
    </w:pPr>
    <w:rPr>
      <w:sz w:val="36"/>
      <w:szCs w:val="36"/>
    </w:rPr>
  </w:style>
  <w:style w:type="paragraph" w:customStyle="1" w:styleId="370">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16"/>
      <w:szCs w:val="16"/>
    </w:rPr>
  </w:style>
  <w:style w:type="paragraph" w:customStyle="1" w:styleId="371">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372">
    <w:name w:val="22222222222222"/>
    <w:basedOn w:val="1"/>
    <w:qFormat/>
    <w:uiPriority w:val="0"/>
    <w:pPr>
      <w:widowControl/>
      <w:spacing w:line="360" w:lineRule="auto"/>
      <w:ind w:firstLine="480"/>
      <w:jc w:val="left"/>
    </w:pPr>
    <w:rPr>
      <w:color w:val="FF0000"/>
      <w:sz w:val="24"/>
      <w:szCs w:val="20"/>
    </w:rPr>
  </w:style>
  <w:style w:type="paragraph" w:customStyle="1" w:styleId="373">
    <w:name w:val="四级条标题"/>
    <w:basedOn w:val="349"/>
    <w:next w:val="1"/>
    <w:qFormat/>
    <w:uiPriority w:val="0"/>
    <w:pPr>
      <w:numPr>
        <w:ilvl w:val="4"/>
      </w:numPr>
      <w:ind w:left="0" w:hanging="840"/>
      <w:outlineLvl w:val="4"/>
    </w:pPr>
  </w:style>
  <w:style w:type="paragraph" w:customStyle="1" w:styleId="374">
    <w:name w:val="项目编号2"/>
    <w:basedOn w:val="348"/>
    <w:qFormat/>
    <w:uiPriority w:val="0"/>
    <w:pPr>
      <w:numPr>
        <w:numId w:val="4"/>
      </w:numPr>
    </w:pPr>
  </w:style>
  <w:style w:type="paragraph" w:customStyle="1" w:styleId="375">
    <w:name w:val="Char"/>
    <w:basedOn w:val="1"/>
    <w:qFormat/>
    <w:uiPriority w:val="0"/>
    <w:pPr>
      <w:tabs>
        <w:tab w:val="left" w:pos="360"/>
      </w:tabs>
    </w:pPr>
    <w:rPr>
      <w:sz w:val="24"/>
    </w:rPr>
  </w:style>
  <w:style w:type="paragraph" w:customStyle="1" w:styleId="376">
    <w:name w:val="Char Char Char1 Char2"/>
    <w:basedOn w:val="1"/>
    <w:qFormat/>
    <w:uiPriority w:val="0"/>
    <w:rPr>
      <w:rFonts w:ascii="Tahoma" w:hAnsi="Tahoma"/>
      <w:sz w:val="24"/>
      <w:szCs w:val="20"/>
    </w:rPr>
  </w:style>
  <w:style w:type="paragraph" w:customStyle="1" w:styleId="377">
    <w:name w:val="Char1"/>
    <w:basedOn w:val="1"/>
    <w:qFormat/>
    <w:uiPriority w:val="0"/>
    <w:pPr>
      <w:tabs>
        <w:tab w:val="left" w:pos="360"/>
      </w:tabs>
    </w:pPr>
    <w:rPr>
      <w:sz w:val="24"/>
    </w:rPr>
  </w:style>
  <w:style w:type="paragraph" w:customStyle="1" w:styleId="378">
    <w:name w:val="Char Char Char Char Char Char Char"/>
    <w:basedOn w:val="1"/>
    <w:qFormat/>
    <w:uiPriority w:val="0"/>
    <w:pPr>
      <w:spacing w:line="360" w:lineRule="auto"/>
      <w:ind w:firstLine="200"/>
    </w:pPr>
    <w:rPr>
      <w:rFonts w:eastAsia="仿宋_GB2312"/>
      <w:sz w:val="24"/>
    </w:rPr>
  </w:style>
  <w:style w:type="paragraph" w:customStyle="1" w:styleId="379">
    <w:name w:val="Char Char Char Char Char Char Char Char Char Char Char Char Char Char Char Char1"/>
    <w:basedOn w:val="1"/>
    <w:qFormat/>
    <w:uiPriority w:val="0"/>
    <w:pPr>
      <w:widowControl/>
      <w:spacing w:after="160" w:line="240" w:lineRule="exact"/>
      <w:jc w:val="center"/>
    </w:pPr>
    <w:rPr>
      <w:rFonts w:ascii="宋体" w:hAnsi="宋体"/>
      <w:b/>
      <w:sz w:val="30"/>
      <w:szCs w:val="30"/>
      <w:lang w:eastAsia="en-US"/>
    </w:rPr>
  </w:style>
  <w:style w:type="paragraph" w:customStyle="1" w:styleId="380">
    <w:name w:val="Char Char Char2"/>
    <w:basedOn w:val="1"/>
    <w:qFormat/>
    <w:uiPriority w:val="0"/>
    <w:rPr>
      <w:rFonts w:ascii="Tahoma" w:hAnsi="Tahoma"/>
      <w:sz w:val="24"/>
      <w:szCs w:val="20"/>
    </w:rPr>
  </w:style>
  <w:style w:type="paragraph" w:customStyle="1" w:styleId="381">
    <w:name w:val="xl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2"/>
      <w:szCs w:val="22"/>
    </w:rPr>
  </w:style>
  <w:style w:type="paragraph" w:customStyle="1" w:styleId="382">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FF6600"/>
      <w:sz w:val="20"/>
      <w:szCs w:val="20"/>
    </w:rPr>
  </w:style>
  <w:style w:type="paragraph" w:customStyle="1" w:styleId="383">
    <w:name w:val="样式2"/>
    <w:basedOn w:val="254"/>
    <w:qFormat/>
    <w:uiPriority w:val="0"/>
    <w:pPr>
      <w:spacing w:line="360" w:lineRule="auto"/>
      <w:jc w:val="center"/>
    </w:pPr>
    <w:rPr>
      <w:sz w:val="24"/>
    </w:rPr>
  </w:style>
  <w:style w:type="paragraph" w:customStyle="1" w:styleId="384">
    <w:name w:val="Default"/>
    <w:qFormat/>
    <w:uiPriority w:val="0"/>
    <w:pPr>
      <w:widowControl w:val="0"/>
    </w:pPr>
    <w:rPr>
      <w:rFonts w:hint="default" w:ascii="Symbol" w:hAnsi="Symbol" w:eastAsia="宋体" w:cs="Symbol"/>
      <w:color w:val="000000"/>
      <w:sz w:val="24"/>
      <w:szCs w:val="24"/>
      <w:lang w:val="en-US" w:eastAsia="zh-CN" w:bidi="ar-SA"/>
    </w:rPr>
  </w:style>
  <w:style w:type="paragraph" w:customStyle="1" w:styleId="385">
    <w:name w:val="正文须知-1级"/>
    <w:basedOn w:val="1"/>
    <w:next w:val="1"/>
    <w:qFormat/>
    <w:uiPriority w:val="0"/>
    <w:pPr>
      <w:numPr>
        <w:ilvl w:val="0"/>
        <w:numId w:val="2"/>
      </w:numPr>
      <w:spacing w:line="300" w:lineRule="auto"/>
    </w:pPr>
    <w:rPr>
      <w:rFonts w:ascii="宋体" w:hAnsi="Calibri"/>
      <w:sz w:val="24"/>
      <w:szCs w:val="21"/>
    </w:rPr>
  </w:style>
  <w:style w:type="paragraph" w:customStyle="1" w:styleId="386">
    <w:name w:val="xl4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87">
    <w:name w:val="font7"/>
    <w:basedOn w:val="1"/>
    <w:qFormat/>
    <w:uiPriority w:val="0"/>
    <w:pPr>
      <w:widowControl/>
      <w:spacing w:before="100" w:beforeAutospacing="1" w:after="100" w:afterAutospacing="1"/>
      <w:jc w:val="left"/>
    </w:pPr>
    <w:rPr>
      <w:rFonts w:eastAsia="Arial Unicode MS"/>
      <w:b/>
      <w:bCs/>
      <w:color w:val="000000"/>
      <w:sz w:val="20"/>
      <w:szCs w:val="20"/>
    </w:rPr>
  </w:style>
  <w:style w:type="paragraph" w:customStyle="1" w:styleId="388">
    <w:name w:val="无间隔"/>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89">
    <w:name w:val="_Style 160"/>
    <w:qFormat/>
    <w:uiPriority w:val="0"/>
    <w:rPr>
      <w:rFonts w:hint="default" w:ascii="Times New Roman" w:hAnsi="Times New Roman" w:eastAsia="宋体" w:cs="Times New Roman"/>
      <w:sz w:val="21"/>
      <w:szCs w:val="24"/>
      <w:lang w:val="en-US" w:eastAsia="zh-CN" w:bidi="ar-SA"/>
    </w:rPr>
  </w:style>
  <w:style w:type="paragraph" w:customStyle="1" w:styleId="390">
    <w:name w:val="xl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eastAsia="Arial Unicode MS"/>
      <w:color w:val="000000"/>
      <w:sz w:val="20"/>
      <w:szCs w:val="20"/>
    </w:rPr>
  </w:style>
  <w:style w:type="paragraph" w:customStyle="1" w:styleId="391">
    <w:name w:val="Revision"/>
    <w:qFormat/>
    <w:uiPriority w:val="0"/>
    <w:rPr>
      <w:rFonts w:hint="default" w:ascii="Times New Roman" w:hAnsi="Times New Roman" w:eastAsia="宋体" w:cs="Times New Roman"/>
      <w:sz w:val="21"/>
      <w:szCs w:val="24"/>
      <w:lang w:val="en-US" w:eastAsia="zh-CN" w:bidi="ar-SA"/>
    </w:rPr>
  </w:style>
  <w:style w:type="paragraph" w:customStyle="1" w:styleId="392">
    <w:name w:val="xl46"/>
    <w:basedOn w:val="1"/>
    <w:qFormat/>
    <w:uiPriority w:val="0"/>
    <w:pPr>
      <w:widowControl/>
      <w:pBdr>
        <w:top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93">
    <w:name w:val="xl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b/>
      <w:bCs/>
      <w:color w:val="000000"/>
      <w:sz w:val="20"/>
      <w:szCs w:val="20"/>
    </w:rPr>
  </w:style>
  <w:style w:type="paragraph" w:customStyle="1" w:styleId="394">
    <w:name w:val="Char Char Char Char Char Char Char Char Char Char"/>
    <w:basedOn w:val="1"/>
    <w:qFormat/>
    <w:uiPriority w:val="0"/>
  </w:style>
  <w:style w:type="paragraph" w:customStyle="1" w:styleId="3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96">
    <w:name w:val="Char Char Char Char Char Char Char Char Char Char2"/>
    <w:basedOn w:val="1"/>
    <w:qFormat/>
    <w:uiPriority w:val="0"/>
    <w:rPr>
      <w:rFonts w:ascii="宋体" w:hAnsi="宋体" w:cs="Courier New"/>
      <w:sz w:val="32"/>
      <w:szCs w:val="32"/>
    </w:rPr>
  </w:style>
  <w:style w:type="paragraph" w:customStyle="1" w:styleId="397">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98">
    <w:name w:val="无标题条"/>
    <w:next w:val="1"/>
    <w:qFormat/>
    <w:uiPriority w:val="0"/>
    <w:pPr>
      <w:jc w:val="both"/>
    </w:pPr>
    <w:rPr>
      <w:rFonts w:hint="default" w:ascii="Times New Roman" w:hAnsi="Times New Roman" w:eastAsia="宋体" w:cs="Times New Roman"/>
      <w:sz w:val="21"/>
      <w:lang w:val="en-US" w:eastAsia="zh-CN" w:bidi="ar-SA"/>
    </w:rPr>
  </w:style>
  <w:style w:type="paragraph" w:customStyle="1" w:styleId="399">
    <w:name w:val="缺省文本"/>
    <w:basedOn w:val="1"/>
    <w:qFormat/>
    <w:uiPriority w:val="0"/>
    <w:pPr>
      <w:jc w:val="left"/>
    </w:pPr>
    <w:rPr>
      <w:sz w:val="24"/>
    </w:rPr>
  </w:style>
  <w:style w:type="paragraph" w:customStyle="1" w:styleId="400">
    <w:name w:val="默认段落字体 Para Char Char Char Char"/>
    <w:basedOn w:val="1"/>
    <w:qFormat/>
    <w:uiPriority w:val="0"/>
    <w:rPr>
      <w:rFonts w:ascii="Arial" w:hAnsi="Arial" w:cs="Arial"/>
      <w:szCs w:val="21"/>
    </w:rPr>
  </w:style>
  <w:style w:type="paragraph" w:customStyle="1" w:styleId="401">
    <w:name w:val="列出段落2"/>
    <w:basedOn w:val="1"/>
    <w:qFormat/>
    <w:uiPriority w:val="0"/>
    <w:pPr>
      <w:ind w:firstLine="420"/>
    </w:pPr>
    <w:rPr>
      <w:rFonts w:ascii="Calibri" w:hAnsi="Calibri"/>
      <w:szCs w:val="22"/>
    </w:rPr>
  </w:style>
  <w:style w:type="paragraph" w:customStyle="1" w:styleId="402">
    <w:name w:val="Char Char Char1"/>
    <w:basedOn w:val="1"/>
    <w:qFormat/>
    <w:uiPriority w:val="0"/>
    <w:rPr>
      <w:rFonts w:ascii="Tahoma" w:hAnsi="Tahoma"/>
      <w:sz w:val="24"/>
      <w:szCs w:val="20"/>
    </w:rPr>
  </w:style>
  <w:style w:type="paragraph" w:customStyle="1" w:styleId="403">
    <w:name w:val="Char21"/>
    <w:basedOn w:val="1"/>
    <w:qFormat/>
    <w:uiPriority w:val="0"/>
    <w:rPr>
      <w:rFonts w:ascii="Tahoma" w:hAnsi="Tahoma"/>
      <w:sz w:val="24"/>
      <w:szCs w:val="20"/>
    </w:rPr>
  </w:style>
  <w:style w:type="paragraph" w:customStyle="1" w:styleId="404">
    <w:name w:val="五级条标题"/>
    <w:basedOn w:val="373"/>
    <w:next w:val="1"/>
    <w:qFormat/>
    <w:uiPriority w:val="0"/>
    <w:pPr>
      <w:numPr>
        <w:ilvl w:val="5"/>
      </w:numPr>
      <w:ind w:left="0" w:hanging="840"/>
      <w:outlineLvl w:val="5"/>
    </w:pPr>
  </w:style>
  <w:style w:type="paragraph" w:customStyle="1" w:styleId="405">
    <w:name w:val="正文 + 楷体_GB2312"/>
    <w:basedOn w:val="1"/>
    <w:qFormat/>
    <w:uiPriority w:val="0"/>
    <w:pPr>
      <w:widowControl/>
      <w:jc w:val="left"/>
    </w:pPr>
    <w:rPr>
      <w:rFonts w:ascii="楷体_GB2312" w:eastAsia="楷体_GB2312" w:cs="Arial"/>
      <w:sz w:val="24"/>
    </w:rPr>
  </w:style>
  <w:style w:type="paragraph" w:customStyle="1" w:styleId="4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407">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color w:val="000000"/>
      <w:sz w:val="20"/>
      <w:szCs w:val="20"/>
    </w:rPr>
  </w:style>
  <w:style w:type="paragraph" w:customStyle="1" w:styleId="408">
    <w:name w:val="字元 字元2"/>
    <w:basedOn w:val="1"/>
    <w:qFormat/>
    <w:uiPriority w:val="0"/>
    <w:rPr>
      <w:rFonts w:ascii="Tahoma" w:hAnsi="Tahoma"/>
      <w:sz w:val="24"/>
      <w:szCs w:val="20"/>
    </w:rPr>
  </w:style>
  <w:style w:type="paragraph" w:customStyle="1" w:styleId="409">
    <w:name w:val="样式 宋体 五号 行距: 单倍行距"/>
    <w:basedOn w:val="1"/>
    <w:qFormat/>
    <w:uiPriority w:val="0"/>
    <w:pPr>
      <w:jc w:val="left"/>
    </w:pPr>
    <w:rPr>
      <w:rFonts w:ascii="宋体" w:hAnsi="宋体"/>
      <w:szCs w:val="20"/>
    </w:rPr>
  </w:style>
  <w:style w:type="paragraph" w:customStyle="1" w:styleId="410">
    <w:name w:val="列出段落1"/>
    <w:basedOn w:val="273"/>
    <w:qFormat/>
    <w:uiPriority w:val="0"/>
    <w:pPr>
      <w:ind w:firstLine="420"/>
    </w:pPr>
    <w:rPr>
      <w:rFonts w:ascii="Calibri" w:hAnsi="Calibri"/>
      <w:szCs w:val="22"/>
    </w:rPr>
  </w:style>
  <w:style w:type="paragraph" w:customStyle="1" w:styleId="411">
    <w:name w:val="Char2"/>
    <w:basedOn w:val="1"/>
    <w:qFormat/>
    <w:uiPriority w:val="0"/>
    <w:rPr>
      <w:rFonts w:ascii="Tahoma" w:hAnsi="Tahoma"/>
      <w:sz w:val="24"/>
      <w:szCs w:val="20"/>
    </w:rPr>
  </w:style>
  <w:style w:type="paragraph" w:customStyle="1" w:styleId="412">
    <w:name w:val="字元 字元"/>
    <w:basedOn w:val="1"/>
    <w:qFormat/>
    <w:uiPriority w:val="0"/>
    <w:rPr>
      <w:rFonts w:ascii="Tahoma" w:hAnsi="Tahoma"/>
      <w:sz w:val="24"/>
      <w:szCs w:val="20"/>
    </w:rPr>
  </w:style>
  <w:style w:type="paragraph" w:customStyle="1" w:styleId="413">
    <w:name w:val="文档正文"/>
    <w:basedOn w:val="1"/>
    <w:qFormat/>
    <w:uiPriority w:val="0"/>
    <w:pPr>
      <w:spacing w:before="120" w:after="120" w:line="180" w:lineRule="auto"/>
    </w:pPr>
    <w:rPr>
      <w:rFonts w:ascii="Arial" w:hAnsi="Arial"/>
      <w:szCs w:val="20"/>
    </w:rPr>
  </w:style>
  <w:style w:type="paragraph" w:customStyle="1" w:styleId="414">
    <w:name w:val="正文缩进2"/>
    <w:basedOn w:val="1"/>
    <w:qFormat/>
    <w:uiPriority w:val="0"/>
    <w:pPr>
      <w:widowControl/>
      <w:spacing w:line="480" w:lineRule="exact"/>
      <w:ind w:firstLine="567"/>
    </w:pPr>
    <w:rPr>
      <w:rFonts w:ascii="宋体"/>
      <w:color w:val="000000"/>
      <w:sz w:val="28"/>
      <w:szCs w:val="20"/>
      <w:lang w:val="zh-CN" w:eastAsia="zh-CN"/>
    </w:rPr>
  </w:style>
  <w:style w:type="paragraph" w:customStyle="1" w:styleId="415">
    <w:name w:val="Char3 Char Char Char1"/>
    <w:basedOn w:val="1"/>
    <w:qFormat/>
    <w:uiPriority w:val="0"/>
    <w:rPr>
      <w:rFonts w:ascii="Tahoma" w:hAnsi="Tahoma"/>
      <w:sz w:val="24"/>
      <w:szCs w:val="20"/>
    </w:rPr>
  </w:style>
  <w:style w:type="paragraph" w:customStyle="1" w:styleId="416">
    <w:name w:val="Char Char Char Char Char Char Char Char Char Char Char Char Char Char Char Char"/>
    <w:basedOn w:val="1"/>
    <w:qFormat/>
    <w:uiPriority w:val="0"/>
    <w:pPr>
      <w:widowControl/>
      <w:spacing w:after="160" w:line="240" w:lineRule="exact"/>
      <w:jc w:val="center"/>
    </w:pPr>
    <w:rPr>
      <w:rFonts w:ascii="宋体" w:hAnsi="宋体"/>
      <w:b/>
      <w:sz w:val="30"/>
      <w:szCs w:val="30"/>
      <w:lang w:eastAsia="en-US"/>
    </w:rPr>
  </w:style>
  <w:style w:type="paragraph" w:customStyle="1" w:styleId="417">
    <w:name w:val="图例"/>
    <w:basedOn w:val="1"/>
    <w:qFormat/>
    <w:uiPriority w:val="0"/>
    <w:pPr>
      <w:spacing w:before="120" w:after="120" w:line="360" w:lineRule="auto"/>
      <w:jc w:val="center"/>
    </w:pPr>
    <w:rPr>
      <w:rFonts w:eastAsia="仿宋_GB2312"/>
      <w:b/>
      <w:sz w:val="24"/>
      <w:szCs w:val="20"/>
    </w:rPr>
  </w:style>
  <w:style w:type="paragraph" w:customStyle="1" w:styleId="418">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19">
    <w:name w:val="font6"/>
    <w:basedOn w:val="1"/>
    <w:qFormat/>
    <w:uiPriority w:val="0"/>
    <w:pPr>
      <w:widowControl/>
      <w:spacing w:before="100" w:beforeAutospacing="1" w:after="100" w:afterAutospacing="1"/>
      <w:jc w:val="left"/>
    </w:pPr>
    <w:rPr>
      <w:rFonts w:ascii="宋体" w:hAnsi="宋体" w:cs="宋体"/>
      <w:sz w:val="20"/>
      <w:szCs w:val="20"/>
    </w:rPr>
  </w:style>
  <w:style w:type="paragraph" w:customStyle="1" w:styleId="420">
    <w:name w:val="项目编号3"/>
    <w:basedOn w:val="336"/>
    <w:qFormat/>
    <w:uiPriority w:val="0"/>
    <w:pPr>
      <w:numPr>
        <w:ilvl w:val="0"/>
        <w:numId w:val="5"/>
      </w:numPr>
    </w:pPr>
  </w:style>
  <w:style w:type="paragraph" w:customStyle="1" w:styleId="421">
    <w:name w:val="样式 标题 2 + 宋体 五号 行距: 单倍行距"/>
    <w:basedOn w:val="192"/>
    <w:qFormat/>
    <w:uiPriority w:val="0"/>
    <w:pPr>
      <w:numPr>
        <w:ilvl w:val="1"/>
        <w:numId w:val="6"/>
      </w:numPr>
      <w:spacing w:before="260" w:after="260" w:line="240" w:lineRule="auto"/>
      <w:jc w:val="left"/>
    </w:pPr>
    <w:rPr>
      <w:rFonts w:ascii="宋体" w:hAnsi="宋体" w:eastAsia="宋体"/>
      <w:bCs/>
      <w:sz w:val="21"/>
    </w:rPr>
  </w:style>
  <w:style w:type="paragraph" w:customStyle="1" w:styleId="422">
    <w:name w:val="Char Char Char1 Char1"/>
    <w:basedOn w:val="1"/>
    <w:qFormat/>
    <w:uiPriority w:val="0"/>
    <w:rPr>
      <w:rFonts w:ascii="Tahoma" w:hAnsi="Tahoma"/>
      <w:sz w:val="24"/>
      <w:szCs w:val="20"/>
    </w:rPr>
  </w:style>
  <w:style w:type="paragraph" w:customStyle="1" w:styleId="423">
    <w:name w:val="1名"/>
    <w:basedOn w:val="1"/>
    <w:qFormat/>
    <w:uiPriority w:val="0"/>
    <w:pPr>
      <w:numPr>
        <w:ilvl w:val="0"/>
        <w:numId w:val="7"/>
      </w:numPr>
      <w:spacing w:before="120"/>
    </w:pPr>
    <w:rPr>
      <w:rFonts w:ascii="宋体"/>
      <w:sz w:val="28"/>
      <w:szCs w:val="20"/>
    </w:rPr>
  </w:style>
  <w:style w:type="paragraph" w:customStyle="1" w:styleId="424">
    <w:name w:val="Default_0"/>
    <w:basedOn w:val="1"/>
    <w:qFormat/>
    <w:uiPriority w:val="0"/>
    <w:pPr>
      <w:keepNext w:val="0"/>
      <w:keepLines w:val="0"/>
      <w:widowControl w:val="0"/>
      <w:suppressLineNumbers w:val="0"/>
      <w:spacing w:before="0" w:beforeAutospacing="0" w:after="0" w:afterAutospacing="0"/>
      <w:ind w:left="0" w:right="0"/>
      <w:jc w:val="left"/>
    </w:pPr>
    <w:rPr>
      <w:rFonts w:hint="eastAsia" w:ascii="宋体" w:hAnsi="Times New Roman" w:eastAsia="宋体" w:cs="Times New Roman"/>
      <w:color w:val="000000"/>
      <w:sz w:val="24"/>
      <w:szCs w:val="24"/>
      <w:lang w:val="en-US" w:eastAsia="zh-CN" w:bidi="ar"/>
    </w:rPr>
  </w:style>
  <w:style w:type="paragraph" w:customStyle="1" w:styleId="425">
    <w:name w:val="background1"/>
    <w:basedOn w:val="1"/>
    <w:qFormat/>
    <w:uiPriority w:val="0"/>
    <w:pPr>
      <w:widowControl/>
      <w:spacing w:before="100" w:beforeAutospacing="1" w:after="100" w:afterAutospacing="1"/>
      <w:jc w:val="left"/>
    </w:pPr>
    <w:rPr>
      <w:rFonts w:ascii="宋体" w:hAnsi="宋体" w:cs="宋体"/>
      <w:sz w:val="24"/>
    </w:rPr>
  </w:style>
  <w:style w:type="paragraph" w:customStyle="1" w:styleId="426">
    <w:name w:val="Char Char Char Char Char Char Char2"/>
    <w:basedOn w:val="1"/>
    <w:qFormat/>
    <w:uiPriority w:val="0"/>
    <w:pPr>
      <w:spacing w:line="360" w:lineRule="auto"/>
      <w:ind w:firstLine="200"/>
    </w:pPr>
    <w:rPr>
      <w:rFonts w:eastAsia="仿宋_GB2312"/>
      <w:sz w:val="24"/>
    </w:rPr>
  </w:style>
  <w:style w:type="paragraph" w:customStyle="1" w:styleId="427">
    <w:name w:val="Char3 Char Char Char"/>
    <w:basedOn w:val="1"/>
    <w:qFormat/>
    <w:uiPriority w:val="0"/>
    <w:rPr>
      <w:rFonts w:ascii="Tahoma" w:hAnsi="Tahoma"/>
      <w:sz w:val="24"/>
      <w:szCs w:val="20"/>
    </w:rPr>
  </w:style>
  <w:style w:type="paragraph" w:customStyle="1" w:styleId="428">
    <w:name w:val="xl45"/>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29">
    <w:name w:val="List Paragraph1"/>
    <w:basedOn w:val="1"/>
    <w:qFormat/>
    <w:uiPriority w:val="0"/>
    <w:pPr>
      <w:ind w:firstLine="420"/>
    </w:pPr>
    <w:rPr>
      <w:rFonts w:ascii="Calibri" w:hAnsi="Calibri"/>
      <w:szCs w:val="22"/>
    </w:rPr>
  </w:style>
  <w:style w:type="paragraph" w:customStyle="1" w:styleId="430">
    <w:name w:val="xl4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sz w:val="24"/>
    </w:rPr>
  </w:style>
  <w:style w:type="paragraph" w:customStyle="1" w:styleId="431">
    <w:name w:val="xl5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432">
    <w:name w:val="??"/>
    <w:qFormat/>
    <w:uiPriority w:val="0"/>
    <w:pPr>
      <w:widowControl w:val="0"/>
      <w:jc w:val="both"/>
    </w:pPr>
    <w:rPr>
      <w:rFonts w:hint="default" w:ascii="Times New Roman" w:hAnsi="Times New Roman" w:eastAsia="宋体" w:cs="Times New Roman"/>
      <w:sz w:val="21"/>
      <w:lang w:val="en-US" w:eastAsia="en-US" w:bidi="ar-SA"/>
    </w:rPr>
  </w:style>
  <w:style w:type="paragraph" w:customStyle="1" w:styleId="433">
    <w:name w:val="Char3 Char Char Char2"/>
    <w:basedOn w:val="1"/>
    <w:qFormat/>
    <w:uiPriority w:val="0"/>
    <w:rPr>
      <w:rFonts w:ascii="Tahoma" w:hAnsi="Tahoma"/>
      <w:sz w:val="24"/>
      <w:szCs w:val="20"/>
    </w:rPr>
  </w:style>
  <w:style w:type="paragraph" w:customStyle="1" w:styleId="434">
    <w:name w:val="xl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2"/>
      <w:szCs w:val="22"/>
    </w:rPr>
  </w:style>
  <w:style w:type="paragraph" w:customStyle="1" w:styleId="435">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436">
    <w:name w:val="正文须知-3级"/>
    <w:basedOn w:val="1"/>
    <w:qFormat/>
    <w:uiPriority w:val="0"/>
    <w:pPr>
      <w:numPr>
        <w:ilvl w:val="2"/>
        <w:numId w:val="2"/>
      </w:numPr>
      <w:spacing w:line="300" w:lineRule="auto"/>
      <w:ind w:hanging="355"/>
    </w:pPr>
    <w:rPr>
      <w:rFonts w:ascii="宋体" w:hAnsi="Calibri"/>
      <w:sz w:val="24"/>
      <w:szCs w:val="21"/>
    </w:rPr>
  </w:style>
  <w:style w:type="paragraph" w:customStyle="1" w:styleId="437">
    <w:name w:val="Char Char1 Char Char Char Char Char Char1"/>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438">
    <w:name w:val="Char Char Char Char Char Char Char1"/>
    <w:basedOn w:val="1"/>
    <w:qFormat/>
    <w:uiPriority w:val="0"/>
    <w:pPr>
      <w:spacing w:line="360" w:lineRule="auto"/>
      <w:ind w:firstLine="200"/>
    </w:pPr>
    <w:rPr>
      <w:rFonts w:eastAsia="仿宋_GB2312"/>
      <w:sz w:val="24"/>
    </w:rPr>
  </w:style>
  <w:style w:type="paragraph" w:customStyle="1" w:styleId="439">
    <w:name w:val="Char Char41"/>
    <w:basedOn w:val="1"/>
    <w:qFormat/>
    <w:uiPriority w:val="0"/>
    <w:pPr>
      <w:widowControl/>
      <w:spacing w:line="400" w:lineRule="exact"/>
      <w:jc w:val="center"/>
    </w:pPr>
  </w:style>
  <w:style w:type="paragraph" w:customStyle="1" w:styleId="440">
    <w:name w:val="Char Char4"/>
    <w:basedOn w:val="1"/>
    <w:qFormat/>
    <w:uiPriority w:val="0"/>
    <w:pPr>
      <w:widowControl/>
      <w:spacing w:line="400" w:lineRule="exact"/>
      <w:jc w:val="center"/>
    </w:pPr>
  </w:style>
  <w:style w:type="paragraph" w:customStyle="1" w:styleId="441">
    <w:name w:val="一、"/>
    <w:basedOn w:val="1"/>
    <w:qFormat/>
    <w:uiPriority w:val="0"/>
    <w:pPr>
      <w:ind w:firstLine="640"/>
    </w:pPr>
    <w:rPr>
      <w:rFonts w:ascii="黑体" w:hAnsi="黑体" w:eastAsia="黑体"/>
      <w:szCs w:val="32"/>
    </w:rPr>
  </w:style>
  <w:style w:type="paragraph" w:customStyle="1" w:styleId="442">
    <w:name w:val="标题1-附件"/>
    <w:basedOn w:val="191"/>
    <w:qFormat/>
    <w:uiPriority w:val="0"/>
    <w:pPr>
      <w:jc w:val="left"/>
    </w:pPr>
    <w:rPr>
      <w:sz w:val="24"/>
      <w:szCs w:val="24"/>
    </w:rPr>
  </w:style>
  <w:style w:type="paragraph" w:customStyle="1" w:styleId="443">
    <w:name w:val="表格文字"/>
    <w:basedOn w:val="224"/>
    <w:qFormat/>
    <w:uiPriority w:val="0"/>
    <w:pPr>
      <w:spacing w:before="20" w:after="20" w:line="240" w:lineRule="auto"/>
      <w:ind w:firstLine="0"/>
    </w:pPr>
    <w:rPr>
      <w:rFonts w:ascii="Century Gothic" w:hAnsi="Century Gothic"/>
      <w:sz w:val="20"/>
      <w:szCs w:val="20"/>
    </w:rPr>
  </w:style>
  <w:style w:type="paragraph" w:customStyle="1" w:styleId="444">
    <w:name w:val="正文_2"/>
    <w:qFormat/>
    <w:uiPriority w:val="0"/>
    <w:pPr>
      <w:widowControl w:val="0"/>
      <w:jc w:val="both"/>
    </w:pPr>
    <w:rPr>
      <w:rFonts w:hint="default" w:ascii="Calibri" w:hAnsi="Calibri" w:eastAsia="宋体" w:cs="Times New Roman"/>
      <w:sz w:val="21"/>
      <w:szCs w:val="22"/>
      <w:lang w:val="en-US" w:eastAsia="zh-CN" w:bidi="ar-SA"/>
    </w:rPr>
  </w:style>
  <w:style w:type="paragraph" w:customStyle="1" w:styleId="445">
    <w:name w:val="Char Char Char"/>
    <w:basedOn w:val="1"/>
    <w:qFormat/>
    <w:uiPriority w:val="0"/>
    <w:rPr>
      <w:rFonts w:ascii="Tahoma" w:hAnsi="Tahoma"/>
      <w:sz w:val="24"/>
      <w:szCs w:val="20"/>
    </w:rPr>
  </w:style>
  <w:style w:type="paragraph" w:customStyle="1" w:styleId="446">
    <w:name w:val="default"/>
    <w:basedOn w:val="1"/>
    <w:qFormat/>
    <w:uiPriority w:val="0"/>
    <w:pPr>
      <w:widowControl/>
      <w:spacing w:before="100" w:beforeAutospacing="1" w:after="100" w:afterAutospacing="1"/>
      <w:jc w:val="left"/>
    </w:pPr>
    <w:rPr>
      <w:rFonts w:ascii="宋体" w:hAnsi="宋体" w:cs="宋体"/>
      <w:sz w:val="24"/>
    </w:rPr>
  </w:style>
  <w:style w:type="paragraph" w:styleId="447">
    <w:name w:val="List Paragraph"/>
    <w:basedOn w:val="1"/>
    <w:qFormat/>
    <w:uiPriority w:val="0"/>
    <w:pPr>
      <w:ind w:firstLine="420"/>
    </w:pPr>
    <w:rPr>
      <w:rFonts w:ascii="Calibri" w:hAnsi="Calibri" w:cs="黑体"/>
      <w:szCs w:val="22"/>
    </w:rPr>
  </w:style>
  <w:style w:type="paragraph" w:customStyle="1" w:styleId="448">
    <w:name w:val="正文文本缩进2"/>
    <w:basedOn w:val="1"/>
    <w:qFormat/>
    <w:uiPriority w:val="0"/>
    <w:pPr>
      <w:spacing w:line="480" w:lineRule="exact"/>
      <w:ind w:firstLine="480"/>
    </w:pPr>
    <w:rPr>
      <w:rFonts w:ascii="宋体" w:hAnsi="宋体"/>
      <w:sz w:val="24"/>
      <w:lang w:val="zh-CN" w:eastAsia="zh-CN"/>
    </w:rPr>
  </w:style>
  <w:style w:type="paragraph" w:customStyle="1" w:styleId="449">
    <w:name w:val="正文_1_0"/>
    <w:basedOn w:val="1"/>
    <w:qFormat/>
    <w:uiPriority w:val="0"/>
    <w:pPr>
      <w:keepNext w:val="0"/>
      <w:keepLines w:val="0"/>
      <w:widowControl w:val="0"/>
      <w:suppressLineNumbers w:val="0"/>
      <w:spacing w:before="0" w:beforeAutospacing="0" w:after="0" w:afterAutospacing="0"/>
      <w:ind w:left="0" w:right="0"/>
      <w:jc w:val="both"/>
    </w:pPr>
    <w:rPr>
      <w:rFonts w:ascii="Times New Roman" w:hAnsi="Times New Roman" w:eastAsia="宋体" w:cs="Times New Roman"/>
      <w:sz w:val="21"/>
      <w:szCs w:val="21"/>
      <w:lang w:val="en-US" w:eastAsia="zh-CN" w:bidi="ar"/>
    </w:rPr>
  </w:style>
  <w:style w:type="table" w:customStyle="1" w:styleId="450">
    <w:name w:val="Table Normal"/>
    <w:semiHidden/>
    <w:qFormat/>
    <w:uiPriority w:val="2"/>
    <w:pPr>
      <w:widowControl w:val="0"/>
    </w:pPr>
    <w:rPr>
      <w:rFonts w:ascii="Calibri" w:hAnsi="Calibri"/>
      <w:sz w:val="22"/>
      <w:szCs w:val="22"/>
      <w:lang w:val="en-US" w:eastAsia="en-US" w:bidi="ar-SA"/>
    </w:rPr>
  </w:style>
  <w:style w:type="paragraph" w:customStyle="1" w:styleId="451">
    <w:name w:val="null3"/>
    <w:qFormat/>
    <w:uiPriority w:val="0"/>
    <w:rPr>
      <w:rFonts w:hint="eastAsia" w:ascii="Calibri" w:hAnsi="Calibri" w:eastAsia="宋体" w:cs="Times New Roman"/>
      <w:lang w:val="en-US" w:eastAsia="zh-CN" w:bidi="ar-SA"/>
    </w:rPr>
  </w:style>
  <w:style w:type="paragraph" w:customStyle="1" w:styleId="452">
    <w:name w:val="Table Text"/>
    <w:basedOn w:val="1"/>
    <w:qFormat/>
    <w:uiPriority w:val="0"/>
    <w:pPr>
      <w:keepNext w:val="0"/>
      <w:keepLines w:val="0"/>
      <w:widowControl w:val="0"/>
      <w:suppressLineNumbers w:val="0"/>
      <w:spacing w:before="0" w:beforeAutospacing="0" w:after="0" w:afterAutospacing="0" w:line="240" w:lineRule="auto"/>
      <w:ind w:left="0" w:firstLine="0"/>
      <w:jc w:val="both"/>
    </w:pPr>
    <w:rPr>
      <w:rFonts w:ascii="微软雅黑" w:hAnsi="微软雅黑" w:eastAsia="微软雅黑" w:cs="微软雅黑"/>
      <w:kern w:val="2"/>
      <w:sz w:val="20"/>
      <w:szCs w:val="20"/>
      <w:lang w:val="en-US" w:eastAsia="zh-CN" w:bidi="ar"/>
    </w:rPr>
  </w:style>
  <w:style w:type="character" w:customStyle="1" w:styleId="453">
    <w:name w:val="NormalCharacter"/>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Company>
  <Pages>63</Pages>
  <Words>14625</Words>
  <Characters>15108</Characters>
  <TotalTime>1</TotalTime>
  <ScaleCrop>false</ScaleCrop>
  <LinksUpToDate>false</LinksUpToDate>
  <CharactersWithSpaces>15361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2022-05-30T08:03:00Z</dcterms:created>
  <dc:creator>Yin </dc:creator>
  <cp:lastModifiedBy>simple、简单。</cp:lastModifiedBy>
  <cp:lastPrinted>2025-02-14T05:02:00Z</cp:lastPrinted>
  <dcterms:modified xsi:type="dcterms:W3CDTF">2026-05-12T07:07:39Z</dcterms:modified>
  <dc:title>02年杜</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40057464C50D4E95A48112FF60B0D02C_13</vt:lpwstr>
  </property>
  <property fmtid="{D5CDD505-2E9C-101B-9397-08002B2CF9AE}" pid="4" name="KSOTemplateDocerSaveRecord">
    <vt:lpwstr>eyJoZGlkIjoiZjgwZWZlMTdmOTIwMTkwZWE3OTZlOGE5NWI4MjkyNTAiLCJ1c2VySWQiOiIyNTU4MzAyNDkifQ==</vt:lpwstr>
  </property>
</Properties>
</file>