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46479">
      <w:pPr>
        <w:jc w:val="center"/>
        <w:rPr>
          <w:rFonts w:ascii="宋体" w:hAnsi="宋体"/>
          <w:b/>
          <w:sz w:val="44"/>
        </w:rPr>
      </w:pPr>
      <w:r>
        <w:rPr>
          <w:rFonts w:hint="eastAsia" w:eastAsia="黑体"/>
          <w:sz w:val="44"/>
        </w:rPr>
        <w:t>德胜岛周边文化设施提升工程工程量清单(控制价)编制说明</w:t>
      </w:r>
    </w:p>
    <w:p w14:paraId="0CDA9E0E">
      <w:pPr>
        <w:snapToGrid w:val="0"/>
        <w:spacing w:line="360" w:lineRule="auto"/>
        <w:ind w:firstLine="420" w:firstLineChars="200"/>
        <w:rPr>
          <w:rFonts w:ascii="宋体" w:hAnsi="宋体"/>
          <w:bCs/>
          <w:szCs w:val="21"/>
        </w:rPr>
      </w:pPr>
    </w:p>
    <w:p w14:paraId="7B5E5C35">
      <w:pPr>
        <w:snapToGrid w:val="0"/>
        <w:spacing w:line="360" w:lineRule="auto"/>
        <w:ind w:firstLine="420" w:firstLineChars="200"/>
        <w:rPr>
          <w:rFonts w:ascii="宋体" w:hAnsi="宋体"/>
          <w:bCs/>
          <w:szCs w:val="21"/>
        </w:rPr>
      </w:pPr>
      <w:r>
        <w:rPr>
          <w:rFonts w:hint="eastAsia" w:ascii="宋体" w:hAnsi="宋体"/>
          <w:bCs/>
          <w:szCs w:val="21"/>
        </w:rPr>
        <w:t>一、编制依据</w:t>
      </w:r>
    </w:p>
    <w:p w14:paraId="0E71072D">
      <w:pPr>
        <w:snapToGrid w:val="0"/>
        <w:spacing w:line="360" w:lineRule="auto"/>
        <w:ind w:firstLine="420" w:firstLineChars="200"/>
        <w:rPr>
          <w:rFonts w:ascii="宋体" w:hAnsi="宋体"/>
          <w:bCs/>
          <w:szCs w:val="21"/>
        </w:rPr>
      </w:pPr>
      <w:r>
        <w:rPr>
          <w:rFonts w:hint="eastAsia" w:ascii="宋体" w:hAnsi="宋体"/>
          <w:bCs/>
          <w:szCs w:val="21"/>
        </w:rPr>
        <w:t>1、《建设工程工程量清单计价规范》（GB50500-2013）、《市政工程工程量计算规范》（GB50857-2013）、《江苏省2014市政工程计价定额》、《江苏省2007园林古建工程计价表》</w:t>
      </w:r>
      <w:r>
        <w:rPr>
          <w:rFonts w:hint="eastAsia" w:ascii="宋体" w:hAnsi="宋体"/>
          <w:bCs/>
          <w:szCs w:val="21"/>
          <w:lang w:eastAsia="zh-CN"/>
        </w:rPr>
        <w:t>、以</w:t>
      </w:r>
      <w:r>
        <w:rPr>
          <w:rFonts w:hint="eastAsia" w:ascii="宋体" w:hAnsi="宋体"/>
          <w:bCs/>
          <w:szCs w:val="21"/>
        </w:rPr>
        <w:t>及配套的《江苏省建设工程费用定额》（2014版）。</w:t>
      </w:r>
    </w:p>
    <w:p w14:paraId="33B0EF9D">
      <w:pPr>
        <w:snapToGrid w:val="0"/>
        <w:spacing w:line="360" w:lineRule="auto"/>
        <w:ind w:firstLine="420" w:firstLineChars="200"/>
        <w:rPr>
          <w:rFonts w:ascii="宋体" w:hAnsi="宋体"/>
          <w:bCs/>
          <w:szCs w:val="21"/>
        </w:rPr>
      </w:pPr>
      <w:r>
        <w:rPr>
          <w:rFonts w:hint="eastAsia" w:ascii="宋体" w:hAnsi="宋体"/>
          <w:bCs/>
          <w:szCs w:val="21"/>
        </w:rPr>
        <w:t>2、</w:t>
      </w:r>
      <w:r>
        <w:rPr>
          <w:rFonts w:hint="eastAsia" w:ascii="宋体" w:hAnsi="宋体"/>
          <w:bCs/>
          <w:szCs w:val="21"/>
          <w:lang w:val="en-US" w:eastAsia="zh-CN"/>
        </w:rPr>
        <w:t>甲方及提供的做法及效果图，现场测量数据</w:t>
      </w:r>
      <w:r>
        <w:rPr>
          <w:rFonts w:hint="eastAsia" w:ascii="宋体" w:hAnsi="宋体"/>
          <w:bCs/>
          <w:szCs w:val="21"/>
        </w:rPr>
        <w:t>。</w:t>
      </w:r>
    </w:p>
    <w:p w14:paraId="10CBBB2C">
      <w:pPr>
        <w:snapToGrid w:val="0"/>
        <w:spacing w:line="360" w:lineRule="auto"/>
        <w:ind w:firstLine="420" w:firstLineChars="200"/>
        <w:rPr>
          <w:rFonts w:ascii="宋体" w:hAnsi="宋体"/>
          <w:bCs/>
          <w:szCs w:val="21"/>
        </w:rPr>
      </w:pPr>
      <w:r>
        <w:rPr>
          <w:rFonts w:hint="eastAsia" w:ascii="宋体" w:hAnsi="宋体"/>
          <w:bCs/>
          <w:szCs w:val="21"/>
        </w:rPr>
        <w:t>3、苏建价[2016]154 号文《省住房城乡建设厅关于建筑业实施营改增后江苏省建设工程计价依据调整的通知》、常建[2016]94 号文、常建（2014）279号文、</w:t>
      </w:r>
      <w:r>
        <w:rPr>
          <w:rFonts w:hint="eastAsia" w:ascii="宋体"/>
          <w:szCs w:val="21"/>
        </w:rPr>
        <w:t>苏建函价〔2019〕178号文、常建[2019]1号文等编制</w:t>
      </w:r>
      <w:r>
        <w:rPr>
          <w:rFonts w:hint="eastAsia" w:ascii="宋体" w:hAnsi="宋体"/>
          <w:bCs/>
          <w:szCs w:val="21"/>
        </w:rPr>
        <w:t>等相关法律法规文件。</w:t>
      </w:r>
    </w:p>
    <w:p w14:paraId="2968A689">
      <w:pPr>
        <w:snapToGrid w:val="0"/>
        <w:spacing w:line="360" w:lineRule="auto"/>
        <w:ind w:firstLine="420" w:firstLineChars="200"/>
        <w:rPr>
          <w:rFonts w:ascii="宋体" w:hAnsi="宋体"/>
          <w:bCs/>
          <w:szCs w:val="21"/>
        </w:rPr>
      </w:pPr>
      <w:r>
        <w:rPr>
          <w:rFonts w:hint="eastAsia" w:ascii="宋体" w:hAnsi="宋体"/>
          <w:bCs/>
          <w:szCs w:val="21"/>
        </w:rPr>
        <w:t>4、材料价格依据 20</w:t>
      </w:r>
      <w:r>
        <w:rPr>
          <w:rFonts w:hint="eastAsia" w:ascii="宋体" w:hAnsi="宋体"/>
          <w:bCs/>
          <w:szCs w:val="21"/>
          <w:lang w:val="en-US" w:eastAsia="zh-CN"/>
        </w:rPr>
        <w:t>26</w:t>
      </w:r>
      <w:r>
        <w:rPr>
          <w:rFonts w:hint="eastAsia" w:ascii="宋体" w:hAnsi="宋体"/>
          <w:bCs/>
          <w:szCs w:val="21"/>
        </w:rPr>
        <w:t xml:space="preserve"> 年</w:t>
      </w:r>
      <w:r>
        <w:rPr>
          <w:rFonts w:hint="eastAsia" w:ascii="宋体" w:hAnsi="宋体"/>
          <w:bCs/>
          <w:color w:val="auto"/>
          <w:szCs w:val="21"/>
          <w:lang w:val="en-US" w:eastAsia="zh-CN"/>
        </w:rPr>
        <w:t>04</w:t>
      </w:r>
      <w:r>
        <w:rPr>
          <w:rFonts w:hint="eastAsia" w:ascii="宋体" w:hAnsi="宋体"/>
          <w:bCs/>
          <w:color w:val="auto"/>
          <w:szCs w:val="21"/>
        </w:rPr>
        <w:t>月份常州工程造价信息指导价计</w:t>
      </w:r>
      <w:bookmarkStart w:id="0" w:name="_GoBack"/>
      <w:r>
        <w:rPr>
          <w:rFonts w:hint="eastAsia" w:ascii="宋体" w:hAnsi="宋体"/>
          <w:bCs/>
          <w:color w:val="auto"/>
          <w:szCs w:val="21"/>
        </w:rPr>
        <w:t>价，</w:t>
      </w:r>
      <w:r>
        <w:rPr>
          <w:rFonts w:hint="eastAsia" w:ascii="宋体" w:hAnsi="宋体"/>
          <w:bCs/>
          <w:color w:val="auto"/>
          <w:szCs w:val="21"/>
          <w:lang w:val="en-US" w:eastAsia="zh-CN"/>
        </w:rPr>
        <w:t>04</w:t>
      </w:r>
      <w:r>
        <w:rPr>
          <w:rFonts w:hint="eastAsia" w:ascii="宋体" w:hAnsi="宋体"/>
          <w:bCs/>
          <w:color w:val="auto"/>
          <w:szCs w:val="21"/>
        </w:rPr>
        <w:t>月</w:t>
      </w:r>
      <w:bookmarkEnd w:id="0"/>
      <w:r>
        <w:rPr>
          <w:rFonts w:hint="eastAsia" w:ascii="宋体" w:hAnsi="宋体"/>
          <w:bCs/>
          <w:szCs w:val="21"/>
        </w:rPr>
        <w:t>份未有的逐月前推，信息价上没有的材料价格为市场询价计入标底，；</w:t>
      </w:r>
    </w:p>
    <w:p w14:paraId="7AA94F82">
      <w:pPr>
        <w:snapToGrid w:val="0"/>
        <w:spacing w:line="360" w:lineRule="auto"/>
        <w:ind w:firstLine="420" w:firstLineChars="200"/>
        <w:rPr>
          <w:rFonts w:ascii="宋体" w:hAnsi="宋体"/>
          <w:bCs/>
          <w:szCs w:val="21"/>
        </w:rPr>
      </w:pPr>
      <w:r>
        <w:rPr>
          <w:rFonts w:hint="eastAsia" w:ascii="宋体" w:hAnsi="宋体"/>
          <w:bCs/>
          <w:szCs w:val="21"/>
        </w:rPr>
        <w:t>5、机械费用依据江苏省 2014 年台班单价，柴油、汽油和人工已调。</w:t>
      </w:r>
    </w:p>
    <w:p w14:paraId="5E756F19">
      <w:pPr>
        <w:snapToGrid w:val="0"/>
        <w:spacing w:line="360" w:lineRule="auto"/>
        <w:ind w:firstLine="420" w:firstLineChars="200"/>
        <w:rPr>
          <w:rFonts w:ascii="宋体" w:hAnsi="宋体"/>
          <w:bCs/>
          <w:szCs w:val="21"/>
        </w:rPr>
      </w:pPr>
      <w:r>
        <w:rPr>
          <w:rFonts w:hint="eastAsia" w:ascii="宋体" w:hAnsi="宋体"/>
          <w:bCs/>
          <w:szCs w:val="21"/>
        </w:rPr>
        <w:t>6、人工工资单价执行“苏建函价[202</w:t>
      </w:r>
      <w:r>
        <w:rPr>
          <w:rFonts w:hint="eastAsia" w:ascii="宋体" w:hAnsi="宋体"/>
          <w:bCs/>
          <w:szCs w:val="21"/>
          <w:lang w:val="en-US" w:eastAsia="zh-CN"/>
        </w:rPr>
        <w:t>6</w:t>
      </w:r>
      <w:r>
        <w:rPr>
          <w:rFonts w:hint="eastAsia" w:ascii="宋体" w:hAnsi="宋体"/>
          <w:bCs/>
          <w:szCs w:val="21"/>
        </w:rPr>
        <w:t>]</w:t>
      </w:r>
      <w:r>
        <w:rPr>
          <w:rFonts w:hint="eastAsia" w:ascii="宋体" w:hAnsi="宋体"/>
          <w:bCs/>
          <w:szCs w:val="21"/>
          <w:lang w:val="en-US" w:eastAsia="zh-CN"/>
        </w:rPr>
        <w:t>27</w:t>
      </w:r>
      <w:r>
        <w:rPr>
          <w:rFonts w:hint="eastAsia" w:ascii="宋体" w:hAnsi="宋体"/>
          <w:bCs/>
          <w:szCs w:val="21"/>
        </w:rPr>
        <w:t>号”。</w:t>
      </w:r>
    </w:p>
    <w:p w14:paraId="02CF9B7D">
      <w:pPr>
        <w:snapToGrid w:val="0"/>
        <w:spacing w:line="360" w:lineRule="auto"/>
        <w:ind w:firstLine="420" w:firstLineChars="200"/>
        <w:rPr>
          <w:rFonts w:ascii="宋体" w:hAnsi="宋体"/>
          <w:bCs/>
          <w:szCs w:val="21"/>
        </w:rPr>
      </w:pPr>
      <w:r>
        <w:rPr>
          <w:rFonts w:hint="eastAsia" w:ascii="宋体" w:hAnsi="宋体"/>
          <w:bCs/>
          <w:szCs w:val="21"/>
        </w:rPr>
        <w:t>二、编制范围</w:t>
      </w:r>
    </w:p>
    <w:p w14:paraId="26873E82">
      <w:pPr>
        <w:snapToGrid w:val="0"/>
        <w:spacing w:line="360" w:lineRule="auto"/>
        <w:ind w:firstLine="420" w:firstLineChars="200"/>
        <w:rPr>
          <w:rFonts w:ascii="宋体" w:hAnsi="宋体"/>
          <w:bCs/>
          <w:szCs w:val="21"/>
        </w:rPr>
      </w:pPr>
      <w:r>
        <w:rPr>
          <w:rFonts w:hint="eastAsia" w:ascii="宋体" w:hAnsi="宋体"/>
          <w:bCs/>
          <w:szCs w:val="21"/>
        </w:rPr>
        <w:t>具体的项目详见工程量清单。</w:t>
      </w:r>
    </w:p>
    <w:p w14:paraId="5C709FD5">
      <w:pPr>
        <w:snapToGrid w:val="0"/>
        <w:spacing w:line="360" w:lineRule="auto"/>
        <w:ind w:firstLine="420" w:firstLineChars="200"/>
        <w:rPr>
          <w:rFonts w:ascii="宋体" w:hAnsi="宋体"/>
          <w:bCs/>
          <w:szCs w:val="21"/>
        </w:rPr>
      </w:pPr>
      <w:r>
        <w:rPr>
          <w:rFonts w:hint="eastAsia" w:ascii="宋体" w:hAnsi="宋体"/>
          <w:bCs/>
          <w:szCs w:val="21"/>
        </w:rPr>
        <w:t>三、其它说明：</w:t>
      </w:r>
    </w:p>
    <w:p w14:paraId="101AACD9">
      <w:pPr>
        <w:snapToGrid w:val="0"/>
        <w:spacing w:line="360" w:lineRule="auto"/>
        <w:ind w:firstLine="420" w:firstLineChars="200"/>
        <w:rPr>
          <w:rFonts w:ascii="宋体" w:hAnsi="宋体"/>
          <w:bCs/>
          <w:szCs w:val="21"/>
        </w:rPr>
      </w:pPr>
      <w:r>
        <w:rPr>
          <w:rFonts w:hint="eastAsia" w:ascii="宋体" w:hAnsi="宋体"/>
          <w:bCs/>
          <w:szCs w:val="21"/>
        </w:rPr>
        <w:t>1、各投标单位应对施工中可能发生的措施费应充分考虑并在投标报价中注明；</w:t>
      </w:r>
    </w:p>
    <w:p w14:paraId="5B32422C">
      <w:pPr>
        <w:snapToGrid w:val="0"/>
        <w:spacing w:line="360" w:lineRule="auto"/>
        <w:ind w:firstLine="420" w:firstLineChars="200"/>
        <w:rPr>
          <w:rFonts w:ascii="宋体" w:hAnsi="宋体"/>
          <w:bCs/>
          <w:szCs w:val="21"/>
        </w:rPr>
      </w:pPr>
      <w:r>
        <w:rPr>
          <w:rFonts w:hint="eastAsia" w:ascii="宋体" w:hAnsi="宋体"/>
          <w:bCs/>
          <w:szCs w:val="21"/>
        </w:rPr>
        <w:t>2、招标工程量以招标清单为准，作为各投标单位共同竞争的基础；</w:t>
      </w:r>
    </w:p>
    <w:p w14:paraId="3C7DBC6D">
      <w:pPr>
        <w:snapToGrid w:val="0"/>
        <w:spacing w:line="360" w:lineRule="auto"/>
        <w:ind w:firstLine="420" w:firstLineChars="200"/>
        <w:rPr>
          <w:rFonts w:ascii="宋体" w:hAnsi="宋体"/>
          <w:bCs/>
          <w:szCs w:val="21"/>
        </w:rPr>
      </w:pPr>
      <w:r>
        <w:rPr>
          <w:rFonts w:hint="eastAsia" w:ascii="宋体" w:hAnsi="宋体"/>
          <w:bCs/>
          <w:szCs w:val="21"/>
          <w:lang w:val="en-US" w:eastAsia="zh-CN"/>
        </w:rPr>
        <w:t>3</w:t>
      </w:r>
      <w:r>
        <w:rPr>
          <w:rFonts w:hint="eastAsia" w:ascii="宋体" w:hAnsi="宋体"/>
          <w:bCs/>
          <w:szCs w:val="21"/>
        </w:rPr>
        <w:t>、废料外运根据现场实际，投标人自行考虑运距、处置及渣土费等全部费用在综合单价中；</w:t>
      </w:r>
    </w:p>
    <w:p w14:paraId="390C98AC">
      <w:pPr>
        <w:spacing w:line="360" w:lineRule="auto"/>
        <w:ind w:firstLine="420" w:firstLineChars="200"/>
        <w:rPr>
          <w:rFonts w:hint="eastAsia" w:ascii="宋体" w:hAnsi="宋体"/>
          <w:bCs/>
          <w:szCs w:val="21"/>
        </w:rPr>
      </w:pPr>
      <w:r>
        <w:rPr>
          <w:rFonts w:hint="eastAsia" w:ascii="宋体" w:hAnsi="宋体"/>
          <w:bCs/>
          <w:szCs w:val="21"/>
          <w:lang w:val="en-US" w:eastAsia="zh-CN"/>
        </w:rPr>
        <w:t>4、</w:t>
      </w:r>
      <w:r>
        <w:rPr>
          <w:rFonts w:hint="eastAsia" w:ascii="宋体" w:hAnsi="宋体"/>
          <w:bCs/>
          <w:szCs w:val="21"/>
        </w:rPr>
        <w:t>绿化综合单价工作内容应包括完成苗木采购、运输、挖坑（包括破除地下障碍物）、种植（移植）、种植土加基肥、渗水试验、±</w:t>
      </w:r>
      <w:r>
        <w:rPr>
          <w:rFonts w:hint="eastAsia" w:ascii="宋体" w:hAnsi="宋体"/>
          <w:bCs/>
          <w:szCs w:val="21"/>
          <w:lang w:val="en-US" w:eastAsia="zh-CN"/>
        </w:rPr>
        <w:t>30</w:t>
      </w:r>
      <w:r>
        <w:rPr>
          <w:rFonts w:hint="eastAsia" w:ascii="宋体" w:hAnsi="宋体"/>
          <w:bCs/>
          <w:szCs w:val="21"/>
        </w:rPr>
        <w:t>cm内地形调整、场外运输费、支撑等所有附属工作和养护管理等全部工作内容，承包人用于本合同工程的各类装备的提供、运输、拆卸、拼装等支付的费用。并包含完成绿化施工说明中所有工作内容的费用。</w:t>
      </w:r>
    </w:p>
    <w:p w14:paraId="36112212">
      <w:pPr>
        <w:spacing w:line="360" w:lineRule="auto"/>
        <w:ind w:firstLine="420" w:firstLineChars="200"/>
        <w:rPr>
          <w:rFonts w:hint="eastAsia" w:ascii="宋体" w:hAnsi="宋体"/>
          <w:bCs/>
          <w:szCs w:val="21"/>
        </w:rPr>
      </w:pPr>
      <w:r>
        <w:rPr>
          <w:rFonts w:hint="eastAsia" w:ascii="宋体" w:hAnsi="宋体"/>
          <w:bCs/>
          <w:szCs w:val="21"/>
          <w:lang w:val="en-US" w:eastAsia="zh-CN"/>
        </w:rPr>
        <w:t>5</w:t>
      </w:r>
      <w:r>
        <w:rPr>
          <w:rFonts w:hint="eastAsia" w:ascii="宋体" w:hAnsi="宋体"/>
          <w:bCs/>
          <w:szCs w:val="21"/>
        </w:rPr>
        <w:t>、本工程绿化部分养护期为二年，其余部分缺陷责任期按国家现行规定执行。</w:t>
      </w:r>
    </w:p>
    <w:p w14:paraId="4AD42D85">
      <w:pPr>
        <w:spacing w:line="360" w:lineRule="auto"/>
        <w:ind w:firstLine="420" w:firstLineChars="200"/>
        <w:rPr>
          <w:rFonts w:hint="eastAsia" w:ascii="宋体" w:hAnsi="宋体"/>
          <w:bCs/>
          <w:szCs w:val="21"/>
        </w:rPr>
      </w:pPr>
      <w:r>
        <w:rPr>
          <w:rFonts w:hint="eastAsia" w:ascii="宋体" w:hAnsi="宋体"/>
          <w:bCs/>
          <w:szCs w:val="21"/>
          <w:lang w:val="en-US" w:eastAsia="zh-CN"/>
        </w:rPr>
        <w:t>6</w:t>
      </w:r>
      <w:r>
        <w:rPr>
          <w:rFonts w:hint="eastAsia" w:ascii="宋体" w:hAnsi="宋体"/>
          <w:bCs/>
          <w:szCs w:val="21"/>
        </w:rPr>
        <w:t>、苗木种植要求须符合设计施工说明要求及现行规范要求。</w:t>
      </w:r>
    </w:p>
    <w:p w14:paraId="134F1E25">
      <w:pPr>
        <w:spacing w:line="360" w:lineRule="auto"/>
        <w:ind w:firstLine="420" w:firstLineChars="200"/>
        <w:rPr>
          <w:rFonts w:hint="eastAsia" w:ascii="宋体" w:hAnsi="宋体"/>
          <w:bCs/>
          <w:szCs w:val="21"/>
        </w:rPr>
      </w:pPr>
      <w:r>
        <w:rPr>
          <w:rFonts w:hint="eastAsia" w:ascii="宋体" w:hAnsi="宋体"/>
          <w:bCs/>
          <w:szCs w:val="21"/>
          <w:lang w:val="en-US" w:eastAsia="zh-CN"/>
        </w:rPr>
        <w:t>7</w:t>
      </w:r>
      <w:r>
        <w:rPr>
          <w:rFonts w:hint="eastAsia" w:ascii="宋体" w:hAnsi="宋体"/>
          <w:bCs/>
          <w:szCs w:val="21"/>
        </w:rPr>
        <w:t>、投标人投标报价需考虑苗木移植的存活率，若未存活，必须同规格置换。</w:t>
      </w:r>
    </w:p>
    <w:p w14:paraId="2F0129B5">
      <w:pPr>
        <w:spacing w:line="360" w:lineRule="auto"/>
        <w:ind w:firstLine="420" w:firstLineChars="200"/>
        <w:rPr>
          <w:rFonts w:hint="eastAsia" w:ascii="宋体" w:hAnsi="宋体" w:cs="Times New Roman"/>
          <w:bCs/>
          <w:kern w:val="2"/>
          <w:sz w:val="21"/>
          <w:szCs w:val="21"/>
          <w:lang w:val="en-US" w:eastAsia="zh-CN" w:bidi="ar-SA"/>
        </w:rPr>
      </w:pPr>
      <w:r>
        <w:rPr>
          <w:rFonts w:hint="eastAsia" w:ascii="宋体" w:hAnsi="宋体"/>
          <w:bCs/>
          <w:szCs w:val="21"/>
          <w:lang w:val="en-US" w:eastAsia="zh-CN"/>
        </w:rPr>
        <w:t>8、</w:t>
      </w:r>
      <w:r>
        <w:rPr>
          <w:rFonts w:hint="eastAsia" w:ascii="宋体" w:hAnsi="宋体" w:eastAsia="宋体" w:cs="Times New Roman"/>
          <w:bCs/>
          <w:kern w:val="2"/>
          <w:sz w:val="21"/>
          <w:szCs w:val="21"/>
          <w:lang w:val="en-US" w:eastAsia="zh-CN" w:bidi="ar-SA"/>
        </w:rPr>
        <w:t>清单中所标注的蓬径或高度,均为修剪后的净球蓬径或高度</w:t>
      </w:r>
      <w:r>
        <w:rPr>
          <w:rFonts w:hint="eastAsia" w:ascii="宋体" w:hAnsi="宋体" w:cs="Times New Roman"/>
          <w:bCs/>
          <w:kern w:val="2"/>
          <w:sz w:val="21"/>
          <w:szCs w:val="21"/>
          <w:lang w:val="en-US" w:eastAsia="zh-CN" w:bidi="ar-SA"/>
        </w:rPr>
        <w:t>。</w:t>
      </w:r>
    </w:p>
    <w:p w14:paraId="728027EC">
      <w:pPr>
        <w:spacing w:line="360" w:lineRule="auto"/>
        <w:ind w:firstLine="420" w:firstLineChars="200"/>
        <w:rPr>
          <w:rFonts w:hint="eastAsia" w:ascii="宋体" w:hAnsi="宋体" w:cs="Times New Roman"/>
          <w:bCs/>
          <w:kern w:val="2"/>
          <w:sz w:val="21"/>
          <w:szCs w:val="21"/>
          <w:lang w:val="en-US" w:eastAsia="zh-CN" w:bidi="ar-SA"/>
        </w:rPr>
      </w:pPr>
      <w:r>
        <w:rPr>
          <w:rFonts w:hint="eastAsia" w:ascii="宋体" w:hAnsi="宋体" w:cs="Times New Roman"/>
          <w:bCs/>
          <w:kern w:val="2"/>
          <w:sz w:val="21"/>
          <w:szCs w:val="21"/>
          <w:lang w:val="en-US" w:eastAsia="zh-CN" w:bidi="ar-SA"/>
        </w:rPr>
        <w:t>9、苗木价格按市场价计取。</w:t>
      </w:r>
    </w:p>
    <w:p w14:paraId="26D617F7">
      <w:pPr>
        <w:spacing w:line="360" w:lineRule="auto"/>
        <w:ind w:firstLine="420" w:firstLineChars="200"/>
        <w:rPr>
          <w:rFonts w:hint="eastAsia" w:ascii="宋体" w:hAnsi="宋体"/>
          <w:bCs/>
          <w:szCs w:val="21"/>
          <w:lang w:val="en-US" w:eastAsia="zh-CN"/>
        </w:rPr>
      </w:pPr>
      <w:r>
        <w:rPr>
          <w:rFonts w:hint="eastAsia" w:ascii="宋体" w:hAnsi="宋体" w:cs="Times New Roman"/>
          <w:bCs/>
          <w:kern w:val="2"/>
          <w:sz w:val="21"/>
          <w:szCs w:val="21"/>
          <w:lang w:val="en-US" w:eastAsia="zh-CN" w:bidi="ar-SA"/>
        </w:rPr>
        <w:t>10、高炮出新高空作业车台班按出新面积463.45㎡预估，经测</w:t>
      </w:r>
      <w:r>
        <w:rPr>
          <w:rFonts w:hint="eastAsia" w:ascii="宋体" w:hAnsi="宋体"/>
          <w:bCs/>
          <w:szCs w:val="21"/>
          <w:lang w:val="en-US" w:eastAsia="zh-CN"/>
        </w:rPr>
        <w:t>算</w:t>
      </w:r>
      <w:r>
        <w:rPr>
          <w:rFonts w:hint="eastAsia" w:ascii="宋体" w:hAnsi="宋体"/>
          <w:bCs/>
          <w:szCs w:val="21"/>
        </w:rPr>
        <w:t>基层处理（打磨 + 修补 + 找平）：80-100㎡/ 台班</w:t>
      </w:r>
      <w:r>
        <w:rPr>
          <w:rFonts w:hint="eastAsia" w:ascii="宋体" w:hAnsi="宋体"/>
          <w:bCs/>
          <w:szCs w:val="21"/>
          <w:lang w:eastAsia="zh-CN"/>
        </w:rPr>
        <w:t>，</w:t>
      </w:r>
      <w:r>
        <w:rPr>
          <w:rFonts w:hint="eastAsia" w:ascii="宋体" w:hAnsi="宋体"/>
          <w:bCs/>
          <w:szCs w:val="21"/>
          <w:lang w:val="en-US" w:eastAsia="zh-CN"/>
        </w:rPr>
        <w:t>共计6个台班</w:t>
      </w:r>
      <w:r>
        <w:rPr>
          <w:rFonts w:hint="eastAsia" w:ascii="宋体" w:hAnsi="宋体"/>
          <w:bCs/>
          <w:szCs w:val="21"/>
          <w:lang w:eastAsia="zh-CN"/>
        </w:rPr>
        <w:t>，</w:t>
      </w:r>
      <w:r>
        <w:rPr>
          <w:rFonts w:hint="eastAsia" w:ascii="宋体" w:hAnsi="宋体"/>
          <w:bCs/>
          <w:szCs w:val="21"/>
        </w:rPr>
        <w:t>界面剂 + 两遍陶瓷漆：120-150㎡/ 台班</w:t>
      </w:r>
      <w:r>
        <w:rPr>
          <w:rFonts w:hint="eastAsia" w:ascii="宋体" w:hAnsi="宋体"/>
          <w:bCs/>
          <w:szCs w:val="21"/>
          <w:lang w:eastAsia="zh-CN"/>
        </w:rPr>
        <w:t>，</w:t>
      </w:r>
      <w:r>
        <w:rPr>
          <w:rFonts w:hint="eastAsia" w:ascii="宋体" w:hAnsi="宋体"/>
          <w:bCs/>
          <w:szCs w:val="21"/>
          <w:lang w:val="en-US" w:eastAsia="zh-CN"/>
        </w:rPr>
        <w:t>共计4个台班，LED投光灯及电缆安装预计4个台班，共计14个台班。</w:t>
      </w:r>
    </w:p>
    <w:p w14:paraId="35D348A4">
      <w:pPr>
        <w:spacing w:line="360" w:lineRule="auto"/>
        <w:ind w:firstLine="420" w:firstLineChars="200"/>
        <w:rPr>
          <w:rFonts w:hint="eastAsia" w:ascii="宋体" w:hAnsi="宋体"/>
          <w:bCs/>
          <w:szCs w:val="21"/>
          <w:lang w:val="en-US" w:eastAsia="zh-CN"/>
        </w:rPr>
      </w:pPr>
      <w:r>
        <w:rPr>
          <w:rFonts w:hint="eastAsia" w:ascii="宋体" w:hAnsi="宋体"/>
          <w:bCs/>
          <w:szCs w:val="21"/>
          <w:lang w:val="en-US" w:eastAsia="zh-CN"/>
        </w:rPr>
        <w:t>11、广告内容根据甲方要求设计深化，综合单价含广告深化设计费。</w:t>
      </w:r>
    </w:p>
    <w:p w14:paraId="1D109B52">
      <w:pPr>
        <w:spacing w:line="360" w:lineRule="auto"/>
        <w:ind w:firstLine="420" w:firstLineChars="200"/>
        <w:rPr>
          <w:rFonts w:hint="default" w:ascii="宋体" w:hAnsi="宋体"/>
          <w:bCs/>
          <w:szCs w:val="21"/>
          <w:lang w:val="en-US" w:eastAsia="zh-CN"/>
        </w:rPr>
      </w:pPr>
      <w:r>
        <w:rPr>
          <w:rFonts w:hint="eastAsia" w:ascii="宋体" w:hAnsi="宋体"/>
          <w:bCs/>
          <w:szCs w:val="21"/>
          <w:lang w:val="en-US" w:eastAsia="zh-CN"/>
        </w:rPr>
        <w:t>12、现场需要移植补种的苗木根据甲方现场指定。</w:t>
      </w:r>
    </w:p>
    <w:p w14:paraId="3CBD6C7C">
      <w:pPr>
        <w:spacing w:line="360" w:lineRule="auto"/>
        <w:rPr>
          <w:rFonts w:hint="eastAsia" w:ascii="宋体" w:hAnsi="宋体"/>
          <w:bCs/>
          <w:szCs w:val="21"/>
        </w:rPr>
      </w:pPr>
      <w:r>
        <w:rPr>
          <w:rFonts w:hint="eastAsia" w:ascii="宋体" w:hAnsi="宋体"/>
          <w:bCs/>
          <w:szCs w:val="21"/>
        </w:rPr>
        <w:t>四、总价措施项目工程量清单</w:t>
      </w:r>
    </w:p>
    <w:p w14:paraId="2358EDB4">
      <w:pPr>
        <w:spacing w:line="360" w:lineRule="auto"/>
        <w:ind w:firstLine="420" w:firstLineChars="200"/>
        <w:rPr>
          <w:rFonts w:hint="default" w:ascii="宋体" w:hAnsi="宋体"/>
          <w:bCs/>
          <w:szCs w:val="21"/>
          <w:lang w:val="en-US" w:eastAsia="zh-CN"/>
        </w:rPr>
      </w:pPr>
      <w:r>
        <w:rPr>
          <w:rFonts w:hint="eastAsia" w:ascii="宋体" w:hAnsi="宋体"/>
          <w:bCs/>
          <w:szCs w:val="21"/>
          <w:lang w:val="en-US" w:eastAsia="zh-CN"/>
        </w:rPr>
        <w:t>详见工程量清单；</w:t>
      </w:r>
    </w:p>
    <w:p w14:paraId="56A93E5F">
      <w:pPr>
        <w:spacing w:line="360" w:lineRule="auto"/>
        <w:rPr>
          <w:rFonts w:hint="eastAsia" w:ascii="宋体" w:hAnsi="宋体"/>
          <w:bCs/>
          <w:szCs w:val="21"/>
        </w:rPr>
      </w:pPr>
      <w:r>
        <w:rPr>
          <w:rFonts w:hint="eastAsia" w:ascii="宋体" w:hAnsi="宋体"/>
          <w:bCs/>
          <w:szCs w:val="21"/>
        </w:rPr>
        <w:t>五、其他项目清单</w:t>
      </w:r>
    </w:p>
    <w:p w14:paraId="7E6C28A2">
      <w:pPr>
        <w:spacing w:line="360" w:lineRule="auto"/>
        <w:ind w:firstLine="420" w:firstLineChars="200"/>
        <w:rPr>
          <w:rFonts w:ascii="宋体" w:hAnsi="宋体"/>
          <w:bCs/>
          <w:szCs w:val="21"/>
        </w:rPr>
      </w:pPr>
      <w:r>
        <w:rPr>
          <w:rFonts w:hint="eastAsia" w:ascii="宋体" w:hAnsi="宋体"/>
          <w:bCs/>
          <w:szCs w:val="21"/>
        </w:rPr>
        <w:t>暂列金额，详见工程量清单；投标报价不得调整。</w:t>
      </w:r>
    </w:p>
    <w:p w14:paraId="7B0422E5">
      <w:pPr>
        <w:spacing w:line="360" w:lineRule="auto"/>
        <w:ind w:firstLine="420" w:firstLineChars="200"/>
        <w:jc w:val="right"/>
        <w:rPr>
          <w:rFonts w:hint="default" w:ascii="宋体" w:hAnsi="宋体"/>
          <w:bCs/>
          <w:szCs w:val="21"/>
          <w:lang w:val="en-US"/>
        </w:rPr>
      </w:pPr>
      <w:r>
        <w:rPr>
          <w:rFonts w:hint="eastAsia" w:ascii="宋体" w:hAnsi="宋体"/>
          <w:bCs/>
          <w:szCs w:val="21"/>
          <w:lang w:eastAsia="zh-CN"/>
        </w:rPr>
        <w:t>20</w:t>
      </w:r>
      <w:r>
        <w:rPr>
          <w:rFonts w:hint="eastAsia" w:ascii="宋体" w:hAnsi="宋体"/>
          <w:bCs/>
          <w:szCs w:val="21"/>
          <w:lang w:val="en-US" w:eastAsia="zh-CN"/>
        </w:rPr>
        <w:t>26</w:t>
      </w:r>
      <w:r>
        <w:rPr>
          <w:rFonts w:hint="eastAsia" w:ascii="宋体" w:hAnsi="宋体"/>
          <w:bCs/>
          <w:szCs w:val="21"/>
          <w:lang w:eastAsia="zh-CN"/>
        </w:rPr>
        <w:t>年</w:t>
      </w:r>
      <w:r>
        <w:rPr>
          <w:rFonts w:hint="eastAsia" w:ascii="宋体" w:hAnsi="宋体"/>
          <w:bCs/>
          <w:szCs w:val="21"/>
          <w:lang w:val="en-US" w:eastAsia="zh-CN"/>
        </w:rPr>
        <w:t>5</w:t>
      </w:r>
      <w:r>
        <w:rPr>
          <w:rFonts w:hint="eastAsia" w:ascii="宋体" w:hAnsi="宋体"/>
          <w:bCs/>
          <w:szCs w:val="21"/>
          <w:lang w:eastAsia="zh-CN"/>
        </w:rPr>
        <w:t>月</w:t>
      </w:r>
      <w:r>
        <w:rPr>
          <w:rFonts w:hint="eastAsia" w:ascii="宋体" w:hAnsi="宋体"/>
          <w:bCs/>
          <w:szCs w:val="21"/>
          <w:lang w:val="en-US" w:eastAsia="zh-CN"/>
        </w:rPr>
        <w:t>19日</w:t>
      </w:r>
    </w:p>
    <w:p w14:paraId="4BC5BA59">
      <w:pPr>
        <w:spacing w:line="360" w:lineRule="auto"/>
        <w:ind w:firstLine="420" w:firstLineChars="200"/>
        <w:jc w:val="right"/>
        <w:rPr>
          <w:rFonts w:hint="eastAsia" w:ascii="宋体" w:hAnsi="宋体"/>
          <w:bCs/>
          <w:szCs w:val="21"/>
        </w:rPr>
      </w:pPr>
    </w:p>
    <w:p w14:paraId="52F40AAE">
      <w:pPr>
        <w:snapToGrid w:val="0"/>
        <w:spacing w:line="360" w:lineRule="auto"/>
        <w:ind w:firstLine="420" w:firstLineChars="200"/>
        <w:rPr>
          <w:rFonts w:hint="eastAsia" w:ascii="宋体" w:hAnsi="宋体" w:eastAsia="宋体"/>
          <w:bCs/>
          <w:szCs w:val="21"/>
          <w:lang w:val="en-US" w:eastAsia="zh-CN"/>
        </w:rPr>
      </w:pPr>
    </w:p>
    <w:p w14:paraId="3F420D64">
      <w:pPr>
        <w:snapToGrid w:val="0"/>
        <w:spacing w:line="324" w:lineRule="auto"/>
        <w:jc w:val="right"/>
        <w:rPr>
          <w:rFonts w:hint="eastAsia" w:ascii="宋体" w:eastAsia="宋体"/>
          <w:szCs w:val="21"/>
          <w:lang w:val="en-US" w:eastAsia="zh-CN"/>
        </w:rPr>
      </w:pPr>
    </w:p>
    <w:sectPr>
      <w:pgSz w:w="11906" w:h="16838"/>
      <w:pgMar w:top="1440" w:right="1800" w:bottom="11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UxNWQ4ZDY0NTRiYmVhNjhkMDMyYTU0NjVmY2QzOTEifQ=="/>
  </w:docVars>
  <w:rsids>
    <w:rsidRoot w:val="00172A27"/>
    <w:rsid w:val="00074168"/>
    <w:rsid w:val="000838C1"/>
    <w:rsid w:val="000A2876"/>
    <w:rsid w:val="000C71DF"/>
    <w:rsid w:val="001237DF"/>
    <w:rsid w:val="00166689"/>
    <w:rsid w:val="001701AB"/>
    <w:rsid w:val="00172A27"/>
    <w:rsid w:val="001753D9"/>
    <w:rsid w:val="001B7EF0"/>
    <w:rsid w:val="001F1045"/>
    <w:rsid w:val="00211969"/>
    <w:rsid w:val="0022616A"/>
    <w:rsid w:val="002313B4"/>
    <w:rsid w:val="00260308"/>
    <w:rsid w:val="00284421"/>
    <w:rsid w:val="002D37E8"/>
    <w:rsid w:val="002E4B70"/>
    <w:rsid w:val="00334A37"/>
    <w:rsid w:val="003A0002"/>
    <w:rsid w:val="004101FB"/>
    <w:rsid w:val="00416C71"/>
    <w:rsid w:val="00475B8C"/>
    <w:rsid w:val="004913BA"/>
    <w:rsid w:val="00523E9B"/>
    <w:rsid w:val="00536EE5"/>
    <w:rsid w:val="005426C5"/>
    <w:rsid w:val="005B326F"/>
    <w:rsid w:val="005F6942"/>
    <w:rsid w:val="00614A8E"/>
    <w:rsid w:val="00623B54"/>
    <w:rsid w:val="00646230"/>
    <w:rsid w:val="00703F66"/>
    <w:rsid w:val="007F33CF"/>
    <w:rsid w:val="008740F6"/>
    <w:rsid w:val="008A34CD"/>
    <w:rsid w:val="008E349C"/>
    <w:rsid w:val="00915A1B"/>
    <w:rsid w:val="00925F0E"/>
    <w:rsid w:val="009A610A"/>
    <w:rsid w:val="009B4CE3"/>
    <w:rsid w:val="009E2849"/>
    <w:rsid w:val="009E3D08"/>
    <w:rsid w:val="00A11669"/>
    <w:rsid w:val="00A479BE"/>
    <w:rsid w:val="00A61B1F"/>
    <w:rsid w:val="00A7146C"/>
    <w:rsid w:val="00AA0652"/>
    <w:rsid w:val="00B221B9"/>
    <w:rsid w:val="00BE5F1F"/>
    <w:rsid w:val="00BF7091"/>
    <w:rsid w:val="00C2371E"/>
    <w:rsid w:val="00C37E69"/>
    <w:rsid w:val="00C71210"/>
    <w:rsid w:val="00CC132C"/>
    <w:rsid w:val="00CD2270"/>
    <w:rsid w:val="00CD6BE0"/>
    <w:rsid w:val="00CE03B8"/>
    <w:rsid w:val="00D409D3"/>
    <w:rsid w:val="00D417A0"/>
    <w:rsid w:val="00D74A32"/>
    <w:rsid w:val="00D962C5"/>
    <w:rsid w:val="00DA6DB6"/>
    <w:rsid w:val="00E53570"/>
    <w:rsid w:val="00E71DD1"/>
    <w:rsid w:val="00EA543A"/>
    <w:rsid w:val="00EE6E53"/>
    <w:rsid w:val="00EF234D"/>
    <w:rsid w:val="00F15873"/>
    <w:rsid w:val="00F20B87"/>
    <w:rsid w:val="00F445FD"/>
    <w:rsid w:val="00F81861"/>
    <w:rsid w:val="00F92C74"/>
    <w:rsid w:val="00F95EF7"/>
    <w:rsid w:val="00FB5C07"/>
    <w:rsid w:val="01CC1F7A"/>
    <w:rsid w:val="01D70516"/>
    <w:rsid w:val="01F90913"/>
    <w:rsid w:val="032919EF"/>
    <w:rsid w:val="039C2B03"/>
    <w:rsid w:val="04862C79"/>
    <w:rsid w:val="05AE24F2"/>
    <w:rsid w:val="066920C6"/>
    <w:rsid w:val="069806E5"/>
    <w:rsid w:val="07326BB4"/>
    <w:rsid w:val="076F746F"/>
    <w:rsid w:val="07B81A73"/>
    <w:rsid w:val="08340322"/>
    <w:rsid w:val="08D505E6"/>
    <w:rsid w:val="096D3CDF"/>
    <w:rsid w:val="0A0A1957"/>
    <w:rsid w:val="0A791B86"/>
    <w:rsid w:val="0CA66AD6"/>
    <w:rsid w:val="0ED331A3"/>
    <w:rsid w:val="0F0D2995"/>
    <w:rsid w:val="11156435"/>
    <w:rsid w:val="12AF21A0"/>
    <w:rsid w:val="13C96C87"/>
    <w:rsid w:val="13F87B9A"/>
    <w:rsid w:val="158C247F"/>
    <w:rsid w:val="161B5974"/>
    <w:rsid w:val="16E47648"/>
    <w:rsid w:val="16E922CE"/>
    <w:rsid w:val="17970A36"/>
    <w:rsid w:val="17D91A87"/>
    <w:rsid w:val="17E265E0"/>
    <w:rsid w:val="17E86BE0"/>
    <w:rsid w:val="181C1799"/>
    <w:rsid w:val="1A0B09BD"/>
    <w:rsid w:val="1A4C384C"/>
    <w:rsid w:val="1B025738"/>
    <w:rsid w:val="1B374675"/>
    <w:rsid w:val="1B3B3111"/>
    <w:rsid w:val="1BAF29DC"/>
    <w:rsid w:val="1CDE6EA9"/>
    <w:rsid w:val="1DF97454"/>
    <w:rsid w:val="1E2B7E81"/>
    <w:rsid w:val="1ED03BDC"/>
    <w:rsid w:val="1F756732"/>
    <w:rsid w:val="20556E63"/>
    <w:rsid w:val="22675C5E"/>
    <w:rsid w:val="227617FB"/>
    <w:rsid w:val="22F34C27"/>
    <w:rsid w:val="22FB67A3"/>
    <w:rsid w:val="25111D6D"/>
    <w:rsid w:val="25154A78"/>
    <w:rsid w:val="26465BF5"/>
    <w:rsid w:val="279632DC"/>
    <w:rsid w:val="27B150B0"/>
    <w:rsid w:val="27EB36F2"/>
    <w:rsid w:val="2869322C"/>
    <w:rsid w:val="28736A44"/>
    <w:rsid w:val="292D0604"/>
    <w:rsid w:val="295760F6"/>
    <w:rsid w:val="2A1413AE"/>
    <w:rsid w:val="2A4B2B8E"/>
    <w:rsid w:val="2AD17490"/>
    <w:rsid w:val="2BAE7C4F"/>
    <w:rsid w:val="2E3832A3"/>
    <w:rsid w:val="2F512AB9"/>
    <w:rsid w:val="2F7648E6"/>
    <w:rsid w:val="2F960325"/>
    <w:rsid w:val="2FF73C5A"/>
    <w:rsid w:val="30AF7119"/>
    <w:rsid w:val="30B35307"/>
    <w:rsid w:val="30D87159"/>
    <w:rsid w:val="31333D88"/>
    <w:rsid w:val="31477EE5"/>
    <w:rsid w:val="318C0ABF"/>
    <w:rsid w:val="31AD3F3B"/>
    <w:rsid w:val="3249075D"/>
    <w:rsid w:val="32795CAE"/>
    <w:rsid w:val="337A64B0"/>
    <w:rsid w:val="34B97624"/>
    <w:rsid w:val="36A66174"/>
    <w:rsid w:val="370638F2"/>
    <w:rsid w:val="37820CF9"/>
    <w:rsid w:val="380B5388"/>
    <w:rsid w:val="39114408"/>
    <w:rsid w:val="396B142C"/>
    <w:rsid w:val="39DA68C1"/>
    <w:rsid w:val="3B7A5A8D"/>
    <w:rsid w:val="3C1F330B"/>
    <w:rsid w:val="3C54376E"/>
    <w:rsid w:val="3C792325"/>
    <w:rsid w:val="3DA46547"/>
    <w:rsid w:val="3EB6232F"/>
    <w:rsid w:val="3F066A5C"/>
    <w:rsid w:val="3F0E5724"/>
    <w:rsid w:val="3F237BF6"/>
    <w:rsid w:val="40266728"/>
    <w:rsid w:val="40F9406B"/>
    <w:rsid w:val="414E7C85"/>
    <w:rsid w:val="420B1828"/>
    <w:rsid w:val="45132AAF"/>
    <w:rsid w:val="45D35CFF"/>
    <w:rsid w:val="460B7476"/>
    <w:rsid w:val="46771312"/>
    <w:rsid w:val="46BE3A6B"/>
    <w:rsid w:val="46BF5678"/>
    <w:rsid w:val="48B77DC2"/>
    <w:rsid w:val="491A62F4"/>
    <w:rsid w:val="4BDF433C"/>
    <w:rsid w:val="4C0C04F9"/>
    <w:rsid w:val="4CA625CF"/>
    <w:rsid w:val="4CA77E82"/>
    <w:rsid w:val="4CC154B2"/>
    <w:rsid w:val="4E180715"/>
    <w:rsid w:val="4E6E3253"/>
    <w:rsid w:val="4EB40E5E"/>
    <w:rsid w:val="4F5462B4"/>
    <w:rsid w:val="4FF23121"/>
    <w:rsid w:val="50D40833"/>
    <w:rsid w:val="527C1FB9"/>
    <w:rsid w:val="52B84C43"/>
    <w:rsid w:val="52D42F27"/>
    <w:rsid w:val="53B117C2"/>
    <w:rsid w:val="53D42B46"/>
    <w:rsid w:val="544530D6"/>
    <w:rsid w:val="54E256BD"/>
    <w:rsid w:val="558E6117"/>
    <w:rsid w:val="55BA78C5"/>
    <w:rsid w:val="55C2064C"/>
    <w:rsid w:val="55FC25A2"/>
    <w:rsid w:val="57257989"/>
    <w:rsid w:val="57272798"/>
    <w:rsid w:val="574B11BF"/>
    <w:rsid w:val="58CD097E"/>
    <w:rsid w:val="597B2ED3"/>
    <w:rsid w:val="599721D6"/>
    <w:rsid w:val="59FC10F4"/>
    <w:rsid w:val="5AA96A69"/>
    <w:rsid w:val="5AFB63EF"/>
    <w:rsid w:val="5C0312EA"/>
    <w:rsid w:val="5CD92CE6"/>
    <w:rsid w:val="5DBA7B13"/>
    <w:rsid w:val="5DBF7494"/>
    <w:rsid w:val="5DEB4975"/>
    <w:rsid w:val="5E660F32"/>
    <w:rsid w:val="5FDF4842"/>
    <w:rsid w:val="60510E1D"/>
    <w:rsid w:val="60DA672C"/>
    <w:rsid w:val="61E1021C"/>
    <w:rsid w:val="643416F6"/>
    <w:rsid w:val="644D2536"/>
    <w:rsid w:val="65FC33BF"/>
    <w:rsid w:val="661D24FF"/>
    <w:rsid w:val="66C06967"/>
    <w:rsid w:val="68420E55"/>
    <w:rsid w:val="69094AFB"/>
    <w:rsid w:val="690B6F9D"/>
    <w:rsid w:val="692E2E33"/>
    <w:rsid w:val="69CD1F1D"/>
    <w:rsid w:val="6A25736F"/>
    <w:rsid w:val="6E5F6442"/>
    <w:rsid w:val="6E85086A"/>
    <w:rsid w:val="709C1ABD"/>
    <w:rsid w:val="712C026B"/>
    <w:rsid w:val="71D3021D"/>
    <w:rsid w:val="72355BF2"/>
    <w:rsid w:val="73126B7B"/>
    <w:rsid w:val="744F6DB0"/>
    <w:rsid w:val="74B36313"/>
    <w:rsid w:val="74D36CD9"/>
    <w:rsid w:val="74DA3A1A"/>
    <w:rsid w:val="75307B4D"/>
    <w:rsid w:val="75466E7D"/>
    <w:rsid w:val="759E6137"/>
    <w:rsid w:val="787D2C23"/>
    <w:rsid w:val="7AA96614"/>
    <w:rsid w:val="7B4B73EF"/>
    <w:rsid w:val="7CDE1173"/>
    <w:rsid w:val="7DC3283F"/>
    <w:rsid w:val="7F066102"/>
    <w:rsid w:val="7F661E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widowControl/>
      <w:tabs>
        <w:tab w:val="left" w:pos="0"/>
        <w:tab w:val="left" w:pos="993"/>
        <w:tab w:val="left" w:pos="1134"/>
      </w:tabs>
      <w:spacing w:line="500" w:lineRule="exact"/>
      <w:ind w:firstLine="567"/>
    </w:pPr>
    <w:rPr>
      <w:rFonts w:ascii="宋体"/>
      <w:kern w:val="0"/>
      <w:sz w:val="28"/>
      <w:szCs w:val="20"/>
    </w:rPr>
  </w:style>
  <w:style w:type="paragraph" w:styleId="3">
    <w:name w:val="Date"/>
    <w:basedOn w:val="1"/>
    <w:next w:val="1"/>
    <w:link w:val="1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kern w:val="0"/>
      <w:sz w:val="24"/>
    </w:r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页眉 字符"/>
    <w:basedOn w:val="8"/>
    <w:link w:val="5"/>
    <w:qFormat/>
    <w:uiPriority w:val="0"/>
    <w:rPr>
      <w:kern w:val="2"/>
      <w:sz w:val="18"/>
      <w:szCs w:val="18"/>
    </w:rPr>
  </w:style>
  <w:style w:type="character" w:customStyle="1" w:styleId="11">
    <w:name w:val="日期 字符"/>
    <w:basedOn w:val="8"/>
    <w:link w:val="3"/>
    <w:qFormat/>
    <w:uiPriority w:val="0"/>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C2E83-F15A-4B05-9902-47D26349DBBE}">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980</Words>
  <Characters>1086</Characters>
  <Lines>69</Lines>
  <Paragraphs>19</Paragraphs>
  <TotalTime>38</TotalTime>
  <ScaleCrop>false</ScaleCrop>
  <LinksUpToDate>false</LinksUpToDate>
  <CharactersWithSpaces>1100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2017-03-13T01:31:00Z</dcterms:created>
  <dc:creator>Administrator</dc:creator>
  <cp:lastModifiedBy>对方正在输入...</cp:lastModifiedBy>
  <dcterms:modified xsi:type="dcterms:W3CDTF">2026-05-25T09:16:42Z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EC1D2C6514E148F499C1EA4BD02890FB</vt:lpwstr>
  </property>
  <property fmtid="{D5CDD505-2E9C-101B-9397-08002B2CF9AE}" pid="4" name="KSOTemplateDocerSaveRecord">
    <vt:lpwstr>eyJoZGlkIjoiMjBiMTdjZDgwYzUxNWU2MTI5OTBlOWI4NTVkZjJlMjAiLCJ1c2VySWQiOiI0OTQ0NDYzOTkifQ==</vt:lpwstr>
  </property>
</Properties>
</file>