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711A">
      <w:pPr>
        <w:spacing w:line="600" w:lineRule="exact"/>
        <w:jc w:val="center"/>
        <w:rPr>
          <w:rFonts w:cs="仿宋" w:asciiTheme="minorEastAsia" w:hAnsiTheme="minorEastAsia" w:eastAsiaTheme="minorEastAsia"/>
          <w:sz w:val="44"/>
          <w:szCs w:val="44"/>
        </w:rPr>
      </w:pPr>
      <w:r>
        <w:rPr>
          <w:rFonts w:hint="eastAsia" w:cs="仿宋" w:asciiTheme="minorEastAsia" w:hAnsiTheme="minorEastAsia" w:eastAsiaTheme="minorEastAsia"/>
          <w:sz w:val="44"/>
          <w:szCs w:val="44"/>
        </w:rPr>
        <w:t>技术服务合同书</w:t>
      </w:r>
    </w:p>
    <w:p w14:paraId="39888972">
      <w:pPr>
        <w:spacing w:line="500" w:lineRule="exact"/>
        <w:ind w:left="1575" w:leftChars="250" w:hanging="1050" w:hangingChars="500"/>
      </w:pPr>
    </w:p>
    <w:p w14:paraId="693EAFCE">
      <w:pPr>
        <w:spacing w:line="500" w:lineRule="exact"/>
        <w:ind w:left="1575" w:leftChars="250" w:hanging="1050" w:hangingChars="500"/>
      </w:pPr>
    </w:p>
    <w:p w14:paraId="63FD9C8D">
      <w:pPr>
        <w:spacing w:line="800" w:lineRule="exact"/>
        <w:ind w:left="2125" w:leftChars="250" w:hanging="1600" w:hangingChars="500"/>
        <w:rPr>
          <w:rFonts w:cs="仿宋" w:asciiTheme="minorEastAsia" w:hAnsiTheme="minorEastAsia" w:eastAsiaTheme="minorEastAsia"/>
          <w:sz w:val="32"/>
          <w:szCs w:val="32"/>
        </w:rPr>
      </w:pPr>
      <w:r>
        <w:rPr>
          <w:rFonts w:hint="eastAsia" w:cs="仿宋" w:asciiTheme="minorEastAsia" w:hAnsiTheme="minorEastAsia" w:eastAsiaTheme="minorEastAsia"/>
          <w:sz w:val="32"/>
          <w:szCs w:val="32"/>
        </w:rPr>
        <w:t xml:space="preserve">  项目名称：</w:t>
      </w:r>
      <w:permStart w:id="0" w:edGrp="everyone"/>
      <w:r>
        <w:rPr>
          <w:rFonts w:hint="eastAsia" w:cs="仿宋" w:asciiTheme="minorEastAsia" w:hAnsiTheme="minorEastAsia" w:eastAsiaTheme="minorEastAsia"/>
          <w:sz w:val="32"/>
          <w:szCs w:val="32"/>
        </w:rPr>
        <w:t>常隆（华达、常宇）公司原厂址地块污染防控工程全流程技术咨询服务</w:t>
      </w:r>
    </w:p>
    <w:permEnd w:id="0"/>
    <w:p w14:paraId="17147B48">
      <w:pPr>
        <w:pStyle w:val="6"/>
        <w:spacing w:line="800" w:lineRule="exact"/>
        <w:ind w:firstLine="640"/>
        <w:rPr>
          <w:rFonts w:cs="仿宋" w:asciiTheme="minorEastAsia" w:hAnsiTheme="minorEastAsia" w:eastAsiaTheme="minorEastAsia"/>
          <w:sz w:val="32"/>
          <w:szCs w:val="32"/>
        </w:rPr>
      </w:pPr>
      <w:r>
        <w:rPr>
          <w:rFonts w:hint="eastAsia" w:cs="仿宋" w:asciiTheme="minorEastAsia" w:hAnsiTheme="minorEastAsia" w:eastAsiaTheme="minorEastAsia"/>
          <w:sz w:val="32"/>
          <w:szCs w:val="32"/>
        </w:rPr>
        <w:t xml:space="preserve"> 项目编号：</w:t>
      </w:r>
      <w:permStart w:id="1" w:edGrp="everyone"/>
      <w:r>
        <w:rPr>
          <w:rFonts w:hint="eastAsia" w:cs="仿宋" w:asciiTheme="minorEastAsia" w:hAnsiTheme="minorEastAsia" w:eastAsiaTheme="minorEastAsia"/>
          <w:color w:val="C00000"/>
          <w:sz w:val="32"/>
          <w:szCs w:val="32"/>
        </w:rPr>
        <w:t xml:space="preserve">             </w:t>
      </w:r>
    </w:p>
    <w:permEnd w:id="1"/>
    <w:p w14:paraId="32C00B6C">
      <w:pPr>
        <w:spacing w:line="800" w:lineRule="exact"/>
        <w:ind w:firstLine="627" w:firstLineChars="196"/>
        <w:rPr>
          <w:rFonts w:cs="仿宋" w:asciiTheme="minorEastAsia" w:hAnsiTheme="minorEastAsia" w:eastAsiaTheme="minorEastAsia"/>
          <w:sz w:val="32"/>
          <w:szCs w:val="32"/>
        </w:rPr>
      </w:pPr>
      <w:r>
        <w:rPr>
          <w:rFonts w:hint="eastAsia" w:cs="仿宋" w:asciiTheme="minorEastAsia" w:hAnsiTheme="minorEastAsia" w:eastAsiaTheme="minorEastAsia"/>
          <w:sz w:val="32"/>
          <w:szCs w:val="32"/>
        </w:rPr>
        <w:t xml:space="preserve"> 委托方（甲方）：</w:t>
      </w:r>
      <w:permStart w:id="2" w:edGrp="everyone"/>
      <w:r>
        <w:rPr>
          <w:rFonts w:hint="eastAsia" w:cs="仿宋" w:asciiTheme="minorEastAsia" w:hAnsiTheme="minorEastAsia" w:eastAsiaTheme="minorEastAsia"/>
          <w:sz w:val="32"/>
          <w:szCs w:val="32"/>
        </w:rPr>
        <w:t>常州黑牡丹建设投资有限公司</w:t>
      </w:r>
    </w:p>
    <w:permEnd w:id="2"/>
    <w:p w14:paraId="4DEAABED">
      <w:pPr>
        <w:spacing w:line="800" w:lineRule="exact"/>
        <w:ind w:firstLine="627" w:firstLineChars="196"/>
        <w:rPr>
          <w:rFonts w:cs="仿宋" w:asciiTheme="minorEastAsia" w:hAnsiTheme="minorEastAsia" w:eastAsiaTheme="minorEastAsia"/>
          <w:b/>
          <w:sz w:val="32"/>
          <w:szCs w:val="32"/>
        </w:rPr>
      </w:pPr>
      <w:r>
        <w:rPr>
          <w:rFonts w:hint="eastAsia" w:cs="仿宋" w:asciiTheme="minorEastAsia" w:hAnsiTheme="minorEastAsia" w:eastAsiaTheme="minorEastAsia"/>
          <w:sz w:val="32"/>
          <w:szCs w:val="32"/>
        </w:rPr>
        <w:t xml:space="preserve"> 承包方（乙方）：</w:t>
      </w:r>
      <w:permStart w:id="3" w:edGrp="everyone"/>
    </w:p>
    <w:permEnd w:id="3"/>
    <w:p w14:paraId="27F2F43C">
      <w:pPr>
        <w:spacing w:line="500" w:lineRule="exact"/>
        <w:rPr>
          <w:rFonts w:cs="仿宋" w:asciiTheme="minorEastAsia" w:hAnsiTheme="minorEastAsia" w:eastAsiaTheme="minorEastAsia"/>
          <w:szCs w:val="21"/>
        </w:rPr>
      </w:pPr>
    </w:p>
    <w:p w14:paraId="1F283BA2">
      <w:pPr>
        <w:spacing w:line="500" w:lineRule="exact"/>
        <w:rPr>
          <w:rFonts w:cs="仿宋" w:asciiTheme="minorEastAsia" w:hAnsiTheme="minorEastAsia" w:eastAsiaTheme="minorEastAsia"/>
          <w:szCs w:val="21"/>
        </w:rPr>
      </w:pPr>
    </w:p>
    <w:p w14:paraId="1AB7B764">
      <w:pPr>
        <w:pStyle w:val="2"/>
        <w:spacing w:line="500" w:lineRule="exact"/>
      </w:pPr>
    </w:p>
    <w:p w14:paraId="41711D6A">
      <w:pPr>
        <w:pStyle w:val="2"/>
        <w:spacing w:line="500" w:lineRule="exact"/>
      </w:pPr>
    </w:p>
    <w:p w14:paraId="2A08481E">
      <w:pPr>
        <w:pStyle w:val="2"/>
        <w:spacing w:line="500" w:lineRule="exact"/>
      </w:pPr>
    </w:p>
    <w:p w14:paraId="2D2E6E1B">
      <w:pPr>
        <w:spacing w:line="500" w:lineRule="exact"/>
        <w:ind w:firstLine="2520" w:firstLineChars="1200"/>
        <w:rPr>
          <w:rFonts w:cs="仿宋" w:asciiTheme="minorEastAsia" w:hAnsiTheme="minorEastAsia" w:eastAsiaTheme="minorEastAsia"/>
          <w:szCs w:val="21"/>
        </w:rPr>
      </w:pPr>
      <w:r>
        <w:rPr>
          <w:rFonts w:hint="eastAsia" w:cs="仿宋" w:asciiTheme="minorEastAsia" w:hAnsiTheme="minorEastAsia" w:eastAsiaTheme="minorEastAsia"/>
          <w:szCs w:val="21"/>
        </w:rPr>
        <w:t>签订地点：</w:t>
      </w:r>
      <w:permStart w:id="4" w:edGrp="everyone"/>
      <w:r>
        <w:rPr>
          <w:rFonts w:hint="eastAsia" w:cs="仿宋" w:asciiTheme="minorEastAsia" w:hAnsiTheme="minorEastAsia" w:eastAsiaTheme="minorEastAsia"/>
          <w:szCs w:val="21"/>
        </w:rPr>
        <w:t>常州市新北区</w:t>
      </w:r>
    </w:p>
    <w:permEnd w:id="4"/>
    <w:p w14:paraId="1EA2E31A">
      <w:pPr>
        <w:spacing w:line="500" w:lineRule="exact"/>
        <w:ind w:firstLine="2520" w:firstLineChars="1200"/>
        <w:rPr>
          <w:rFonts w:cs="仿宋" w:asciiTheme="minorEastAsia" w:hAnsiTheme="minorEastAsia" w:eastAsiaTheme="minorEastAsia"/>
          <w:szCs w:val="21"/>
        </w:rPr>
      </w:pPr>
      <w:r>
        <w:rPr>
          <w:rFonts w:hint="eastAsia" w:cs="仿宋" w:asciiTheme="minorEastAsia" w:hAnsiTheme="minorEastAsia" w:eastAsiaTheme="minorEastAsia"/>
          <w:szCs w:val="21"/>
        </w:rPr>
        <w:t>签订日期：</w:t>
      </w:r>
      <w:permStart w:id="5" w:edGrp="everyone"/>
      <w:r>
        <w:rPr>
          <w:rFonts w:hint="eastAsia" w:cs="仿宋" w:asciiTheme="minorEastAsia" w:hAnsiTheme="minorEastAsia" w:eastAsiaTheme="minorEastAsia"/>
          <w:szCs w:val="21"/>
        </w:rPr>
        <w:t>2026年6月    日</w:t>
      </w:r>
    </w:p>
    <w:permEnd w:id="5"/>
    <w:p w14:paraId="06FCB6AA">
      <w:pPr>
        <w:spacing w:line="500" w:lineRule="exact"/>
        <w:ind w:firstLine="420" w:firstLineChars="200"/>
        <w:rPr>
          <w:rFonts w:cs="仿宋" w:asciiTheme="minorEastAsia" w:hAnsiTheme="minorEastAsia" w:eastAsiaTheme="minorEastAsia"/>
          <w:szCs w:val="21"/>
        </w:rPr>
      </w:pPr>
    </w:p>
    <w:p w14:paraId="4595861F">
      <w:pPr>
        <w:spacing w:line="500" w:lineRule="exact"/>
        <w:jc w:val="center"/>
        <w:rPr>
          <w:rFonts w:cs="仿宋" w:asciiTheme="minorEastAsia" w:hAnsiTheme="minorEastAsia" w:eastAsiaTheme="minorEastAsia"/>
          <w:szCs w:val="21"/>
        </w:rPr>
      </w:pPr>
    </w:p>
    <w:p w14:paraId="00EF1E9D">
      <w:pPr>
        <w:adjustRightInd w:val="0"/>
        <w:snapToGrid w:val="0"/>
        <w:spacing w:line="500" w:lineRule="exact"/>
        <w:ind w:left="2214" w:hanging="2214" w:hangingChars="1050"/>
        <w:jc w:val="center"/>
        <w:rPr>
          <w:rFonts w:cs="仿宋" w:asciiTheme="minorEastAsia" w:hAnsiTheme="minorEastAsia" w:eastAsiaTheme="minorEastAsia"/>
          <w:b/>
          <w:sz w:val="44"/>
          <w:szCs w:val="44"/>
        </w:rPr>
      </w:pPr>
      <w:r>
        <w:rPr>
          <w:rFonts w:hint="eastAsia" w:cs="仿宋" w:asciiTheme="minorEastAsia" w:hAnsiTheme="minorEastAsia" w:eastAsiaTheme="minorEastAsia"/>
          <w:b/>
          <w:szCs w:val="21"/>
        </w:rPr>
        <w:br w:type="page"/>
      </w:r>
      <w:r>
        <w:rPr>
          <w:rFonts w:hint="eastAsia" w:cs="仿宋" w:asciiTheme="minorEastAsia" w:hAnsiTheme="minorEastAsia" w:eastAsiaTheme="minorEastAsia"/>
          <w:b/>
          <w:sz w:val="44"/>
          <w:szCs w:val="44"/>
        </w:rPr>
        <w:t>合同协议书</w:t>
      </w:r>
    </w:p>
    <w:p w14:paraId="1C7DE841">
      <w:pPr>
        <w:adjustRightInd w:val="0"/>
        <w:snapToGrid w:val="0"/>
        <w:spacing w:line="500" w:lineRule="exact"/>
        <w:ind w:left="2205" w:hanging="2205" w:hangingChars="1050"/>
        <w:rPr>
          <w:rFonts w:cs="仿宋" w:asciiTheme="minorEastAsia" w:hAnsiTheme="minorEastAsia" w:eastAsiaTheme="minorEastAsia"/>
          <w:szCs w:val="21"/>
        </w:rPr>
      </w:pPr>
      <w:r>
        <w:rPr>
          <w:rFonts w:hint="eastAsia" w:cs="仿宋" w:asciiTheme="minorEastAsia" w:hAnsiTheme="minorEastAsia" w:eastAsiaTheme="minorEastAsia"/>
          <w:szCs w:val="21"/>
        </w:rPr>
        <w:t>委托方（甲方）：</w:t>
      </w:r>
      <w:permStart w:id="6" w:edGrp="everyone"/>
      <w:r>
        <w:rPr>
          <w:rFonts w:hint="eastAsia" w:cs="仿宋" w:asciiTheme="minorEastAsia" w:hAnsiTheme="minorEastAsia" w:eastAsiaTheme="minorEastAsia"/>
          <w:szCs w:val="21"/>
        </w:rPr>
        <w:t xml:space="preserve">常州黑牡丹建设投资有限公司  </w:t>
      </w:r>
    </w:p>
    <w:permEnd w:id="6"/>
    <w:p w14:paraId="6F5F85BA">
      <w:pPr>
        <w:adjustRightInd w:val="0"/>
        <w:snapToGrid w:val="0"/>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承包方（乙方）：</w:t>
      </w:r>
      <w:permStart w:id="7" w:edGrp="everyone"/>
      <w:r>
        <w:rPr>
          <w:rFonts w:hint="eastAsia" w:cs="仿宋" w:asciiTheme="minorEastAsia" w:hAnsiTheme="minorEastAsia" w:eastAsiaTheme="minorEastAsia"/>
          <w:szCs w:val="21"/>
        </w:rPr>
        <w:t xml:space="preserve">                               </w:t>
      </w:r>
    </w:p>
    <w:permEnd w:id="7"/>
    <w:p w14:paraId="1E50DD78">
      <w:pPr>
        <w:adjustRightInd w:val="0"/>
        <w:snapToGrid w:val="0"/>
        <w:spacing w:line="500" w:lineRule="exact"/>
        <w:ind w:firstLine="455" w:firstLineChars="217"/>
        <w:rPr>
          <w:rFonts w:cs="仿宋" w:asciiTheme="minorEastAsia" w:hAnsiTheme="minorEastAsia" w:eastAsiaTheme="minorEastAsia"/>
          <w:szCs w:val="21"/>
        </w:rPr>
      </w:pPr>
      <w:r>
        <w:rPr>
          <w:rFonts w:hint="eastAsia" w:cs="仿宋" w:asciiTheme="minorEastAsia" w:hAnsiTheme="minorEastAsia" w:eastAsiaTheme="minorEastAsia"/>
          <w:szCs w:val="21"/>
        </w:rPr>
        <w:t>依照《中华人民共和国民法典》及其他有关法律、行政法规，遵循平等、自愿、公平和诚实信用的原则，甲乙双方友好协商，</w:t>
      </w:r>
      <w:permStart w:id="8" w:edGrp="everyone"/>
      <w:r>
        <w:rPr>
          <w:rFonts w:hint="eastAsia" w:cs="仿宋" w:asciiTheme="minorEastAsia" w:hAnsiTheme="minorEastAsia" w:eastAsiaTheme="minorEastAsia"/>
          <w:szCs w:val="21"/>
        </w:rPr>
        <w:t>就</w:t>
      </w:r>
      <w:r>
        <w:rPr>
          <w:rFonts w:hint="eastAsia" w:cs="仿宋" w:asciiTheme="minorEastAsia" w:hAnsiTheme="minorEastAsia" w:eastAsiaTheme="minorEastAsia"/>
          <w:szCs w:val="21"/>
          <w:u w:val="single"/>
        </w:rPr>
        <w:t>常隆（华达、常宇）公司原厂址地块污染防控工程全流程技术咨询服务项目</w:t>
      </w:r>
      <w:r>
        <w:rPr>
          <w:rFonts w:hint="eastAsia" w:cs="仿宋" w:asciiTheme="minorEastAsia" w:hAnsiTheme="minorEastAsia" w:eastAsiaTheme="minorEastAsia"/>
          <w:szCs w:val="21"/>
        </w:rPr>
        <w:t>事项协商达成一致，</w:t>
      </w:r>
      <w:permEnd w:id="8"/>
      <w:r>
        <w:rPr>
          <w:rFonts w:hint="eastAsia" w:cs="仿宋" w:asciiTheme="minorEastAsia" w:hAnsiTheme="minorEastAsia" w:eastAsiaTheme="minorEastAsia"/>
          <w:szCs w:val="21"/>
        </w:rPr>
        <w:t>订立本合同。</w:t>
      </w:r>
    </w:p>
    <w:p w14:paraId="14B2CB5B">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一、项目概况</w:t>
      </w:r>
    </w:p>
    <w:p w14:paraId="51EB88FB">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1、工程名称：</w:t>
      </w:r>
      <w:permStart w:id="9" w:edGrp="everyone"/>
      <w:r>
        <w:rPr>
          <w:rFonts w:hint="eastAsia" w:cs="仿宋" w:asciiTheme="minorEastAsia" w:hAnsiTheme="minorEastAsia" w:eastAsiaTheme="minorEastAsia"/>
          <w:szCs w:val="21"/>
        </w:rPr>
        <w:t>常隆（华达、常宇）公司原厂址地块污染防控工程全流程技术咨询服务</w:t>
      </w:r>
    </w:p>
    <w:permEnd w:id="9"/>
    <w:p w14:paraId="7FE15BB8">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2、工程地点：</w:t>
      </w:r>
      <w:permStart w:id="10" w:edGrp="everyone"/>
      <w:r>
        <w:rPr>
          <w:rFonts w:hint="eastAsia" w:cs="仿宋" w:asciiTheme="minorEastAsia" w:hAnsiTheme="minorEastAsia" w:eastAsiaTheme="minorEastAsia"/>
          <w:szCs w:val="21"/>
        </w:rPr>
        <w:t xml:space="preserve">常州市新北区龙虎塘街道 </w:t>
      </w:r>
    </w:p>
    <w:permEnd w:id="10"/>
    <w:p w14:paraId="6FCF3FF1">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3、工程描述：</w:t>
      </w:r>
      <w:permStart w:id="11" w:edGrp="everyone"/>
      <w:r>
        <w:rPr>
          <w:rFonts w:hint="eastAsia" w:cs="仿宋" w:asciiTheme="minorEastAsia" w:hAnsiTheme="minorEastAsia" w:eastAsiaTheme="minorEastAsia"/>
          <w:szCs w:val="21"/>
        </w:rPr>
        <w:t>常隆（华达、常宇）公司原厂址地块（简称：“常隆地块”）位于江苏省常州市新北区龙虎塘街道，该地块包括江苏常隆化工有限公司常州农药厂、常州市华达化工厂、常州市常宇化工有限公司原厂址以及部分村庄，场地总面积约为26.2公顷。</w:t>
      </w:r>
    </w:p>
    <w:p w14:paraId="036DDDF8">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常隆地块污染防控工程实施期间，根据《常隆（华达、常宇）公司原厂址地块环境污染场地防控工程方案》（以下简称“防控工程方案”），每年需对场地多介质监测系统进行评价，定期对监测数据开展评估工作，开展上年度的覆土阻隔效果及维护等情况分析，因此需委托第三方单位编写覆土人造潜水含水层污染年度调查报告、地块多介质监测系统评价与预警报告、覆土阻隔性能年度评估报告、地下水抽提工程年度评估报告、防控工程实施年度评估报告，并提供本年度管控实施期间的全过程咨询。</w:t>
      </w:r>
    </w:p>
    <w:p w14:paraId="7867C620">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4、发包人履行合同的代表为        ，在本合同中称为项目负责人。</w:t>
      </w:r>
    </w:p>
    <w:p w14:paraId="37EF3A50">
      <w:pPr>
        <w:adjustRightInd w:val="0"/>
        <w:snapToGrid w:val="0"/>
        <w:spacing w:line="500" w:lineRule="exact"/>
        <w:ind w:firstLine="420" w:firstLineChars="200"/>
      </w:pPr>
      <w:r>
        <w:rPr>
          <w:rFonts w:hint="eastAsia" w:cs="仿宋" w:asciiTheme="minorEastAsia" w:hAnsiTheme="minorEastAsia" w:eastAsiaTheme="minorEastAsia"/>
          <w:szCs w:val="21"/>
        </w:rPr>
        <w:t>承包人履行合同的代表为        ，在本合同中称为承包项目负责人。</w:t>
      </w:r>
    </w:p>
    <w:permEnd w:id="11"/>
    <w:p w14:paraId="78EE4A49">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二、项目内容、标准及要求</w:t>
      </w:r>
    </w:p>
    <w:p w14:paraId="3269F350">
      <w:pPr>
        <w:spacing w:line="500" w:lineRule="exact"/>
        <w:ind w:firstLine="420"/>
        <w:rPr>
          <w:rFonts w:cs="仿宋" w:asciiTheme="minorEastAsia" w:hAnsiTheme="minorEastAsia" w:eastAsiaTheme="minorEastAsia"/>
          <w:szCs w:val="21"/>
        </w:rPr>
      </w:pPr>
      <w:r>
        <w:rPr>
          <w:rFonts w:hint="eastAsia" w:cs="仿宋" w:asciiTheme="minorEastAsia" w:hAnsiTheme="minorEastAsia" w:eastAsiaTheme="minorEastAsia"/>
          <w:szCs w:val="21"/>
        </w:rPr>
        <w:t>1、主要工作内容</w:t>
      </w:r>
    </w:p>
    <w:p w14:paraId="2ABD237A">
      <w:pPr>
        <w:spacing w:line="500" w:lineRule="exact"/>
        <w:ind w:firstLine="420" w:firstLineChars="200"/>
        <w:jc w:val="left"/>
        <w:rPr>
          <w:rFonts w:cs="仿宋" w:asciiTheme="minorEastAsia" w:hAnsiTheme="minorEastAsia" w:eastAsiaTheme="minorEastAsia"/>
          <w:bCs/>
          <w:szCs w:val="21"/>
        </w:rPr>
      </w:pPr>
      <w:permStart w:id="12" w:edGrp="everyone"/>
      <w:r>
        <w:rPr>
          <w:rFonts w:hint="eastAsia" w:cs="仿宋" w:asciiTheme="minorEastAsia" w:hAnsiTheme="minorEastAsia" w:eastAsiaTheme="minorEastAsia"/>
          <w:bCs/>
          <w:szCs w:val="21"/>
        </w:rPr>
        <w:t>1.1 2025年度评估报告编制</w:t>
      </w:r>
    </w:p>
    <w:p w14:paraId="5FEF2AAA">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（1）覆土人造潜水含水层污染年度调查报告：识别场地覆土后潜水含水层的分布特征，开展覆土区潜水含水层地下水监测工作，评估潜水含水层污染水平，编制覆土人造潜水含水层污染年度调查报告。</w:t>
      </w:r>
    </w:p>
    <w:p w14:paraId="3C911416">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2）地块多介质监测系统年度评价与预警报告：系统分析场地地下水、地表水、土壤气和环境空气等多介质监测数据，编制多介质监测系统年度评价与预警报告，优化健康风险评估结论，对现状监测体系进行优化。</w:t>
      </w:r>
    </w:p>
    <w:p w14:paraId="4CD1F3F9">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（3）覆土阻隔性能年度评估报告：根据场地覆土的压实度、土壤温度、土壤水分等调查结果，编制覆土阻隔性能年度评估报告，提出覆土维护措施。</w:t>
      </w:r>
    </w:p>
    <w:p w14:paraId="2B23D208">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（4）地下水抽提工程年度评估报告：根据地下水检测结果，结合地下水抽提台账，分析地下水污染物现状分布特征，确定地下水污染源削减程度，编制地下水抽提工程年度评估报告，提出合理化建议。</w:t>
      </w:r>
    </w:p>
    <w:p w14:paraId="3D9D57CA">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（5）防控工程实施年度评估报告：综合覆土人造潜水含水层污染调查、地块多介质监测、覆土阻隔性能、地下水抽提工程等的实施，编制防控工程实施年度评估报告。</w:t>
      </w:r>
    </w:p>
    <w:p w14:paraId="7C1D1CEC">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1.2 2026年度全过程咨询</w:t>
      </w:r>
    </w:p>
    <w:p w14:paraId="118555BB">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（1）根据原污染防控工程内容，开展2026年度全过程咨询，每月至少对现场工作巡检4次，对于甲方遇到的场地污染防控环境领域问题进行解答，必要时，组织开展专家咨询会。</w:t>
      </w:r>
    </w:p>
    <w:p w14:paraId="26E6A416">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2）对于地块开展的监测工作定期收集数据，并进行阶段性分析，定期汇总分析结果，包括监测数据和地下水流场分析：①对监测结果进行对比分析，若出现异常及时预警反馈，必要时提出复测的建议；②对于地下水水位开展验证测量和定期分析。</w:t>
      </w:r>
    </w:p>
    <w:permEnd w:id="12"/>
    <w:p w14:paraId="31E4424E">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2、技术规范要求</w:t>
      </w:r>
    </w:p>
    <w:p w14:paraId="4D02E1DA">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（1）《建设用地土壤污染状况调查技术导则》；</w:t>
      </w:r>
    </w:p>
    <w:p w14:paraId="56A74EAF">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（2）</w:t>
      </w:r>
      <w:r>
        <w:fldChar w:fldCharType="begin"/>
      </w:r>
      <w:r>
        <w:instrText xml:space="preserve"> HYPERLINK "http://kjs.mee.gov.cn/hjbhbz/bzwb/jcffbz/201912/t20191209_748211.shtml" </w:instrText>
      </w:r>
      <w:r>
        <w:fldChar w:fldCharType="separate"/>
      </w:r>
      <w:r>
        <w:rPr>
          <w:rFonts w:hint="eastAsia" w:cs="仿宋" w:asciiTheme="minorEastAsia" w:hAnsiTheme="minorEastAsia" w:eastAsiaTheme="minorEastAsia"/>
          <w:bCs/>
          <w:szCs w:val="21"/>
        </w:rPr>
        <w:t>《建设用地土壤污染风险管控和修复监测技术导则》</w:t>
      </w:r>
      <w:r>
        <w:rPr>
          <w:rFonts w:hint="eastAsia" w:cs="仿宋" w:asciiTheme="minorEastAsia" w:hAnsiTheme="minorEastAsia" w:eastAsiaTheme="minorEastAsia"/>
          <w:bCs/>
          <w:szCs w:val="21"/>
        </w:rPr>
        <w:fldChar w:fldCharType="end"/>
      </w:r>
      <w:r>
        <w:rPr>
          <w:rFonts w:hint="eastAsia" w:cs="仿宋" w:asciiTheme="minorEastAsia" w:hAnsiTheme="minorEastAsia" w:eastAsiaTheme="minorEastAsia"/>
          <w:bCs/>
          <w:szCs w:val="21"/>
        </w:rPr>
        <w:t>；</w:t>
      </w:r>
    </w:p>
    <w:p w14:paraId="2BC56871">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（3）《建设用地土壤污染风险评估技术导则》；</w:t>
      </w:r>
    </w:p>
    <w:p w14:paraId="7C2A5FFD">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（4）《地块土壤和地下水挥发性有机物采样技术导则》；</w:t>
      </w:r>
    </w:p>
    <w:p w14:paraId="6854D9EC">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（5）《土壤环境质量建设用地土壤污染风险管控标准（试行）》；</w:t>
      </w:r>
    </w:p>
    <w:p w14:paraId="13FF3C0D">
      <w:pPr>
        <w:spacing w:line="500" w:lineRule="exact"/>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（6）《建设用地土壤环境调查评估技术指南》；</w:t>
      </w:r>
    </w:p>
    <w:p w14:paraId="23489FBD">
      <w:pPr>
        <w:snapToGrid w:val="0"/>
        <w:spacing w:line="500" w:lineRule="exact"/>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 xml:space="preserve">    （7）《地下水质量标准》。</w:t>
      </w:r>
      <w:permStart w:id="13" w:edGrp="everyone"/>
    </w:p>
    <w:permEnd w:id="13"/>
    <w:p w14:paraId="03F611AE">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三、服务期及成果</w:t>
      </w:r>
      <w:bookmarkStart w:id="1" w:name="_GoBack"/>
      <w:bookmarkEnd w:id="1"/>
    </w:p>
    <w:p w14:paraId="0A42C7BC">
      <w:pPr>
        <w:adjustRightInd w:val="0"/>
        <w:snapToGrid w:val="0"/>
        <w:spacing w:line="500" w:lineRule="exact"/>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1、服务期要求</w:t>
      </w:r>
    </w:p>
    <w:p w14:paraId="76DE8EFB">
      <w:pPr>
        <w:spacing w:line="500" w:lineRule="exact"/>
        <w:ind w:firstLine="420" w:firstLineChars="200"/>
        <w:jc w:val="left"/>
        <w:rPr>
          <w:rFonts w:cs="仿宋" w:asciiTheme="minorEastAsia" w:hAnsiTheme="minorEastAsia" w:eastAsiaTheme="minorEastAsia"/>
          <w:kern w:val="0"/>
          <w:szCs w:val="21"/>
        </w:rPr>
      </w:pPr>
      <w:permStart w:id="14" w:edGrp="everyone"/>
      <w:r>
        <w:rPr>
          <w:rFonts w:hint="eastAsia" w:cs="仿宋" w:asciiTheme="minorEastAsia" w:hAnsiTheme="minorEastAsia" w:eastAsiaTheme="minorEastAsia"/>
          <w:kern w:val="0"/>
          <w:szCs w:val="21"/>
        </w:rPr>
        <w:t>本项目服务期为合同签订之日起一年，满足甲方考核标准可续签下一年度合同，续签次数不超过两次。</w:t>
      </w:r>
    </w:p>
    <w:permEnd w:id="14"/>
    <w:p w14:paraId="3C9ABAD5">
      <w:pPr>
        <w:snapToGrid w:val="0"/>
        <w:spacing w:line="500" w:lineRule="exact"/>
        <w:ind w:firstLine="420" w:firstLineChars="200"/>
        <w:jc w:val="left"/>
        <w:rPr>
          <w:rFonts w:cs="仿宋" w:asciiTheme="minorEastAsia" w:hAnsiTheme="minorEastAsia" w:eastAsiaTheme="minorEastAsia"/>
          <w:kern w:val="0"/>
          <w:szCs w:val="21"/>
        </w:rPr>
      </w:pPr>
      <w:r>
        <w:rPr>
          <w:rFonts w:hint="eastAsia" w:cs="仿宋" w:asciiTheme="minorEastAsia" w:hAnsiTheme="minorEastAsia" w:eastAsiaTheme="minorEastAsia"/>
          <w:kern w:val="0"/>
          <w:szCs w:val="21"/>
        </w:rPr>
        <w:t>2、成果提交</w:t>
      </w:r>
    </w:p>
    <w:p w14:paraId="5F28A1A2">
      <w:pPr>
        <w:snapToGrid w:val="0"/>
        <w:spacing w:line="500" w:lineRule="exact"/>
        <w:jc w:val="left"/>
        <w:rPr>
          <w:rFonts w:cs="仿宋" w:asciiTheme="minorEastAsia" w:hAnsiTheme="minorEastAsia" w:eastAsiaTheme="minorEastAsia"/>
          <w:kern w:val="0"/>
          <w:szCs w:val="21"/>
        </w:rPr>
      </w:pPr>
      <w:permStart w:id="15" w:edGrp="everyone"/>
      <w:r>
        <w:rPr>
          <w:rFonts w:hint="eastAsia" w:cs="仿宋" w:asciiTheme="minorEastAsia" w:hAnsiTheme="minorEastAsia" w:eastAsiaTheme="minorEastAsia"/>
          <w:kern w:val="0"/>
          <w:szCs w:val="21"/>
        </w:rPr>
        <w:t>（1）合同签订后2个月内编制完成2025年度评估报告，并通过专家评审；</w:t>
      </w:r>
    </w:p>
    <w:p w14:paraId="6C4C5B4A">
      <w:pPr>
        <w:snapToGrid w:val="0"/>
        <w:spacing w:line="500" w:lineRule="exact"/>
        <w:jc w:val="left"/>
        <w:rPr>
          <w:rFonts w:cs="仿宋" w:asciiTheme="minorEastAsia" w:hAnsiTheme="minorEastAsia" w:eastAsiaTheme="minorEastAsia"/>
          <w:kern w:val="0"/>
          <w:szCs w:val="21"/>
        </w:rPr>
      </w:pPr>
      <w:r>
        <w:rPr>
          <w:rFonts w:hint="eastAsia" w:cs="仿宋" w:asciiTheme="minorEastAsia" w:hAnsiTheme="minorEastAsia" w:eastAsiaTheme="minorEastAsia"/>
          <w:kern w:val="0"/>
          <w:szCs w:val="21"/>
        </w:rPr>
        <w:t>（2）服务期满后提交年度咨询工作总结报告。</w:t>
      </w:r>
    </w:p>
    <w:permEnd w:id="15"/>
    <w:p w14:paraId="7F7ABAFB">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四、验收标准</w:t>
      </w:r>
    </w:p>
    <w:p w14:paraId="2466643D">
      <w:pPr>
        <w:snapToGrid w:val="0"/>
        <w:spacing w:line="500" w:lineRule="exact"/>
        <w:jc w:val="left"/>
        <w:rPr>
          <w:rFonts w:cs="仿宋" w:asciiTheme="minorEastAsia" w:hAnsiTheme="minorEastAsia" w:eastAsiaTheme="minorEastAsia"/>
          <w:szCs w:val="21"/>
        </w:rPr>
      </w:pPr>
      <w:permStart w:id="16" w:edGrp="everyone"/>
      <w:r>
        <w:rPr>
          <w:rFonts w:hint="eastAsia" w:cs="仿宋" w:asciiTheme="minorEastAsia" w:hAnsiTheme="minorEastAsia" w:eastAsiaTheme="minorEastAsia"/>
          <w:szCs w:val="21"/>
        </w:rPr>
        <w:t>合格，年度评估报告通过专家评审。</w:t>
      </w:r>
    </w:p>
    <w:permEnd w:id="16"/>
    <w:p w14:paraId="166646C9">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五、合同报酬及其支付方式</w:t>
      </w:r>
    </w:p>
    <w:p w14:paraId="224B6EBF">
      <w:pPr>
        <w:adjustRightInd w:val="0"/>
        <w:snapToGrid w:val="0"/>
        <w:spacing w:line="500" w:lineRule="exact"/>
        <w:ind w:firstLine="424" w:firstLineChars="202"/>
        <w:rPr>
          <w:rFonts w:cs="仿宋" w:asciiTheme="minorEastAsia" w:hAnsiTheme="minorEastAsia" w:eastAsiaTheme="minorEastAsia"/>
          <w:szCs w:val="21"/>
        </w:rPr>
      </w:pPr>
      <w:permStart w:id="17" w:edGrp="everyone"/>
      <w:r>
        <w:rPr>
          <w:rFonts w:hint="eastAsia" w:cs="仿宋" w:asciiTheme="minorEastAsia" w:hAnsiTheme="minorEastAsia" w:eastAsiaTheme="minorEastAsia"/>
          <w:szCs w:val="21"/>
        </w:rPr>
        <w:t>1、本项目合同费用总额为：大写： ；小写：   元，税率6%。其中，不含税价款为：   元（大写：   ），税率为：6%，税金为： 元（大写：   ）。</w:t>
      </w:r>
    </w:p>
    <w:p w14:paraId="61535996">
      <w:pPr>
        <w:spacing w:line="500" w:lineRule="exact"/>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本项目咨询费用总价包干，包括人工费、专家费、评审费等各项工作经费和服务费用，以及食宿、差旅、税金等其他一切可能发生的费用。</w:t>
      </w:r>
    </w:p>
    <w:p w14:paraId="0DE913E6">
      <w:pPr>
        <w:spacing w:line="500" w:lineRule="exact"/>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乙方中标价按工作量给出，并分别将各项具体工作的分项费用进行测算并在明细报价表中体现。</w:t>
      </w:r>
    </w:p>
    <w:p w14:paraId="43FE8DD5">
      <w:pPr>
        <w:jc w:val="center"/>
        <w:rPr>
          <w:rFonts w:ascii="仿宋" w:hAnsi="仿宋" w:eastAsia="仿宋" w:cs="仿宋"/>
          <w:b/>
          <w:color w:val="000000" w:themeColor="text1"/>
          <w:sz w:val="30"/>
          <w:szCs w:val="30"/>
        </w:rPr>
      </w:pPr>
      <w:r>
        <w:rPr>
          <w:rFonts w:hint="eastAsia" w:ascii="宋体" w:hAnsi="宋体" w:cs="宋体"/>
          <w:b/>
          <w:color w:val="000000" w:themeColor="text1"/>
          <w:sz w:val="30"/>
          <w:szCs w:val="30"/>
        </w:rPr>
        <w:t>分项报价表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5245"/>
        <w:gridCol w:w="2347"/>
      </w:tblGrid>
      <w:tr w14:paraId="1020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565B5E81">
            <w:pPr>
              <w:jc w:val="center"/>
              <w:rPr>
                <w:rFonts w:ascii="宋体" w:hAnsi="宋体" w:cs="宋体"/>
                <w:color w:val="000000" w:themeColor="text1"/>
                <w:szCs w:val="21"/>
              </w:rPr>
            </w:pPr>
            <w:r>
              <w:rPr>
                <w:rFonts w:hint="eastAsia" w:ascii="宋体" w:hAnsi="宋体" w:cs="宋体"/>
                <w:color w:val="000000" w:themeColor="text1"/>
                <w:szCs w:val="21"/>
              </w:rPr>
              <w:t>序号</w:t>
            </w:r>
          </w:p>
        </w:tc>
        <w:tc>
          <w:tcPr>
            <w:tcW w:w="5245" w:type="dxa"/>
            <w:vAlign w:val="center"/>
          </w:tcPr>
          <w:p w14:paraId="24000663">
            <w:pPr>
              <w:jc w:val="center"/>
              <w:rPr>
                <w:rFonts w:ascii="宋体" w:hAnsi="宋体" w:cs="宋体"/>
                <w:color w:val="000000" w:themeColor="text1"/>
                <w:szCs w:val="21"/>
              </w:rPr>
            </w:pPr>
            <w:r>
              <w:rPr>
                <w:rFonts w:hint="eastAsia" w:ascii="宋体" w:hAnsi="宋体" w:cs="宋体"/>
                <w:color w:val="000000" w:themeColor="text1"/>
                <w:szCs w:val="21"/>
              </w:rPr>
              <w:t>项目名称</w:t>
            </w:r>
          </w:p>
        </w:tc>
        <w:tc>
          <w:tcPr>
            <w:tcW w:w="2347" w:type="dxa"/>
            <w:vAlign w:val="center"/>
          </w:tcPr>
          <w:p w14:paraId="72C340B2">
            <w:pPr>
              <w:jc w:val="center"/>
              <w:rPr>
                <w:rFonts w:ascii="宋体" w:hAnsi="宋体" w:cs="宋体"/>
                <w:color w:val="000000" w:themeColor="text1"/>
                <w:szCs w:val="21"/>
              </w:rPr>
            </w:pPr>
            <w:r>
              <w:rPr>
                <w:rFonts w:hint="eastAsia" w:ascii="宋体" w:hAnsi="宋体" w:cs="宋体"/>
                <w:color w:val="000000" w:themeColor="text1"/>
                <w:szCs w:val="21"/>
              </w:rPr>
              <w:t>价格/万元</w:t>
            </w:r>
          </w:p>
        </w:tc>
      </w:tr>
      <w:tr w14:paraId="2641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141F6F93">
            <w:pPr>
              <w:jc w:val="center"/>
              <w:rPr>
                <w:rFonts w:ascii="宋体" w:hAnsi="宋体" w:cs="宋体"/>
                <w:color w:val="000000" w:themeColor="text1"/>
                <w:szCs w:val="21"/>
              </w:rPr>
            </w:pPr>
            <w:r>
              <w:rPr>
                <w:rFonts w:hint="eastAsia" w:ascii="宋体" w:hAnsi="宋体" w:cs="宋体"/>
                <w:color w:val="000000" w:themeColor="text1"/>
                <w:szCs w:val="21"/>
              </w:rPr>
              <w:t>1</w:t>
            </w:r>
          </w:p>
        </w:tc>
        <w:tc>
          <w:tcPr>
            <w:tcW w:w="5245" w:type="dxa"/>
            <w:vAlign w:val="center"/>
          </w:tcPr>
          <w:p w14:paraId="310040D1">
            <w:pPr>
              <w:jc w:val="center"/>
              <w:rPr>
                <w:rFonts w:ascii="宋体" w:hAnsi="宋体" w:cs="宋体"/>
                <w:color w:val="000000" w:themeColor="text1"/>
                <w:szCs w:val="21"/>
              </w:rPr>
            </w:pPr>
            <w:r>
              <w:rPr>
                <w:rFonts w:hint="eastAsia" w:ascii="宋体" w:hAnsi="宋体" w:cs="宋体"/>
                <w:color w:val="000000" w:themeColor="text1"/>
                <w:szCs w:val="21"/>
              </w:rPr>
              <w:t>2025年度覆土人造潜水含水层污染调查报告</w:t>
            </w:r>
          </w:p>
        </w:tc>
        <w:tc>
          <w:tcPr>
            <w:tcW w:w="2347" w:type="dxa"/>
            <w:vAlign w:val="center"/>
          </w:tcPr>
          <w:p w14:paraId="197258D5">
            <w:pPr>
              <w:jc w:val="center"/>
              <w:rPr>
                <w:rFonts w:ascii="宋体" w:hAnsi="宋体" w:cs="宋体"/>
                <w:color w:val="000000" w:themeColor="text1"/>
                <w:szCs w:val="21"/>
              </w:rPr>
            </w:pPr>
            <w:r>
              <w:rPr>
                <w:rFonts w:hint="eastAsia" w:ascii="宋体" w:hAnsi="宋体" w:cs="宋体"/>
                <w:color w:val="000000" w:themeColor="text1"/>
                <w:szCs w:val="21"/>
              </w:rPr>
              <w:t xml:space="preserve">  </w:t>
            </w:r>
          </w:p>
        </w:tc>
      </w:tr>
      <w:tr w14:paraId="5686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774306C8">
            <w:pPr>
              <w:jc w:val="center"/>
              <w:rPr>
                <w:rFonts w:ascii="宋体" w:hAnsi="宋体" w:cs="宋体"/>
                <w:color w:val="000000" w:themeColor="text1"/>
                <w:szCs w:val="21"/>
              </w:rPr>
            </w:pPr>
            <w:r>
              <w:rPr>
                <w:rFonts w:hint="eastAsia" w:ascii="宋体" w:hAnsi="宋体" w:cs="宋体"/>
                <w:color w:val="000000" w:themeColor="text1"/>
                <w:szCs w:val="21"/>
              </w:rPr>
              <w:t>2</w:t>
            </w:r>
          </w:p>
        </w:tc>
        <w:tc>
          <w:tcPr>
            <w:tcW w:w="5245" w:type="dxa"/>
            <w:vAlign w:val="center"/>
          </w:tcPr>
          <w:p w14:paraId="447D1B61">
            <w:pPr>
              <w:jc w:val="center"/>
              <w:rPr>
                <w:rFonts w:ascii="宋体" w:hAnsi="宋体" w:cs="宋体"/>
                <w:color w:val="000000" w:themeColor="text1"/>
                <w:szCs w:val="21"/>
              </w:rPr>
            </w:pPr>
            <w:r>
              <w:rPr>
                <w:rFonts w:hint="eastAsia" w:ascii="宋体" w:hAnsi="宋体" w:cs="宋体"/>
                <w:color w:val="000000" w:themeColor="text1"/>
                <w:szCs w:val="21"/>
              </w:rPr>
              <w:t>2025年度地块多介质监测系统评价与预警报告</w:t>
            </w:r>
          </w:p>
        </w:tc>
        <w:tc>
          <w:tcPr>
            <w:tcW w:w="2347" w:type="dxa"/>
            <w:vAlign w:val="center"/>
          </w:tcPr>
          <w:p w14:paraId="4F2FDE5B">
            <w:pPr>
              <w:jc w:val="center"/>
              <w:rPr>
                <w:rFonts w:ascii="宋体" w:hAnsi="宋体" w:cs="宋体"/>
                <w:color w:val="000000" w:themeColor="text1"/>
                <w:szCs w:val="21"/>
              </w:rPr>
            </w:pPr>
            <w:r>
              <w:rPr>
                <w:rFonts w:hint="eastAsia" w:ascii="宋体" w:hAnsi="宋体" w:cs="宋体"/>
                <w:color w:val="000000" w:themeColor="text1"/>
                <w:szCs w:val="21"/>
              </w:rPr>
              <w:t xml:space="preserve">  </w:t>
            </w:r>
          </w:p>
        </w:tc>
      </w:tr>
      <w:tr w14:paraId="12A5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FA448DF">
            <w:pPr>
              <w:jc w:val="center"/>
              <w:rPr>
                <w:rFonts w:ascii="宋体" w:hAnsi="宋体" w:cs="宋体"/>
                <w:color w:val="000000" w:themeColor="text1"/>
                <w:szCs w:val="21"/>
              </w:rPr>
            </w:pPr>
            <w:r>
              <w:rPr>
                <w:rFonts w:hint="eastAsia" w:ascii="宋体" w:hAnsi="宋体" w:cs="宋体"/>
                <w:color w:val="000000" w:themeColor="text1"/>
                <w:szCs w:val="21"/>
              </w:rPr>
              <w:t>3</w:t>
            </w:r>
          </w:p>
        </w:tc>
        <w:tc>
          <w:tcPr>
            <w:tcW w:w="5245" w:type="dxa"/>
            <w:vAlign w:val="center"/>
          </w:tcPr>
          <w:p w14:paraId="784E1457">
            <w:pPr>
              <w:jc w:val="center"/>
              <w:rPr>
                <w:rFonts w:ascii="宋体" w:hAnsi="宋体" w:cs="宋体"/>
                <w:color w:val="000000" w:themeColor="text1"/>
                <w:szCs w:val="21"/>
              </w:rPr>
            </w:pPr>
            <w:r>
              <w:rPr>
                <w:rFonts w:hint="eastAsia" w:ascii="宋体" w:hAnsi="宋体" w:cs="宋体"/>
                <w:color w:val="000000" w:themeColor="text1"/>
                <w:szCs w:val="21"/>
              </w:rPr>
              <w:t>2025年度覆土阻隔性能评估报告</w:t>
            </w:r>
          </w:p>
        </w:tc>
        <w:tc>
          <w:tcPr>
            <w:tcW w:w="2347" w:type="dxa"/>
            <w:vAlign w:val="center"/>
          </w:tcPr>
          <w:p w14:paraId="40868EED">
            <w:pPr>
              <w:jc w:val="center"/>
              <w:rPr>
                <w:rFonts w:ascii="宋体" w:hAnsi="宋体" w:cs="宋体"/>
                <w:color w:val="000000" w:themeColor="text1"/>
                <w:szCs w:val="21"/>
              </w:rPr>
            </w:pPr>
          </w:p>
        </w:tc>
      </w:tr>
      <w:tr w14:paraId="2CB9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CB7395F">
            <w:pPr>
              <w:jc w:val="center"/>
              <w:rPr>
                <w:rFonts w:ascii="宋体" w:hAnsi="宋体" w:cs="宋体"/>
                <w:color w:val="000000" w:themeColor="text1"/>
                <w:szCs w:val="21"/>
              </w:rPr>
            </w:pPr>
            <w:r>
              <w:rPr>
                <w:rFonts w:hint="eastAsia" w:ascii="宋体" w:hAnsi="宋体" w:cs="宋体"/>
                <w:color w:val="000000" w:themeColor="text1"/>
                <w:szCs w:val="21"/>
              </w:rPr>
              <w:t>4</w:t>
            </w:r>
          </w:p>
        </w:tc>
        <w:tc>
          <w:tcPr>
            <w:tcW w:w="5245" w:type="dxa"/>
            <w:vAlign w:val="center"/>
          </w:tcPr>
          <w:p w14:paraId="0FD9B422">
            <w:pPr>
              <w:jc w:val="center"/>
              <w:rPr>
                <w:rFonts w:ascii="宋体" w:hAnsi="宋体" w:cs="宋体"/>
                <w:color w:val="000000" w:themeColor="text1"/>
                <w:szCs w:val="21"/>
              </w:rPr>
            </w:pPr>
            <w:r>
              <w:rPr>
                <w:rFonts w:hint="eastAsia" w:ascii="宋体" w:hAnsi="宋体" w:cs="宋体"/>
                <w:color w:val="000000" w:themeColor="text1"/>
                <w:szCs w:val="21"/>
              </w:rPr>
              <w:t>2025年度地下水抽提工程效果评估报告</w:t>
            </w:r>
          </w:p>
        </w:tc>
        <w:tc>
          <w:tcPr>
            <w:tcW w:w="2347" w:type="dxa"/>
            <w:vAlign w:val="center"/>
          </w:tcPr>
          <w:p w14:paraId="1249D180">
            <w:pPr>
              <w:jc w:val="center"/>
              <w:rPr>
                <w:rFonts w:ascii="宋体" w:hAnsi="宋体" w:cs="宋体"/>
                <w:color w:val="000000" w:themeColor="text1"/>
                <w:szCs w:val="21"/>
              </w:rPr>
            </w:pPr>
          </w:p>
        </w:tc>
      </w:tr>
      <w:tr w14:paraId="3E60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24B8181">
            <w:pPr>
              <w:jc w:val="center"/>
              <w:rPr>
                <w:rFonts w:ascii="宋体" w:hAnsi="宋体" w:cs="宋体"/>
                <w:color w:val="000000" w:themeColor="text1"/>
                <w:szCs w:val="21"/>
              </w:rPr>
            </w:pPr>
            <w:r>
              <w:rPr>
                <w:rFonts w:hint="eastAsia" w:ascii="宋体" w:hAnsi="宋体" w:cs="宋体"/>
                <w:color w:val="000000" w:themeColor="text1"/>
                <w:szCs w:val="21"/>
              </w:rPr>
              <w:t>5</w:t>
            </w:r>
          </w:p>
        </w:tc>
        <w:tc>
          <w:tcPr>
            <w:tcW w:w="5245" w:type="dxa"/>
            <w:vAlign w:val="center"/>
          </w:tcPr>
          <w:p w14:paraId="6703E0AB">
            <w:pPr>
              <w:jc w:val="center"/>
              <w:rPr>
                <w:rFonts w:ascii="宋体" w:hAnsi="宋体" w:cs="宋体"/>
                <w:color w:val="000000" w:themeColor="text1"/>
                <w:szCs w:val="21"/>
              </w:rPr>
            </w:pPr>
            <w:r>
              <w:rPr>
                <w:rFonts w:hint="eastAsia" w:ascii="宋体" w:hAnsi="宋体" w:cs="宋体"/>
                <w:color w:val="000000" w:themeColor="text1"/>
                <w:szCs w:val="21"/>
              </w:rPr>
              <w:t>2025年度防控工程方案实施评估报告</w:t>
            </w:r>
          </w:p>
        </w:tc>
        <w:tc>
          <w:tcPr>
            <w:tcW w:w="2347" w:type="dxa"/>
            <w:vAlign w:val="center"/>
          </w:tcPr>
          <w:p w14:paraId="48747A64">
            <w:pPr>
              <w:jc w:val="center"/>
              <w:rPr>
                <w:rFonts w:ascii="宋体" w:hAnsi="宋体" w:cs="宋体"/>
                <w:color w:val="000000" w:themeColor="text1"/>
                <w:szCs w:val="21"/>
              </w:rPr>
            </w:pPr>
          </w:p>
        </w:tc>
      </w:tr>
      <w:tr w14:paraId="4282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6B3C1EDC">
            <w:pPr>
              <w:jc w:val="center"/>
              <w:rPr>
                <w:rFonts w:ascii="宋体" w:hAnsi="宋体" w:cs="宋体"/>
                <w:color w:val="000000" w:themeColor="text1"/>
                <w:szCs w:val="21"/>
              </w:rPr>
            </w:pPr>
            <w:r>
              <w:rPr>
                <w:rFonts w:hint="eastAsia" w:ascii="宋体" w:hAnsi="宋体" w:cs="宋体"/>
                <w:color w:val="000000" w:themeColor="text1"/>
                <w:szCs w:val="21"/>
              </w:rPr>
              <w:t>6</w:t>
            </w:r>
          </w:p>
        </w:tc>
        <w:tc>
          <w:tcPr>
            <w:tcW w:w="5245" w:type="dxa"/>
            <w:vAlign w:val="center"/>
          </w:tcPr>
          <w:p w14:paraId="2FC78436">
            <w:pPr>
              <w:jc w:val="center"/>
              <w:rPr>
                <w:rFonts w:ascii="宋体" w:hAnsi="宋体" w:cs="宋体"/>
                <w:color w:val="000000" w:themeColor="text1"/>
                <w:szCs w:val="21"/>
              </w:rPr>
            </w:pPr>
            <w:r>
              <w:rPr>
                <w:rFonts w:hint="eastAsia" w:ascii="宋体" w:hAnsi="宋体" w:cs="宋体"/>
                <w:color w:val="000000" w:themeColor="text1"/>
                <w:szCs w:val="21"/>
              </w:rPr>
              <w:t>2026年度全过程咨询</w:t>
            </w:r>
          </w:p>
        </w:tc>
        <w:tc>
          <w:tcPr>
            <w:tcW w:w="2347" w:type="dxa"/>
            <w:vAlign w:val="center"/>
          </w:tcPr>
          <w:p w14:paraId="1EB639CD">
            <w:pPr>
              <w:jc w:val="center"/>
              <w:rPr>
                <w:rFonts w:ascii="宋体" w:hAnsi="宋体" w:cs="宋体"/>
                <w:color w:val="000000" w:themeColor="text1"/>
                <w:szCs w:val="21"/>
              </w:rPr>
            </w:pPr>
          </w:p>
        </w:tc>
      </w:tr>
      <w:tr w14:paraId="7B76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442BBE92">
            <w:pPr>
              <w:jc w:val="center"/>
              <w:rPr>
                <w:rFonts w:ascii="宋体" w:hAnsi="宋体" w:cs="宋体"/>
                <w:color w:val="000000" w:themeColor="text1"/>
                <w:szCs w:val="21"/>
              </w:rPr>
            </w:pPr>
            <w:r>
              <w:rPr>
                <w:rFonts w:hint="eastAsia" w:ascii="宋体" w:hAnsi="宋体" w:cs="宋体"/>
                <w:color w:val="000000" w:themeColor="text1"/>
                <w:szCs w:val="21"/>
              </w:rPr>
              <w:t>7</w:t>
            </w:r>
          </w:p>
        </w:tc>
        <w:tc>
          <w:tcPr>
            <w:tcW w:w="5245" w:type="dxa"/>
            <w:vAlign w:val="center"/>
          </w:tcPr>
          <w:p w14:paraId="77CB30A9">
            <w:pPr>
              <w:jc w:val="center"/>
              <w:rPr>
                <w:rFonts w:ascii="宋体" w:hAnsi="宋体" w:cs="宋体"/>
                <w:color w:val="000000" w:themeColor="text1"/>
                <w:szCs w:val="21"/>
              </w:rPr>
            </w:pPr>
            <w:r>
              <w:rPr>
                <w:rFonts w:hint="eastAsia" w:ascii="宋体" w:hAnsi="宋体" w:cs="宋体"/>
                <w:color w:val="000000" w:themeColor="text1"/>
                <w:szCs w:val="21"/>
              </w:rPr>
              <w:t>合计</w:t>
            </w:r>
          </w:p>
        </w:tc>
        <w:tc>
          <w:tcPr>
            <w:tcW w:w="2347" w:type="dxa"/>
            <w:vAlign w:val="center"/>
          </w:tcPr>
          <w:p w14:paraId="46EFF48A">
            <w:pPr>
              <w:jc w:val="center"/>
              <w:rPr>
                <w:rFonts w:ascii="宋体" w:hAnsi="宋体" w:cs="宋体"/>
                <w:color w:val="000000" w:themeColor="text1"/>
                <w:szCs w:val="21"/>
              </w:rPr>
            </w:pPr>
          </w:p>
        </w:tc>
      </w:tr>
      <w:permEnd w:id="17"/>
    </w:tbl>
    <w:p w14:paraId="6375FCE7">
      <w:pPr>
        <w:adjustRightInd w:val="0"/>
        <w:snapToGrid w:val="0"/>
        <w:spacing w:line="500" w:lineRule="exact"/>
        <w:ind w:firstLine="424" w:firstLineChars="202"/>
        <w:rPr>
          <w:rFonts w:cs="仿宋" w:asciiTheme="minorEastAsia" w:hAnsiTheme="minorEastAsia" w:eastAsiaTheme="minorEastAsia"/>
          <w:szCs w:val="21"/>
        </w:rPr>
      </w:pPr>
      <w:r>
        <w:rPr>
          <w:rFonts w:hint="eastAsia" w:cs="仿宋" w:asciiTheme="minorEastAsia" w:hAnsiTheme="minorEastAsia" w:eastAsiaTheme="minorEastAsia"/>
          <w:szCs w:val="21"/>
        </w:rPr>
        <w:t>2、支付方式：</w:t>
      </w:r>
      <w:permStart w:id="18" w:edGrp="everyone"/>
      <w:r>
        <w:rPr>
          <w:rFonts w:hint="eastAsia" w:cs="仿宋" w:asciiTheme="minorEastAsia" w:hAnsiTheme="minorEastAsia" w:eastAsiaTheme="minorEastAsia"/>
          <w:szCs w:val="21"/>
        </w:rPr>
        <w:t>常州黑牡丹建设投资有限公司负责签订本项目咨询服务合同并支付合同款。出具2025年度评估报告后经发包人确认后隔月支付至合同价的50%，服务期满后提交所有纸质成果报告并经审计后隔月将剩余款项一次性支付给乙方。</w:t>
      </w:r>
    </w:p>
    <w:p w14:paraId="46033C0E">
      <w:pPr>
        <w:adjustRightInd w:val="0"/>
        <w:snapToGrid w:val="0"/>
        <w:spacing w:line="500" w:lineRule="exact"/>
        <w:ind w:firstLine="424" w:firstLineChars="202"/>
        <w:rPr>
          <w:rFonts w:cs="仿宋" w:asciiTheme="minorEastAsia" w:hAnsiTheme="minorEastAsia" w:eastAsiaTheme="minorEastAsia"/>
          <w:szCs w:val="21"/>
        </w:rPr>
      </w:pPr>
      <w:r>
        <w:rPr>
          <w:rFonts w:hint="eastAsia" w:cs="仿宋" w:asciiTheme="minorEastAsia" w:hAnsiTheme="minorEastAsia" w:eastAsiaTheme="minorEastAsia"/>
          <w:szCs w:val="21"/>
        </w:rPr>
        <w:t>乙方应在工程结算送审前办理完成所有与工程有关的资料归集，结算审核过程中一律不得补办；乙方编制的工程结算应实事求是，并承诺工程结算核减率不超过 5%(含5%)。工程结算核减率如超过5%，超过部分的审计费用由乙方承担。</w:t>
      </w:r>
    </w:p>
    <w:permEnd w:id="18"/>
    <w:p w14:paraId="79A8649B">
      <w:pPr>
        <w:snapToGrid w:val="0"/>
        <w:spacing w:line="500" w:lineRule="exact"/>
        <w:jc w:val="left"/>
        <w:rPr>
          <w:rFonts w:cs="仿宋" w:asciiTheme="minorEastAsia" w:hAnsiTheme="minorEastAsia" w:eastAsiaTheme="minorEastAsia"/>
          <w:szCs w:val="21"/>
        </w:rPr>
      </w:pPr>
      <w:r>
        <w:rPr>
          <w:rFonts w:hint="eastAsia" w:asciiTheme="minorEastAsia" w:hAnsiTheme="minorEastAsia" w:eastAsiaTheme="minorEastAsia"/>
          <w:b/>
          <w:szCs w:val="21"/>
        </w:rPr>
        <w:t>备注：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p>
    <w:p w14:paraId="18734600">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六、履约担保</w:t>
      </w:r>
    </w:p>
    <w:p w14:paraId="1842329C">
      <w:pPr>
        <w:adjustRightInd w:val="0"/>
        <w:snapToGrid w:val="0"/>
        <w:spacing w:line="500" w:lineRule="exact"/>
        <w:ind w:firstLine="424" w:firstLineChars="202"/>
        <w:rPr>
          <w:rFonts w:cs="仿宋" w:asciiTheme="minorEastAsia" w:hAnsiTheme="minorEastAsia" w:eastAsiaTheme="minorEastAsia"/>
          <w:szCs w:val="21"/>
        </w:rPr>
      </w:pPr>
      <w:r>
        <w:rPr>
          <w:rFonts w:hint="eastAsia" w:cs="仿宋" w:asciiTheme="minorEastAsia" w:hAnsiTheme="minorEastAsia" w:eastAsiaTheme="minorEastAsia"/>
          <w:szCs w:val="21"/>
        </w:rPr>
        <w:t>1、履约保证金：</w:t>
      </w:r>
      <w:permStart w:id="19" w:edGrp="everyone"/>
      <w:r>
        <w:rPr>
          <w:rFonts w:hint="eastAsia" w:cs="仿宋" w:asciiTheme="minorEastAsia" w:hAnsiTheme="minorEastAsia" w:eastAsiaTheme="minorEastAsia"/>
          <w:szCs w:val="21"/>
        </w:rPr>
        <w:t xml:space="preserve">/ </w:t>
      </w:r>
      <w:permEnd w:id="19"/>
      <w:r>
        <w:rPr>
          <w:rFonts w:hint="eastAsia" w:cs="仿宋" w:asciiTheme="minorEastAsia" w:hAnsiTheme="minorEastAsia" w:eastAsiaTheme="minorEastAsia"/>
          <w:szCs w:val="21"/>
        </w:rPr>
        <w:t>元</w:t>
      </w:r>
      <w:permStart w:id="20" w:edGrp="everyone"/>
      <w:r>
        <w:rPr>
          <w:rFonts w:hint="eastAsia" w:cs="仿宋" w:asciiTheme="minorEastAsia" w:hAnsiTheme="minorEastAsia" w:eastAsiaTheme="minorEastAsia"/>
          <w:szCs w:val="21"/>
        </w:rPr>
        <w:t>，投标保证金转为履约保证金（若投标保证金金额未能达到履约保证金金额，则需在收到中标通知书后2个工作日内增补缴纳）。</w:t>
      </w:r>
      <w:permEnd w:id="20"/>
    </w:p>
    <w:p w14:paraId="6B77273E">
      <w:pPr>
        <w:adjustRightInd w:val="0"/>
        <w:snapToGrid w:val="0"/>
        <w:spacing w:line="500" w:lineRule="exact"/>
        <w:ind w:firstLine="424" w:firstLineChars="202"/>
        <w:rPr>
          <w:rFonts w:cs="仿宋" w:asciiTheme="minorEastAsia" w:hAnsiTheme="minorEastAsia" w:eastAsiaTheme="minorEastAsia"/>
          <w:szCs w:val="21"/>
        </w:rPr>
      </w:pPr>
      <w:r>
        <w:rPr>
          <w:rFonts w:hint="eastAsia" w:cs="仿宋" w:asciiTheme="minorEastAsia" w:hAnsiTheme="minorEastAsia" w:eastAsiaTheme="minorEastAsia"/>
          <w:szCs w:val="21"/>
        </w:rPr>
        <w:t>2、履约保证金的退还（如有）：履约保证金在服务完成并经验收合格后凭收据及甲方签署意见后无息退还。</w:t>
      </w:r>
    </w:p>
    <w:p w14:paraId="411A1FC0">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七、技术情报和资料的保密</w:t>
      </w:r>
    </w:p>
    <w:p w14:paraId="659B1DB7">
      <w:pPr>
        <w:spacing w:line="500" w:lineRule="exact"/>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1、乙方保证投标文件、中标后提供的文件及资料均未侵犯他人的知识产权，否则必须承担由此引起的全部法律责任和经济责任。</w:t>
      </w:r>
    </w:p>
    <w:p w14:paraId="45C8FABE">
      <w:pPr>
        <w:spacing w:line="500" w:lineRule="exact"/>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2、乙方提交的所有投标文件及成果，其所有权均归甲方所有，甲方可任意使用其全部成果。</w:t>
      </w:r>
    </w:p>
    <w:p w14:paraId="0065A1C7">
      <w:pPr>
        <w:spacing w:line="500" w:lineRule="exact"/>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3、在合同履行过程中，甲方、乙方应注意保密。在该项目中取得的有关信息、资料，乙方人员未经甲方同意，不得向不参与该应急处置工程的任何第三方透露及泄露。</w:t>
      </w:r>
    </w:p>
    <w:p w14:paraId="1AD8AB61">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八、其它不可抗力</w:t>
      </w:r>
    </w:p>
    <w:p w14:paraId="160CF5AE">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由于不可抗力造成本合同不能履行的，合同双方均不承担责任，造成任一方损失的，由损失方自理。</w:t>
      </w:r>
    </w:p>
    <w:p w14:paraId="2B7E0305">
      <w:pPr>
        <w:snapToGrid w:val="0"/>
        <w:spacing w:line="500" w:lineRule="exact"/>
        <w:jc w:val="left"/>
        <w:rPr>
          <w:rFonts w:cs="仿宋" w:asciiTheme="minorEastAsia" w:hAnsiTheme="minorEastAsia" w:eastAsiaTheme="minorEastAsia"/>
          <w:b/>
          <w:bCs/>
          <w:szCs w:val="21"/>
        </w:rPr>
      </w:pPr>
      <w:r>
        <w:rPr>
          <w:rFonts w:hint="eastAsia" w:cs="仿宋" w:asciiTheme="minorEastAsia" w:hAnsiTheme="minorEastAsia" w:eastAsiaTheme="minorEastAsia"/>
          <w:b/>
          <w:bCs/>
          <w:szCs w:val="21"/>
        </w:rPr>
        <w:t>九、合同纠纷处理</w:t>
      </w:r>
    </w:p>
    <w:p w14:paraId="3DF0D83E">
      <w:pPr>
        <w:adjustRightInd w:val="0"/>
        <w:snapToGrid w:val="0"/>
        <w:spacing w:line="500" w:lineRule="exact"/>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双方因履行本合同而发生的争议，应协商、调解解决。协商调解不成的，可向常州仲裁委员会申请仲裁。</w:t>
      </w:r>
    </w:p>
    <w:p w14:paraId="49184A36">
      <w:pPr>
        <w:adjustRightInd w:val="0"/>
        <w:snapToGrid w:val="0"/>
        <w:spacing w:line="500" w:lineRule="exact"/>
        <w:ind w:firstLine="426" w:firstLineChars="202"/>
        <w:rPr>
          <w:rFonts w:asciiTheme="minorEastAsia" w:hAnsiTheme="minorEastAsia" w:eastAsiaTheme="minorEastAsia"/>
          <w:bCs/>
          <w:szCs w:val="21"/>
        </w:rPr>
      </w:pPr>
      <w:r>
        <w:rPr>
          <w:rFonts w:hint="eastAsia" w:cs="仿宋" w:asciiTheme="minorEastAsia" w:hAnsiTheme="minorEastAsia" w:eastAsiaTheme="minorEastAsia"/>
          <w:b/>
          <w:bCs/>
          <w:szCs w:val="21"/>
        </w:rPr>
        <w:t>十、</w:t>
      </w:r>
      <w:r>
        <w:rPr>
          <w:rFonts w:asciiTheme="minorEastAsia" w:hAnsiTheme="minorEastAsia" w:eastAsiaTheme="minorEastAsia"/>
          <w:szCs w:val="21"/>
        </w:rPr>
        <w:t>本合同经双方法定代表人签章、双方加盖公章后</w:t>
      </w:r>
      <w:permStart w:id="21" w:edGrp="everyone"/>
      <w:permEnd w:id="21"/>
      <w:r>
        <w:rPr>
          <w:rFonts w:asciiTheme="minorEastAsia" w:hAnsiTheme="minorEastAsia" w:eastAsiaTheme="minorEastAsia"/>
          <w:szCs w:val="21"/>
        </w:rPr>
        <w:t>生效</w:t>
      </w:r>
      <w:r>
        <w:rPr>
          <w:rFonts w:hint="eastAsia" w:hAnsi="宋体"/>
          <w:szCs w:val="21"/>
        </w:rPr>
        <w:t>。</w:t>
      </w:r>
      <w:permStart w:id="22" w:edGrp="everyone"/>
      <w:r>
        <w:rPr>
          <w:rFonts w:hint="eastAsia" w:hAnsi="宋体"/>
          <w:szCs w:val="21"/>
        </w:rPr>
        <w:t>本合同一式伍份，甲方贰份，乙方贰份，代理机构壹份。</w:t>
      </w:r>
      <w:permEnd w:id="22"/>
    </w:p>
    <w:p w14:paraId="4829964E">
      <w:pPr>
        <w:adjustRightInd w:val="0"/>
        <w:snapToGrid w:val="0"/>
        <w:spacing w:line="500" w:lineRule="exact"/>
        <w:ind w:firstLine="424" w:firstLineChars="202"/>
        <w:rPr>
          <w:rFonts w:asciiTheme="minorEastAsia" w:hAnsiTheme="minorEastAsia" w:eastAsiaTheme="minorEastAsia"/>
          <w:bCs/>
          <w:szCs w:val="21"/>
        </w:rPr>
      </w:pPr>
      <w:permStart w:id="23" w:edGrp="everyone"/>
      <w:r>
        <w:rPr>
          <w:rFonts w:hint="eastAsia" w:asciiTheme="minorEastAsia" w:hAnsiTheme="minorEastAsia" w:eastAsiaTheme="minorEastAsia"/>
          <w:bCs/>
          <w:szCs w:val="21"/>
        </w:rPr>
        <w:t>甲方：（盖章）                           乙方：（盖章）</w:t>
      </w:r>
    </w:p>
    <w:p w14:paraId="31E42B8C">
      <w:pPr>
        <w:spacing w:line="500" w:lineRule="exact"/>
        <w:ind w:left="424" w:leftChars="202"/>
        <w:rPr>
          <w:rFonts w:asciiTheme="minorEastAsia" w:hAnsiTheme="minorEastAsia" w:eastAsiaTheme="minorEastAsia"/>
          <w:bCs/>
          <w:szCs w:val="21"/>
        </w:rPr>
      </w:pPr>
      <w:r>
        <w:rPr>
          <w:rFonts w:hint="eastAsia" w:asciiTheme="minorEastAsia" w:hAnsiTheme="minorEastAsia" w:eastAsiaTheme="minorEastAsia"/>
          <w:bCs/>
          <w:szCs w:val="21"/>
        </w:rPr>
        <w:t>法定代表人或其委托代理人：              法定代表人或其委托代理人：</w:t>
      </w:r>
    </w:p>
    <w:p w14:paraId="5F222F84">
      <w:pPr>
        <w:spacing w:line="500" w:lineRule="exact"/>
        <w:ind w:left="424" w:leftChars="202"/>
        <w:rPr>
          <w:rFonts w:asciiTheme="minorEastAsia" w:hAnsiTheme="minorEastAsia" w:eastAsiaTheme="minorEastAsia"/>
          <w:bCs/>
          <w:szCs w:val="21"/>
        </w:rPr>
      </w:pPr>
      <w:r>
        <w:rPr>
          <w:rFonts w:asciiTheme="minorEastAsia" w:hAnsiTheme="minorEastAsia" w:eastAsiaTheme="minorEastAsia"/>
          <w:bCs/>
          <w:szCs w:val="21"/>
        </w:rPr>
        <w:t>(</w:t>
      </w:r>
      <w:r>
        <w:rPr>
          <w:rFonts w:hint="eastAsia" w:asciiTheme="minorEastAsia" w:hAnsiTheme="minorEastAsia" w:eastAsiaTheme="minorEastAsia"/>
          <w:bCs/>
          <w:szCs w:val="21"/>
        </w:rPr>
        <w:t>签字或盖章</w:t>
      </w:r>
      <w:r>
        <w:rPr>
          <w:rFonts w:asciiTheme="minorEastAsia" w:hAnsiTheme="minorEastAsia" w:eastAsiaTheme="minorEastAsia"/>
          <w:bCs/>
          <w:szCs w:val="21"/>
        </w:rPr>
        <w:t xml:space="preserve">)  </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w:t>
      </w:r>
      <w:r>
        <w:rPr>
          <w:rFonts w:hint="eastAsia" w:asciiTheme="minorEastAsia" w:hAnsiTheme="minorEastAsia" w:eastAsiaTheme="minorEastAsia"/>
          <w:bCs/>
          <w:szCs w:val="21"/>
        </w:rPr>
        <w:t>签字或盖章</w:t>
      </w:r>
      <w:r>
        <w:rPr>
          <w:rFonts w:asciiTheme="minorEastAsia" w:hAnsiTheme="minorEastAsia" w:eastAsiaTheme="minorEastAsia"/>
          <w:bCs/>
          <w:szCs w:val="21"/>
        </w:rPr>
        <w:t>)</w:t>
      </w:r>
    </w:p>
    <w:p w14:paraId="14229C45">
      <w:pPr>
        <w:spacing w:line="500" w:lineRule="exact"/>
        <w:ind w:left="424" w:leftChars="202"/>
        <w:rPr>
          <w:rFonts w:asciiTheme="minorEastAsia" w:hAnsiTheme="minorEastAsia" w:eastAsiaTheme="minorEastAsia"/>
          <w:bCs/>
          <w:szCs w:val="21"/>
        </w:rPr>
      </w:pPr>
      <w:r>
        <w:rPr>
          <w:rFonts w:hint="eastAsia" w:asciiTheme="minorEastAsia" w:hAnsiTheme="minorEastAsia" w:eastAsiaTheme="minorEastAsia"/>
          <w:bCs/>
          <w:szCs w:val="21"/>
        </w:rPr>
        <w:t xml:space="preserve">纳税人识别号：                          纳税人识别号：                  </w:t>
      </w:r>
    </w:p>
    <w:p w14:paraId="5CEC0B57">
      <w:pPr>
        <w:spacing w:line="500" w:lineRule="exact"/>
        <w:ind w:left="424" w:leftChars="202"/>
        <w:rPr>
          <w:rFonts w:asciiTheme="minorEastAsia" w:hAnsiTheme="minorEastAsia" w:eastAsiaTheme="minorEastAsia"/>
          <w:bCs/>
          <w:szCs w:val="21"/>
        </w:rPr>
      </w:pPr>
      <w:r>
        <w:rPr>
          <w:rFonts w:hint="eastAsia" w:asciiTheme="minorEastAsia" w:hAnsiTheme="minorEastAsia" w:eastAsiaTheme="minorEastAsia"/>
          <w:bCs/>
          <w:szCs w:val="21"/>
        </w:rPr>
        <w:t xml:space="preserve">开户银行：                              开户银行：           </w:t>
      </w:r>
    </w:p>
    <w:p w14:paraId="3B6F9C97">
      <w:pPr>
        <w:spacing w:line="500" w:lineRule="exact"/>
        <w:ind w:left="424" w:leftChars="202"/>
        <w:rPr>
          <w:rFonts w:asciiTheme="minorEastAsia" w:hAnsiTheme="minorEastAsia" w:eastAsiaTheme="minorEastAsia"/>
          <w:bCs/>
          <w:szCs w:val="21"/>
        </w:rPr>
      </w:pPr>
      <w:r>
        <w:rPr>
          <w:rFonts w:hint="eastAsia" w:asciiTheme="minorEastAsia" w:hAnsiTheme="minorEastAsia" w:eastAsiaTheme="minorEastAsia"/>
          <w:bCs/>
          <w:szCs w:val="21"/>
        </w:rPr>
        <w:t>账　　号：                              账    号：</w:t>
      </w:r>
    </w:p>
    <w:p w14:paraId="75C33414">
      <w:pPr>
        <w:spacing w:line="500" w:lineRule="exact"/>
        <w:ind w:firstLine="424" w:firstLineChars="202"/>
        <w:rPr>
          <w:rFonts w:asciiTheme="minorEastAsia" w:hAnsiTheme="minorEastAsia" w:eastAsiaTheme="minorEastAsia"/>
          <w:bCs/>
          <w:szCs w:val="21"/>
        </w:rPr>
      </w:pPr>
      <w:r>
        <w:rPr>
          <w:rFonts w:hint="eastAsia" w:asciiTheme="minorEastAsia" w:hAnsiTheme="minorEastAsia" w:eastAsiaTheme="minorEastAsia"/>
          <w:bCs/>
          <w:szCs w:val="21"/>
        </w:rPr>
        <w:t>签约日期：2026</w:t>
      </w:r>
      <w:r>
        <w:rPr>
          <w:rFonts w:asciiTheme="minorEastAsia" w:hAnsiTheme="minorEastAsia" w:eastAsiaTheme="minorEastAsia"/>
          <w:bCs/>
          <w:szCs w:val="21"/>
        </w:rPr>
        <w:t>年</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 xml:space="preserve">月  </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日</w:t>
      </w:r>
      <w:r>
        <w:rPr>
          <w:rFonts w:hint="eastAsia" w:asciiTheme="minorEastAsia" w:hAnsiTheme="minorEastAsia" w:eastAsiaTheme="minorEastAsia"/>
          <w:bCs/>
          <w:szCs w:val="21"/>
        </w:rPr>
        <w:t xml:space="preserve">            签约日期：2026</w:t>
      </w:r>
      <w:r>
        <w:rPr>
          <w:rFonts w:asciiTheme="minorEastAsia" w:hAnsiTheme="minorEastAsia" w:eastAsiaTheme="minorEastAsia"/>
          <w:bCs/>
          <w:szCs w:val="21"/>
        </w:rPr>
        <w:t>年</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 xml:space="preserve">月 </w:t>
      </w:r>
      <w:r>
        <w:rPr>
          <w:rFonts w:hint="eastAsia" w:asciiTheme="minorEastAsia" w:hAnsiTheme="minorEastAsia" w:eastAsiaTheme="minorEastAsia"/>
          <w:bCs/>
          <w:szCs w:val="21"/>
        </w:rPr>
        <w:t xml:space="preserve">  </w:t>
      </w:r>
      <w:r>
        <w:rPr>
          <w:rFonts w:asciiTheme="minorEastAsia" w:hAnsiTheme="minorEastAsia" w:eastAsiaTheme="minorEastAsia"/>
          <w:bCs/>
          <w:szCs w:val="21"/>
        </w:rPr>
        <w:t xml:space="preserve"> 日</w:t>
      </w:r>
    </w:p>
    <w:p w14:paraId="21E53284">
      <w:pPr>
        <w:pStyle w:val="2"/>
        <w:rPr>
          <w:rFonts w:asciiTheme="minorEastAsia" w:hAnsiTheme="minorEastAsia" w:eastAsiaTheme="minorEastAsia"/>
          <w:bCs/>
          <w:szCs w:val="21"/>
        </w:rPr>
      </w:pPr>
    </w:p>
    <w:p w14:paraId="63E9332F">
      <w:pPr>
        <w:pageBreakBefore/>
        <w:widowControl/>
        <w:spacing w:line="360" w:lineRule="auto"/>
        <w:jc w:val="center"/>
        <w:rPr>
          <w:rFonts w:ascii="宋体" w:hAnsi="宋体" w:cs="宋体"/>
          <w:b/>
          <w:bCs/>
          <w:kern w:val="0"/>
          <w:sz w:val="36"/>
          <w:szCs w:val="36"/>
          <w:lang w:bidi="ar"/>
        </w:rPr>
      </w:pPr>
      <w:r>
        <w:rPr>
          <w:rFonts w:hint="eastAsia" w:ascii="宋体" w:hAnsi="宋体" w:cs="宋体"/>
          <w:b/>
          <w:bCs/>
          <w:kern w:val="0"/>
          <w:sz w:val="36"/>
          <w:szCs w:val="36"/>
          <w:lang w:bidi="ar"/>
        </w:rPr>
        <w:t>常隆（华达、常宇）公司原厂址地块污染防控工程</w:t>
      </w:r>
    </w:p>
    <w:p w14:paraId="4A5D1CD9">
      <w:pPr>
        <w:widowControl/>
        <w:spacing w:line="360" w:lineRule="auto"/>
        <w:jc w:val="center"/>
        <w:rPr>
          <w:rFonts w:ascii="宋体" w:hAnsi="宋体" w:cs="宋体"/>
          <w:b/>
          <w:bCs/>
          <w:color w:val="000000" w:themeColor="text1"/>
          <w:kern w:val="0"/>
          <w:sz w:val="24"/>
          <w:szCs w:val="24"/>
          <w:lang w:bidi="ar"/>
        </w:rPr>
      </w:pPr>
      <w:r>
        <w:rPr>
          <w:rFonts w:hint="eastAsia" w:ascii="宋体" w:hAnsi="宋体" w:cs="宋体"/>
          <w:b/>
          <w:bCs/>
          <w:kern w:val="0"/>
          <w:sz w:val="36"/>
          <w:szCs w:val="36"/>
          <w:lang w:bidi="ar"/>
        </w:rPr>
        <w:t>全流程技术咨询服务项目考核办法（试</w:t>
      </w:r>
      <w:r>
        <w:rPr>
          <w:rFonts w:hint="eastAsia" w:ascii="宋体" w:hAnsi="宋体" w:cs="宋体"/>
          <w:b/>
          <w:bCs/>
          <w:color w:val="000000" w:themeColor="text1"/>
          <w:kern w:val="0"/>
          <w:sz w:val="36"/>
          <w:szCs w:val="36"/>
          <w:lang w:bidi="ar"/>
        </w:rPr>
        <w:t>行）</w:t>
      </w:r>
    </w:p>
    <w:p w14:paraId="29315A4C">
      <w:pPr>
        <w:widowControl/>
        <w:ind w:firstLine="440" w:firstLineChars="200"/>
        <w:jc w:val="left"/>
        <w:rPr>
          <w:rFonts w:ascii="宋体" w:hAnsi="宋体" w:cs="宋体"/>
          <w:color w:val="000000" w:themeColor="text1"/>
          <w:sz w:val="22"/>
        </w:rPr>
      </w:pPr>
      <w:r>
        <w:rPr>
          <w:rFonts w:hint="eastAsia" w:ascii="宋体" w:hAnsi="宋体" w:cs="宋体"/>
          <w:color w:val="000000" w:themeColor="text1"/>
          <w:sz w:val="22"/>
        </w:rPr>
        <w:t>第一条 为规范我公司对</w:t>
      </w:r>
      <w:r>
        <w:rPr>
          <w:rFonts w:hint="eastAsia" w:ascii="宋体" w:hAnsi="宋体" w:cs="宋体"/>
          <w:color w:val="000000" w:themeColor="text1"/>
          <w:kern w:val="0"/>
          <w:sz w:val="22"/>
          <w:lang w:bidi="ar"/>
        </w:rPr>
        <w:t>承包方关于</w:t>
      </w:r>
      <w:r>
        <w:rPr>
          <w:rFonts w:hint="eastAsia" w:ascii="宋体" w:hAnsi="宋体" w:cs="宋体"/>
          <w:color w:val="000000" w:themeColor="text1"/>
          <w:sz w:val="22"/>
        </w:rPr>
        <w:t>常隆（华达、常宇）公司原厂址地块污染防控工程年度全流程技术咨询服务项目的管理，提高年度咨询服务质量，加强项目管理，特制定本考核办法（试行）。</w:t>
      </w:r>
    </w:p>
    <w:p w14:paraId="49B6FCDA">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第二条 本规定所称环保咨询服务机构，是指具有法人资格且具备环保技术咨询服务业务能力的单位，以下简称承包方。</w:t>
      </w:r>
    </w:p>
    <w:p w14:paraId="09890971">
      <w:pPr>
        <w:widowControl/>
        <w:ind w:firstLine="440" w:firstLineChars="200"/>
        <w:jc w:val="left"/>
        <w:rPr>
          <w:rFonts w:ascii="宋体" w:hAnsi="宋体" w:cs="宋体"/>
          <w:color w:val="000000" w:themeColor="text1"/>
          <w:sz w:val="22"/>
        </w:rPr>
      </w:pPr>
      <w:r>
        <w:rPr>
          <w:rFonts w:hint="eastAsia" w:ascii="宋体" w:hAnsi="宋体" w:cs="宋体"/>
          <w:color w:val="000000" w:themeColor="text1"/>
          <w:sz w:val="22"/>
        </w:rPr>
        <w:t xml:space="preserve">第三条 </w:t>
      </w:r>
      <w:r>
        <w:rPr>
          <w:rFonts w:hint="eastAsia" w:ascii="宋体" w:hAnsi="宋体" w:cs="宋体"/>
          <w:color w:val="000000" w:themeColor="text1"/>
          <w:kern w:val="0"/>
          <w:sz w:val="22"/>
          <w:lang w:bidi="ar"/>
        </w:rPr>
        <w:t>承包方</w:t>
      </w:r>
      <w:r>
        <w:rPr>
          <w:rFonts w:hint="eastAsia" w:ascii="宋体" w:hAnsi="宋体" w:cs="宋体"/>
          <w:color w:val="000000" w:themeColor="text1"/>
          <w:sz w:val="22"/>
        </w:rPr>
        <w:t>应履行以下职责：</w:t>
      </w:r>
    </w:p>
    <w:p w14:paraId="66B85C91">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（一）按照签订的技术服务合同开展咨询服务工作，在规定时间内按合同要求完成所有工作，并提供符合要求的工作成果。</w:t>
      </w:r>
    </w:p>
    <w:p w14:paraId="43F50CFC">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（二）配合好甲方做好常隆（华达、常宇）公司原厂址地块</w:t>
      </w:r>
      <w:r>
        <w:rPr>
          <w:rFonts w:hint="eastAsia" w:ascii="宋体" w:hAnsi="宋体" w:cs="宋体"/>
          <w:color w:val="000000" w:themeColor="text1"/>
          <w:kern w:val="0"/>
          <w:sz w:val="22"/>
        </w:rPr>
        <w:t>污染防控环境领域问题的解答等咨询服务工作。</w:t>
      </w:r>
    </w:p>
    <w:p w14:paraId="43EEECCA">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 xml:space="preserve">第四条 承包方应配合我公司开展考核工作，主要有以下考核方式方法，内容如下： </w:t>
      </w:r>
    </w:p>
    <w:p w14:paraId="4FEB49DD">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（一）结合甲方需求，对常隆（华达、常宇）公司原厂址地块</w:t>
      </w:r>
      <w:r>
        <w:rPr>
          <w:rFonts w:hint="eastAsia" w:ascii="宋体" w:hAnsi="宋体" w:cs="宋体"/>
          <w:color w:val="000000" w:themeColor="text1"/>
          <w:kern w:val="0"/>
          <w:sz w:val="22"/>
        </w:rPr>
        <w:t>污染防控工作提供技术咨询服务</w:t>
      </w:r>
      <w:r>
        <w:rPr>
          <w:rFonts w:hint="eastAsia" w:ascii="宋体" w:hAnsi="宋体" w:cs="宋体"/>
          <w:color w:val="000000" w:themeColor="text1"/>
          <w:sz w:val="22"/>
        </w:rPr>
        <w:t>，对</w:t>
      </w:r>
      <w:r>
        <w:rPr>
          <w:rFonts w:hint="eastAsia" w:ascii="宋体" w:hAnsi="宋体" w:cs="宋体"/>
          <w:color w:val="000000" w:themeColor="text1"/>
          <w:kern w:val="0"/>
          <w:sz w:val="22"/>
        </w:rPr>
        <w:t>技术咨询服务效果</w:t>
      </w:r>
      <w:r>
        <w:rPr>
          <w:rFonts w:hint="eastAsia" w:ascii="宋体" w:hAnsi="宋体" w:cs="宋体"/>
          <w:color w:val="000000" w:themeColor="text1"/>
          <w:sz w:val="22"/>
        </w:rPr>
        <w:t xml:space="preserve">进行考核； </w:t>
      </w:r>
    </w:p>
    <w:p w14:paraId="247CED3B">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（二）对负责的各项报告成果质量及时效性进行考核；</w:t>
      </w:r>
    </w:p>
    <w:p w14:paraId="759C47A1">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（三）对项目开展过程中其他服务的质量进行考核。</w:t>
      </w:r>
    </w:p>
    <w:p w14:paraId="1C6337DD">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第五条 以100分制进行考核，考核加分、扣分情形如下：</w:t>
      </w:r>
    </w:p>
    <w:p w14:paraId="2F3705C5">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（一）承包方对常隆（华达、常宇）公司原厂址地块</w:t>
      </w:r>
      <w:r>
        <w:rPr>
          <w:rFonts w:hint="eastAsia" w:ascii="宋体" w:hAnsi="宋体" w:cs="宋体"/>
          <w:color w:val="000000" w:themeColor="text1"/>
          <w:kern w:val="0"/>
          <w:sz w:val="22"/>
        </w:rPr>
        <w:t>污染防控工作向甲方提供的技术咨询服务，承包方服务不积极的，甲方</w:t>
      </w:r>
      <w:r>
        <w:rPr>
          <w:rFonts w:hint="eastAsia" w:ascii="宋体" w:hAnsi="宋体" w:cs="宋体"/>
          <w:color w:val="000000" w:themeColor="text1"/>
          <w:sz w:val="22"/>
        </w:rPr>
        <w:t xml:space="preserve">每发现1次扣0.5分，服务满意的则每次相应加0.5分，本项最高加分或扣分不超过5分。 </w:t>
      </w:r>
    </w:p>
    <w:p w14:paraId="4BB5DE48">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（二）承包方提交的各项报告成果，</w:t>
      </w:r>
      <w:r>
        <w:rPr>
          <w:rFonts w:hint="eastAsia" w:ascii="宋体" w:hAnsi="宋体" w:cs="宋体"/>
          <w:sz w:val="22"/>
        </w:rPr>
        <w:t>因承包方原因</w:t>
      </w:r>
      <w:r>
        <w:rPr>
          <w:rFonts w:hint="eastAsia" w:ascii="宋体" w:hAnsi="宋体" w:cs="宋体"/>
          <w:color w:val="000000" w:themeColor="text1"/>
          <w:sz w:val="22"/>
        </w:rPr>
        <w:t>被区级及以上生态环境部门点名批评的，每发现一次，扣1分；报告获得区级及以上生态环境部门表扬的，每发现一次，相应加1分，本项最高加分或扣分不超过10分。</w:t>
      </w:r>
    </w:p>
    <w:p w14:paraId="6F49CF88">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 xml:space="preserve">（三）承包方提交的各项报告成果，按照合同规定时间要求每延迟5天提交报告成果的，扣1分；按照合同规定时间要求，若每提前2天提交报告成果的，相应加1分，本项最高加分或扣分不超过5分。 </w:t>
      </w:r>
    </w:p>
    <w:p w14:paraId="67E2F2DF">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（四）委托方开展例会汇报制度，无故缺席的，缺席1次扣0.5分，本项扣分最高分数不超过具体召开例会实际次数。</w:t>
      </w:r>
    </w:p>
    <w:p w14:paraId="3268B493">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（五）服务过程中受到书面表扬或嘉奖的一次加1分。</w:t>
      </w:r>
    </w:p>
    <w:p w14:paraId="01745862">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（六）积极采纳委托方对项目提出的合理化建议的，一次加1分。</w:t>
      </w:r>
    </w:p>
    <w:p w14:paraId="44B6D791">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（七）其他情形由委托方与承包方会商确定。</w:t>
      </w:r>
    </w:p>
    <w:p w14:paraId="1E184660">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第六条 我公司进行年度考核，根据考核情况每年对承包方进行评价，由项目经理召集委托方工程部等相关部门对承包方一年来项目情况进行反馈，由项目经理汇总反馈情况，填写承包方能力评审表，最终确定承包方全年得分。</w:t>
      </w:r>
    </w:p>
    <w:p w14:paraId="46F3F4C9">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第七条 具体考核标准为：总分达90分及以上为考核合格，根据合同相关约定，可继续履行下一年合同。</w:t>
      </w:r>
    </w:p>
    <w:p w14:paraId="0B63B2EB">
      <w:pPr>
        <w:spacing w:line="360" w:lineRule="auto"/>
        <w:ind w:firstLine="440" w:firstLineChars="200"/>
        <w:rPr>
          <w:rFonts w:ascii="宋体" w:hAnsi="宋体" w:cs="宋体"/>
          <w:color w:val="000000" w:themeColor="text1"/>
          <w:sz w:val="22"/>
        </w:rPr>
      </w:pPr>
      <w:r>
        <w:rPr>
          <w:rFonts w:hint="eastAsia" w:ascii="宋体" w:hAnsi="宋体" w:cs="宋体"/>
          <w:color w:val="000000" w:themeColor="text1"/>
          <w:sz w:val="22"/>
        </w:rPr>
        <w:t>第八条 本规定自合同签订之日起施行。</w:t>
      </w:r>
    </w:p>
    <w:p w14:paraId="36B211C7">
      <w:pPr>
        <w:spacing w:line="360" w:lineRule="auto"/>
        <w:ind w:firstLine="480" w:firstLineChars="200"/>
        <w:rPr>
          <w:rFonts w:ascii="宋体" w:hAnsi="宋体" w:cs="宋体"/>
          <w:color w:val="000000" w:themeColor="text1"/>
          <w:sz w:val="24"/>
          <w:szCs w:val="24"/>
        </w:rPr>
      </w:pPr>
    </w:p>
    <w:p w14:paraId="5252F025">
      <w:pPr>
        <w:spacing w:line="360" w:lineRule="auto"/>
        <w:ind w:firstLine="480" w:firstLineChars="200"/>
        <w:rPr>
          <w:rFonts w:ascii="宋体" w:hAnsi="宋体" w:cs="宋体"/>
          <w:color w:val="000000" w:themeColor="text1"/>
          <w:sz w:val="24"/>
          <w:szCs w:val="24"/>
        </w:rPr>
      </w:pPr>
    </w:p>
    <w:p w14:paraId="2E3FCF32">
      <w:pPr>
        <w:jc w:val="center"/>
        <w:rPr>
          <w:rFonts w:ascii="宋体" w:hAnsi="宋体" w:cs="宋体"/>
          <w:b/>
          <w:color w:val="000000" w:themeColor="text1"/>
          <w:sz w:val="24"/>
          <w:szCs w:val="24"/>
        </w:rPr>
      </w:pPr>
      <w:r>
        <w:rPr>
          <w:rFonts w:hint="eastAsia" w:ascii="宋体" w:hAnsi="宋体" w:cs="宋体"/>
          <w:b/>
          <w:color w:val="000000" w:themeColor="text1"/>
          <w:sz w:val="24"/>
          <w:szCs w:val="24"/>
        </w:rPr>
        <w:br w:type="page"/>
      </w:r>
      <w:bookmarkStart w:id="0" w:name="_Hlk130475400"/>
      <w:r>
        <w:rPr>
          <w:rFonts w:hint="eastAsia" w:ascii="宋体" w:hAnsi="宋体" w:cs="宋体"/>
          <w:b/>
          <w:sz w:val="36"/>
          <w:szCs w:val="36"/>
        </w:rPr>
        <w:t>常隆（华达、常宇）公司原厂址地块污染防控工程全流程技术咨询服务项目考核评分表</w:t>
      </w:r>
    </w:p>
    <w:tbl>
      <w:tblPr>
        <w:tblStyle w:val="7"/>
        <w:tblW w:w="52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1212"/>
        <w:gridCol w:w="4593"/>
        <w:gridCol w:w="865"/>
        <w:gridCol w:w="431"/>
        <w:gridCol w:w="436"/>
        <w:gridCol w:w="843"/>
      </w:tblGrid>
      <w:tr w14:paraId="0C26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2C401A0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序号</w:t>
            </w:r>
          </w:p>
        </w:tc>
        <w:tc>
          <w:tcPr>
            <w:tcW w:w="681" w:type="pct"/>
            <w:noWrap/>
            <w:vAlign w:val="center"/>
          </w:tcPr>
          <w:p w14:paraId="124B244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考核内容</w:t>
            </w:r>
          </w:p>
        </w:tc>
        <w:tc>
          <w:tcPr>
            <w:tcW w:w="2581" w:type="pct"/>
            <w:noWrap/>
            <w:vAlign w:val="center"/>
          </w:tcPr>
          <w:p w14:paraId="66F422CB">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评价标准</w:t>
            </w:r>
          </w:p>
        </w:tc>
        <w:tc>
          <w:tcPr>
            <w:tcW w:w="486" w:type="pct"/>
            <w:noWrap/>
            <w:vAlign w:val="center"/>
          </w:tcPr>
          <w:p w14:paraId="174C6979">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得分上下限（正负）</w:t>
            </w:r>
          </w:p>
        </w:tc>
        <w:tc>
          <w:tcPr>
            <w:tcW w:w="242" w:type="pct"/>
            <w:noWrap/>
            <w:vAlign w:val="center"/>
          </w:tcPr>
          <w:p w14:paraId="47E6CC49">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加分</w:t>
            </w:r>
          </w:p>
        </w:tc>
        <w:tc>
          <w:tcPr>
            <w:tcW w:w="245" w:type="pct"/>
            <w:noWrap/>
            <w:vAlign w:val="center"/>
          </w:tcPr>
          <w:p w14:paraId="3654A3F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扣分</w:t>
            </w:r>
          </w:p>
        </w:tc>
        <w:tc>
          <w:tcPr>
            <w:tcW w:w="474" w:type="pct"/>
            <w:noWrap/>
            <w:vAlign w:val="center"/>
          </w:tcPr>
          <w:p w14:paraId="6640DC2C">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实得分</w:t>
            </w:r>
          </w:p>
        </w:tc>
      </w:tr>
      <w:tr w14:paraId="52A7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5835B3AA">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1</w:t>
            </w:r>
          </w:p>
        </w:tc>
        <w:tc>
          <w:tcPr>
            <w:tcW w:w="681" w:type="pct"/>
            <w:noWrap/>
            <w:vAlign w:val="center"/>
          </w:tcPr>
          <w:p w14:paraId="63C792DB">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承包方服务积极性评价</w:t>
            </w:r>
          </w:p>
        </w:tc>
        <w:tc>
          <w:tcPr>
            <w:tcW w:w="2581" w:type="pct"/>
            <w:noWrap/>
            <w:vAlign w:val="center"/>
          </w:tcPr>
          <w:p w14:paraId="2D1075E9">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承包方服务不积极的，甲方每发现1次扣0.5分，服务满意的则每次相应加0.5分，本项最高加分或扣分不超过5分。</w:t>
            </w:r>
          </w:p>
        </w:tc>
        <w:tc>
          <w:tcPr>
            <w:tcW w:w="486" w:type="pct"/>
            <w:noWrap/>
            <w:vAlign w:val="center"/>
          </w:tcPr>
          <w:p w14:paraId="33760EA0">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5分</w:t>
            </w:r>
          </w:p>
        </w:tc>
        <w:tc>
          <w:tcPr>
            <w:tcW w:w="242" w:type="pct"/>
            <w:noWrap/>
            <w:vAlign w:val="center"/>
          </w:tcPr>
          <w:p w14:paraId="224D9BC0">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7DC8606E">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1D52517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0E6E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3AB1BA0E">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2</w:t>
            </w:r>
          </w:p>
        </w:tc>
        <w:tc>
          <w:tcPr>
            <w:tcW w:w="681" w:type="pct"/>
            <w:noWrap/>
            <w:vAlign w:val="center"/>
          </w:tcPr>
          <w:p w14:paraId="6E49EA27">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报告成果水平评价</w:t>
            </w:r>
          </w:p>
        </w:tc>
        <w:tc>
          <w:tcPr>
            <w:tcW w:w="2581" w:type="pct"/>
            <w:noWrap/>
            <w:vAlign w:val="center"/>
          </w:tcPr>
          <w:p w14:paraId="4D1C67FC">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sz w:val="24"/>
                <w:szCs w:val="24"/>
              </w:rPr>
              <w:t>因承包方原因</w:t>
            </w:r>
            <w:r>
              <w:rPr>
                <w:rFonts w:hint="eastAsia" w:ascii="宋体" w:hAnsi="宋体" w:cs="宋体"/>
                <w:color w:val="000000" w:themeColor="text1"/>
                <w:sz w:val="24"/>
                <w:szCs w:val="24"/>
              </w:rPr>
              <w:t>被区级及以上生态环境部门点名批评的，每发现一次，扣1分；报告获得区级及以上生态环境部门表扬的，每发现一次，相应加1分。</w:t>
            </w:r>
          </w:p>
        </w:tc>
        <w:tc>
          <w:tcPr>
            <w:tcW w:w="486" w:type="pct"/>
            <w:noWrap/>
            <w:vAlign w:val="center"/>
          </w:tcPr>
          <w:p w14:paraId="0196DE7B">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10分</w:t>
            </w:r>
          </w:p>
        </w:tc>
        <w:tc>
          <w:tcPr>
            <w:tcW w:w="242" w:type="pct"/>
            <w:noWrap/>
            <w:vAlign w:val="center"/>
          </w:tcPr>
          <w:p w14:paraId="7C44D64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6CEB2B6B">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4ABF3E9B">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1A93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6C07A314">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3</w:t>
            </w:r>
          </w:p>
        </w:tc>
        <w:tc>
          <w:tcPr>
            <w:tcW w:w="681" w:type="pct"/>
            <w:noWrap/>
            <w:vAlign w:val="center"/>
          </w:tcPr>
          <w:p w14:paraId="327FD17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成果完成时间评价</w:t>
            </w:r>
          </w:p>
        </w:tc>
        <w:tc>
          <w:tcPr>
            <w:tcW w:w="2581" w:type="pct"/>
            <w:noWrap/>
            <w:vAlign w:val="center"/>
          </w:tcPr>
          <w:p w14:paraId="07606654">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按照合同规定时间要求每延迟5天提交报告成果的，扣1分；按照合同规定时间要求，若每提前2天提交报告成果的，相应加1分。</w:t>
            </w:r>
          </w:p>
        </w:tc>
        <w:tc>
          <w:tcPr>
            <w:tcW w:w="486" w:type="pct"/>
            <w:noWrap/>
            <w:vAlign w:val="center"/>
          </w:tcPr>
          <w:p w14:paraId="5684ACF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5分</w:t>
            </w:r>
          </w:p>
        </w:tc>
        <w:tc>
          <w:tcPr>
            <w:tcW w:w="242" w:type="pct"/>
            <w:noWrap/>
            <w:vAlign w:val="center"/>
          </w:tcPr>
          <w:p w14:paraId="46D21BB9">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70D88004">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7FA93F20">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0B52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2EBCBED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4</w:t>
            </w:r>
          </w:p>
        </w:tc>
        <w:tc>
          <w:tcPr>
            <w:tcW w:w="681" w:type="pct"/>
            <w:noWrap/>
            <w:vAlign w:val="center"/>
          </w:tcPr>
          <w:p w14:paraId="1275856F">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例会汇报参会情况</w:t>
            </w:r>
          </w:p>
        </w:tc>
        <w:tc>
          <w:tcPr>
            <w:tcW w:w="2581" w:type="pct"/>
            <w:noWrap/>
            <w:vAlign w:val="center"/>
          </w:tcPr>
          <w:p w14:paraId="77D94F4B">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无故缺席的，缺席1次扣0.5分，本项扣分最高分数不超过具体召开例会实际次数。</w:t>
            </w:r>
          </w:p>
        </w:tc>
        <w:tc>
          <w:tcPr>
            <w:tcW w:w="486" w:type="pct"/>
            <w:noWrap/>
            <w:vAlign w:val="center"/>
          </w:tcPr>
          <w:p w14:paraId="47E26FEF">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2" w:type="pct"/>
            <w:noWrap/>
            <w:vAlign w:val="center"/>
          </w:tcPr>
          <w:p w14:paraId="66D89C07">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26C9A75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4C18011A">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3B06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074B2C4F">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5</w:t>
            </w:r>
          </w:p>
        </w:tc>
        <w:tc>
          <w:tcPr>
            <w:tcW w:w="681" w:type="pct"/>
            <w:noWrap/>
            <w:vAlign w:val="center"/>
          </w:tcPr>
          <w:p w14:paraId="67298AE7">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嘉奖情况评价</w:t>
            </w:r>
          </w:p>
        </w:tc>
        <w:tc>
          <w:tcPr>
            <w:tcW w:w="2581" w:type="pct"/>
            <w:noWrap/>
            <w:vAlign w:val="center"/>
          </w:tcPr>
          <w:p w14:paraId="4376F843">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服务过程中受到书面表扬或嘉奖的一次加1分。</w:t>
            </w:r>
          </w:p>
        </w:tc>
        <w:tc>
          <w:tcPr>
            <w:tcW w:w="486" w:type="pct"/>
            <w:noWrap/>
            <w:vAlign w:val="center"/>
          </w:tcPr>
          <w:p w14:paraId="6E79F5D9">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w:t>
            </w:r>
          </w:p>
        </w:tc>
        <w:tc>
          <w:tcPr>
            <w:tcW w:w="242" w:type="pct"/>
            <w:noWrap/>
            <w:vAlign w:val="center"/>
          </w:tcPr>
          <w:p w14:paraId="6422AE4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3E84F75F">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3FD576C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07E73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480AEDF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6</w:t>
            </w:r>
          </w:p>
        </w:tc>
        <w:tc>
          <w:tcPr>
            <w:tcW w:w="681" w:type="pct"/>
            <w:noWrap/>
            <w:vAlign w:val="center"/>
          </w:tcPr>
          <w:p w14:paraId="47453F0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接收意见响应情况</w:t>
            </w:r>
          </w:p>
        </w:tc>
        <w:tc>
          <w:tcPr>
            <w:tcW w:w="2581" w:type="pct"/>
            <w:noWrap/>
            <w:vAlign w:val="center"/>
          </w:tcPr>
          <w:p w14:paraId="602EF211">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color w:val="000000" w:themeColor="text1"/>
                <w:sz w:val="24"/>
                <w:szCs w:val="24"/>
              </w:rPr>
              <w:t>积极采纳委托方对项目提出的合理化建议的，一次加1分。</w:t>
            </w:r>
          </w:p>
        </w:tc>
        <w:tc>
          <w:tcPr>
            <w:tcW w:w="486" w:type="pct"/>
            <w:noWrap/>
            <w:vAlign w:val="center"/>
          </w:tcPr>
          <w:p w14:paraId="5A0E493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w:t>
            </w:r>
          </w:p>
        </w:tc>
        <w:tc>
          <w:tcPr>
            <w:tcW w:w="242" w:type="pct"/>
            <w:noWrap/>
            <w:vAlign w:val="center"/>
          </w:tcPr>
          <w:p w14:paraId="7A7CB9DE">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2720475E">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7BFA3770">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77125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675CD85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7</w:t>
            </w:r>
          </w:p>
        </w:tc>
        <w:tc>
          <w:tcPr>
            <w:tcW w:w="681" w:type="pct"/>
            <w:noWrap/>
            <w:vAlign w:val="center"/>
          </w:tcPr>
          <w:p w14:paraId="4AC55AD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其他情形</w:t>
            </w:r>
          </w:p>
        </w:tc>
        <w:tc>
          <w:tcPr>
            <w:tcW w:w="2581" w:type="pct"/>
            <w:noWrap/>
            <w:vAlign w:val="center"/>
          </w:tcPr>
          <w:p w14:paraId="294A53AB">
            <w:pPr>
              <w:overflowPunct w:val="0"/>
              <w:autoSpaceDE w:val="0"/>
              <w:autoSpaceDN w:val="0"/>
              <w:adjustRightInd w:val="0"/>
              <w:spacing w:line="360" w:lineRule="exact"/>
              <w:jc w:val="left"/>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其他情形由委托方与承包方会商确定</w:t>
            </w:r>
          </w:p>
        </w:tc>
        <w:tc>
          <w:tcPr>
            <w:tcW w:w="486" w:type="pct"/>
            <w:noWrap/>
            <w:vAlign w:val="center"/>
          </w:tcPr>
          <w:p w14:paraId="0BE02D93">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2" w:type="pct"/>
            <w:noWrap/>
            <w:vAlign w:val="center"/>
          </w:tcPr>
          <w:p w14:paraId="7881370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4950AA11">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0D0C0501">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54EE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69A6804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8</w:t>
            </w:r>
          </w:p>
        </w:tc>
        <w:tc>
          <w:tcPr>
            <w:tcW w:w="3262" w:type="pct"/>
            <w:gridSpan w:val="2"/>
            <w:noWrap/>
            <w:vAlign w:val="center"/>
          </w:tcPr>
          <w:p w14:paraId="1B598244">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合计</w:t>
            </w:r>
          </w:p>
        </w:tc>
        <w:tc>
          <w:tcPr>
            <w:tcW w:w="486" w:type="pct"/>
            <w:noWrap/>
            <w:vAlign w:val="center"/>
          </w:tcPr>
          <w:p w14:paraId="14353B1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2" w:type="pct"/>
            <w:noWrap/>
            <w:vAlign w:val="center"/>
          </w:tcPr>
          <w:p w14:paraId="5352C9FE">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245" w:type="pct"/>
            <w:noWrap/>
            <w:vAlign w:val="center"/>
          </w:tcPr>
          <w:p w14:paraId="71887DEB">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c>
          <w:tcPr>
            <w:tcW w:w="474" w:type="pct"/>
            <w:noWrap/>
            <w:vAlign w:val="center"/>
          </w:tcPr>
          <w:p w14:paraId="37FB759A">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tr w14:paraId="077F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06F6FEDA">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9</w:t>
            </w:r>
          </w:p>
        </w:tc>
        <w:tc>
          <w:tcPr>
            <w:tcW w:w="4235" w:type="pct"/>
            <w:gridSpan w:val="5"/>
            <w:noWrap/>
            <w:vAlign w:val="center"/>
          </w:tcPr>
          <w:p w14:paraId="024A72C0">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基础分（100分）</w:t>
            </w:r>
          </w:p>
        </w:tc>
        <w:tc>
          <w:tcPr>
            <w:tcW w:w="474" w:type="pct"/>
            <w:noWrap/>
            <w:vAlign w:val="center"/>
          </w:tcPr>
          <w:p w14:paraId="6C17ED6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100</w:t>
            </w:r>
          </w:p>
        </w:tc>
      </w:tr>
      <w:tr w14:paraId="2FAC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1" w:type="pct"/>
            <w:noWrap/>
            <w:vAlign w:val="center"/>
          </w:tcPr>
          <w:p w14:paraId="4EA18C18">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10</w:t>
            </w:r>
          </w:p>
        </w:tc>
        <w:tc>
          <w:tcPr>
            <w:tcW w:w="4235" w:type="pct"/>
            <w:gridSpan w:val="5"/>
            <w:noWrap/>
            <w:vAlign w:val="center"/>
          </w:tcPr>
          <w:p w14:paraId="682279ED">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r>
              <w:rPr>
                <w:rFonts w:hint="eastAsia" w:ascii="宋体" w:hAnsi="宋体" w:cs="宋体"/>
                <w:color w:val="000000" w:themeColor="text1"/>
                <w:sz w:val="24"/>
                <w:szCs w:val="24"/>
              </w:rPr>
              <w:t>最终得分</w:t>
            </w:r>
          </w:p>
        </w:tc>
        <w:tc>
          <w:tcPr>
            <w:tcW w:w="474" w:type="pct"/>
            <w:noWrap/>
            <w:vAlign w:val="center"/>
          </w:tcPr>
          <w:p w14:paraId="4AFA4EF2">
            <w:pPr>
              <w:overflowPunct w:val="0"/>
              <w:autoSpaceDE w:val="0"/>
              <w:autoSpaceDN w:val="0"/>
              <w:adjustRightInd w:val="0"/>
              <w:spacing w:line="360" w:lineRule="exact"/>
              <w:jc w:val="center"/>
              <w:textAlignment w:val="baseline"/>
              <w:rPr>
                <w:rFonts w:ascii="宋体" w:hAnsi="宋体" w:cs="宋体"/>
                <w:color w:val="000000" w:themeColor="text1"/>
                <w:sz w:val="24"/>
                <w:szCs w:val="24"/>
              </w:rPr>
            </w:pPr>
          </w:p>
        </w:tc>
      </w:tr>
      <w:bookmarkEnd w:id="0"/>
    </w:tbl>
    <w:p w14:paraId="17C1F112">
      <w:pPr>
        <w:pStyle w:val="2"/>
        <w:rPr>
          <w:rFonts w:asciiTheme="minorEastAsia" w:hAnsiTheme="minorEastAsia" w:eastAsiaTheme="minorEastAsia"/>
          <w:bCs/>
          <w:szCs w:val="21"/>
        </w:rPr>
      </w:pPr>
    </w:p>
    <w:permEnd w:id="23"/>
    <w:p w14:paraId="42F7C96F">
      <w:pPr>
        <w:widowControl/>
        <w:jc w:val="left"/>
      </w:pPr>
      <w:r>
        <w:br w:type="page"/>
      </w:r>
    </w:p>
    <w:p w14:paraId="5D65DF77">
      <w:pPr>
        <w:spacing w:line="480" w:lineRule="exact"/>
        <w:jc w:val="center"/>
        <w:rPr>
          <w:rFonts w:ascii="宋体" w:hAnsi="宋体"/>
          <w:b/>
          <w:sz w:val="44"/>
          <w:szCs w:val="44"/>
        </w:rPr>
      </w:pPr>
      <w:r>
        <w:rPr>
          <w:rFonts w:hint="eastAsia" w:ascii="宋体" w:hAnsi="宋体"/>
          <w:b/>
          <w:sz w:val="44"/>
          <w:szCs w:val="44"/>
        </w:rPr>
        <w:t>廉政责任书</w:t>
      </w:r>
    </w:p>
    <w:p w14:paraId="5D88EB51">
      <w:pPr>
        <w:spacing w:line="400" w:lineRule="exact"/>
        <w:ind w:left="1"/>
        <w:rPr>
          <w:rFonts w:ascii="仿宋_GB2312" w:hAnsi="宋体" w:eastAsia="仿宋_GB2312"/>
          <w:sz w:val="24"/>
        </w:rPr>
      </w:pPr>
    </w:p>
    <w:p w14:paraId="24C17FE7">
      <w:pPr>
        <w:spacing w:line="500" w:lineRule="exact"/>
        <w:ind w:left="1"/>
        <w:rPr>
          <w:rFonts w:ascii="宋体" w:hAnsi="宋体"/>
          <w:b/>
          <w:szCs w:val="21"/>
        </w:rPr>
      </w:pPr>
      <w:r>
        <w:rPr>
          <w:rFonts w:hint="eastAsia" w:ascii="宋体" w:hAnsi="宋体"/>
          <w:szCs w:val="21"/>
        </w:rPr>
        <w:t>项目名称:</w:t>
      </w:r>
      <w:permStart w:id="24" w:edGrp="everyone"/>
      <w:r>
        <w:rPr>
          <w:rFonts w:hint="eastAsia" w:ascii="宋体" w:hAnsi="宋体"/>
          <w:szCs w:val="21"/>
        </w:rPr>
        <w:t>常隆（华达、常宇）公司原厂址地块污染防控工程全流程技术咨询服务</w:t>
      </w:r>
      <w:r>
        <w:rPr>
          <w:rFonts w:hint="eastAsia" w:ascii="宋体" w:hAnsi="宋体"/>
          <w:b/>
          <w:szCs w:val="21"/>
        </w:rPr>
        <w:t xml:space="preserve"> </w:t>
      </w:r>
    </w:p>
    <w:permEnd w:id="24"/>
    <w:p w14:paraId="2799287B">
      <w:pPr>
        <w:spacing w:line="500" w:lineRule="exact"/>
        <w:ind w:left="1"/>
        <w:rPr>
          <w:rFonts w:ascii="宋体" w:hAnsi="宋体"/>
          <w:b/>
          <w:szCs w:val="21"/>
        </w:rPr>
      </w:pPr>
      <w:r>
        <w:rPr>
          <w:rFonts w:hint="eastAsia" w:ascii="宋体" w:hAnsi="宋体"/>
          <w:szCs w:val="21"/>
        </w:rPr>
        <w:t>项目地址:</w:t>
      </w:r>
      <w:permStart w:id="25" w:edGrp="everyone"/>
      <w:r>
        <w:rPr>
          <w:rFonts w:hint="eastAsia" w:cs="仿宋" w:asciiTheme="minorEastAsia" w:hAnsiTheme="minorEastAsia" w:eastAsiaTheme="minorEastAsia"/>
          <w:szCs w:val="21"/>
        </w:rPr>
        <w:t>常州市新北区龙虎塘街道</w:t>
      </w:r>
      <w:r>
        <w:rPr>
          <w:rFonts w:ascii="宋体" w:hAnsi="宋体"/>
          <w:szCs w:val="21"/>
        </w:rPr>
        <w:t xml:space="preserve"> </w:t>
      </w:r>
    </w:p>
    <w:permEnd w:id="25"/>
    <w:p w14:paraId="2B152E1D">
      <w:pPr>
        <w:spacing w:line="500" w:lineRule="exact"/>
        <w:ind w:left="1"/>
        <w:rPr>
          <w:rFonts w:ascii="宋体" w:hAnsi="宋体"/>
          <w:szCs w:val="21"/>
        </w:rPr>
      </w:pPr>
      <w:r>
        <w:rPr>
          <w:rFonts w:hint="eastAsia" w:ascii="宋体" w:hAnsi="宋体"/>
          <w:szCs w:val="21"/>
        </w:rPr>
        <w:t>甲方:</w:t>
      </w:r>
      <w:r>
        <w:rPr>
          <w:rFonts w:ascii="宋体" w:hAnsi="宋体"/>
          <w:szCs w:val="21"/>
        </w:rPr>
        <w:t xml:space="preserve">  </w:t>
      </w:r>
      <w:permStart w:id="26" w:edGrp="everyone"/>
      <w:r>
        <w:rPr>
          <w:rFonts w:hint="eastAsia" w:ascii="宋体" w:hAnsi="宋体"/>
          <w:szCs w:val="21"/>
        </w:rPr>
        <w:t xml:space="preserve">常州黑牡丹建设投资有限公司 </w:t>
      </w:r>
    </w:p>
    <w:permEnd w:id="26"/>
    <w:p w14:paraId="1ED81D77">
      <w:pPr>
        <w:spacing w:line="500" w:lineRule="exact"/>
        <w:ind w:left="1"/>
        <w:rPr>
          <w:rFonts w:ascii="宋体" w:hAnsi="宋体"/>
          <w:szCs w:val="21"/>
        </w:rPr>
      </w:pPr>
      <w:r>
        <w:rPr>
          <w:rFonts w:hint="eastAsia" w:ascii="宋体" w:hAnsi="宋体"/>
          <w:szCs w:val="21"/>
        </w:rPr>
        <w:t xml:space="preserve">乙方: </w:t>
      </w:r>
      <w:r>
        <w:rPr>
          <w:rFonts w:ascii="宋体" w:hAnsi="宋体"/>
          <w:szCs w:val="21"/>
        </w:rPr>
        <w:t xml:space="preserve"> </w:t>
      </w:r>
      <w:permStart w:id="27" w:edGrp="everyone"/>
      <w:r>
        <w:rPr>
          <w:rFonts w:ascii="宋体" w:hAnsi="宋体"/>
          <w:szCs w:val="21"/>
        </w:rPr>
        <w:t xml:space="preserve">      </w:t>
      </w:r>
    </w:p>
    <w:permEnd w:id="27"/>
    <w:p w14:paraId="71F150D7">
      <w:pPr>
        <w:spacing w:line="480" w:lineRule="exact"/>
        <w:ind w:firstLine="420" w:firstLineChars="200"/>
        <w:rPr>
          <w:rFonts w:ascii="宋体" w:hAnsi="宋体"/>
          <w:szCs w:val="21"/>
        </w:rPr>
      </w:pPr>
      <w:r>
        <w:rPr>
          <w:rFonts w:hint="eastAsia" w:ascii="宋体" w:hAnsi="宋体"/>
          <w:szCs w:val="21"/>
        </w:rPr>
        <w:t>为切实加强政府性投资工程廉政建设，强化对工程建设领域突出问题的治理，从源头上预防腐败，确保工程建设优质、高效、廉洁，依据工程建设的法律法规和廉政建设有关规定，特订立本责任书。</w:t>
      </w:r>
    </w:p>
    <w:p w14:paraId="746F2B47">
      <w:pPr>
        <w:spacing w:line="480" w:lineRule="exact"/>
        <w:ind w:firstLine="420" w:firstLineChars="200"/>
        <w:rPr>
          <w:rFonts w:ascii="宋体" w:hAnsi="宋体"/>
          <w:szCs w:val="21"/>
        </w:rPr>
      </w:pPr>
      <w:r>
        <w:rPr>
          <w:rFonts w:hint="eastAsia" w:ascii="宋体" w:hAnsi="宋体"/>
          <w:bCs/>
          <w:szCs w:val="21"/>
        </w:rPr>
        <w:t>一、</w:t>
      </w:r>
      <w:r>
        <w:rPr>
          <w:rFonts w:hint="eastAsia" w:ascii="宋体" w:hAnsi="宋体"/>
          <w:szCs w:val="21"/>
        </w:rPr>
        <w:t>甲乙双方责任</w:t>
      </w:r>
    </w:p>
    <w:p w14:paraId="2D76AE9B">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严格遵守国家、省、市、区关于工程建设的各项法律规章和廉政建设的各项规定。</w:t>
      </w:r>
    </w:p>
    <w:p w14:paraId="5631B639">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业务活动应坚持公开、公平、公正和诚实守信原则，不得为获取不正当利益而损害国家、集体利益。</w:t>
      </w:r>
    </w:p>
    <w:p w14:paraId="089C2845">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加强对本方人员的廉政监督，建立健全廉政工作制度，认真查处本方人员的违纪违法行为。</w:t>
      </w:r>
    </w:p>
    <w:p w14:paraId="5772B11D">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双方均有对本方人员开展廉政告知、廉政教育以及诚实守信教育的责任和义务。</w:t>
      </w:r>
    </w:p>
    <w:p w14:paraId="47B2BA2C">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发现对方在业务活动中有违法违规行为的，应及时提醒，自觉抵制，或及时向上级主管部门、纪检监察和司法机关举报。</w:t>
      </w:r>
    </w:p>
    <w:p w14:paraId="586B770D">
      <w:pPr>
        <w:spacing w:line="480" w:lineRule="exact"/>
        <w:ind w:firstLine="555"/>
        <w:rPr>
          <w:rFonts w:ascii="宋体" w:hAnsi="宋体"/>
          <w:bCs/>
          <w:szCs w:val="21"/>
        </w:rPr>
      </w:pPr>
      <w:r>
        <w:rPr>
          <w:rFonts w:hint="eastAsia" w:ascii="宋体" w:hAnsi="宋体"/>
          <w:bCs/>
          <w:szCs w:val="21"/>
        </w:rPr>
        <w:t>二、甲方责任</w:t>
      </w:r>
    </w:p>
    <w:p w14:paraId="7C69CD4D">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甲方人员不得接受或索要乙方的回扣、礼金、有价证券、贵重物品和好处费、感谢费等。</w:t>
      </w:r>
    </w:p>
    <w:p w14:paraId="21C711BA">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甲方人员不得到乙方报销应由甲方或个人支付的费用。</w:t>
      </w:r>
    </w:p>
    <w:p w14:paraId="64306ED8">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甲方人员不得参加可能对公正执行公务有影响的宴请和娱乐活动。</w:t>
      </w:r>
    </w:p>
    <w:p w14:paraId="5E043D88">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甲方人员不得要求或接受乙方为其住房装修、婚丧嫁娶、家属和子女就业、旅游以及出国（境）等提供方便。</w:t>
      </w:r>
    </w:p>
    <w:p w14:paraId="6B125A8A">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甲方人员不得向乙方介绍家属或亲友从事与甲方工程有关的材料设备供应、工程分包等经济活动。</w:t>
      </w:r>
    </w:p>
    <w:p w14:paraId="42CC49AA">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6 \* GB4 \* MERGEFORMAT </w:instrText>
      </w:r>
      <w:r>
        <w:rPr>
          <w:rFonts w:hint="eastAsia" w:ascii="宋体" w:hAnsi="宋体"/>
          <w:szCs w:val="21"/>
        </w:rPr>
        <w:fldChar w:fldCharType="separate"/>
      </w:r>
      <w:r>
        <w:rPr>
          <w:rFonts w:hint="eastAsia" w:ascii="宋体" w:hAnsi="宋体"/>
          <w:szCs w:val="21"/>
        </w:rPr>
        <w:t>㈥</w:t>
      </w:r>
      <w:r>
        <w:rPr>
          <w:rFonts w:hint="eastAsia" w:ascii="宋体" w:hAnsi="宋体"/>
          <w:szCs w:val="21"/>
        </w:rPr>
        <w:fldChar w:fldCharType="end"/>
      </w:r>
      <w:r>
        <w:rPr>
          <w:rFonts w:hint="eastAsia" w:ascii="宋体" w:hAnsi="宋体"/>
          <w:szCs w:val="21"/>
        </w:rPr>
        <w:t>甲方人员不得以任何理由向乙方强行推荐分包单位，不得强行要求乙方购买合同规定以外的材料和设备。</w:t>
      </w:r>
    </w:p>
    <w:p w14:paraId="6BDD5A74">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7 \* GB4 \* MERGEFORMAT </w:instrText>
      </w:r>
      <w:r>
        <w:rPr>
          <w:rFonts w:hint="eastAsia" w:ascii="宋体" w:hAnsi="宋体"/>
          <w:szCs w:val="21"/>
        </w:rPr>
        <w:fldChar w:fldCharType="separate"/>
      </w:r>
      <w:r>
        <w:rPr>
          <w:rFonts w:hint="eastAsia" w:ascii="宋体" w:hAnsi="宋体"/>
          <w:szCs w:val="21"/>
        </w:rPr>
        <w:t>㈦</w:t>
      </w:r>
      <w:r>
        <w:rPr>
          <w:rFonts w:hint="eastAsia" w:ascii="宋体" w:hAnsi="宋体"/>
          <w:szCs w:val="21"/>
        </w:rPr>
        <w:fldChar w:fldCharType="end"/>
      </w:r>
      <w:r>
        <w:rPr>
          <w:rFonts w:hint="eastAsia" w:ascii="宋体" w:hAnsi="宋体"/>
          <w:szCs w:val="21"/>
        </w:rPr>
        <w:t>自觉接受乙方的监督，不得以任何形式和理由对乙方及其人员的投诉举报行为进行打击报复。</w:t>
      </w:r>
    </w:p>
    <w:p w14:paraId="256A92CC">
      <w:pPr>
        <w:spacing w:line="480" w:lineRule="exact"/>
        <w:ind w:firstLine="555"/>
        <w:rPr>
          <w:rFonts w:ascii="宋体" w:hAnsi="宋体"/>
          <w:bCs/>
          <w:szCs w:val="21"/>
        </w:rPr>
      </w:pPr>
      <w:r>
        <w:rPr>
          <w:rFonts w:hint="eastAsia" w:ascii="宋体" w:hAnsi="宋体"/>
          <w:bCs/>
          <w:szCs w:val="21"/>
        </w:rPr>
        <w:t>三、乙方责任</w:t>
      </w:r>
    </w:p>
    <w:p w14:paraId="11A4DE2A">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不得以任何形式和理由向甲方人员赠送礼金、有价证券、贵重物品和回扣、好处费、感谢费等。</w:t>
      </w:r>
    </w:p>
    <w:p w14:paraId="707740D4">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不得以洽谈业务等为借口，邀请甲方人员外出考察旅游或进入高档消费娱乐场所。</w:t>
      </w:r>
    </w:p>
    <w:p w14:paraId="48BBABFB">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不得为甲方及其人员报销应由对方支付的费用，或为甲方及其人员提供通讯工具、交通工具、高档办公用品等物品。</w:t>
      </w:r>
    </w:p>
    <w:p w14:paraId="5143198E">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不得擅自与甲方人员就工程承包、工程费用、材料设备供应、工程量变更、工程验收以及工程质量问题处理等进行私下商谈或达成默契。</w:t>
      </w:r>
    </w:p>
    <w:p w14:paraId="46E3E8C0">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自觉接受甲方监督。</w:t>
      </w:r>
    </w:p>
    <w:p w14:paraId="6EEDF7B8">
      <w:pPr>
        <w:spacing w:line="480" w:lineRule="exact"/>
        <w:ind w:firstLine="555"/>
        <w:rPr>
          <w:rFonts w:ascii="宋体" w:hAnsi="宋体"/>
          <w:szCs w:val="21"/>
        </w:rPr>
      </w:pPr>
      <w:r>
        <w:rPr>
          <w:rFonts w:hint="eastAsia" w:ascii="宋体" w:hAnsi="宋体"/>
          <w:szCs w:val="21"/>
        </w:rPr>
        <w:t>四、违约责任</w:t>
      </w:r>
    </w:p>
    <w:p w14:paraId="7BB73E0A">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60FC6DD8">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281A5E9D">
      <w:pPr>
        <w:spacing w:line="480" w:lineRule="exact"/>
        <w:ind w:firstLine="570"/>
        <w:rPr>
          <w:rFonts w:ascii="宋体" w:hAnsi="宋体"/>
          <w:szCs w:val="21"/>
        </w:rPr>
      </w:pPr>
      <w:r>
        <w:rPr>
          <w:rFonts w:hint="eastAsia" w:ascii="宋体" w:hAnsi="宋体"/>
          <w:szCs w:val="21"/>
        </w:rPr>
        <w:t>五、本责任书作为本合同的附件，与本合同具有同等法律效力。</w:t>
      </w:r>
    </w:p>
    <w:p w14:paraId="7646B3D6">
      <w:pPr>
        <w:spacing w:line="480" w:lineRule="exact"/>
        <w:ind w:firstLine="570"/>
        <w:rPr>
          <w:rFonts w:ascii="宋体" w:hAnsi="宋体"/>
          <w:szCs w:val="21"/>
        </w:rPr>
      </w:pPr>
      <w:r>
        <w:rPr>
          <w:rFonts w:hint="eastAsia" w:ascii="宋体" w:hAnsi="宋体"/>
          <w:szCs w:val="21"/>
        </w:rPr>
        <w:t>六、本责任书一式四份，由甲乙双方、监督单位（甲方上级行政主管部门）各执一份，区“廉洁示范工程”创建活动领导小组办公室鉴证备案一份。</w:t>
      </w:r>
    </w:p>
    <w:p w14:paraId="1B9CD9F4">
      <w:pPr>
        <w:spacing w:line="400" w:lineRule="exact"/>
        <w:rPr>
          <w:rFonts w:ascii="宋体" w:hAnsi="宋体"/>
          <w:szCs w:val="21"/>
        </w:rPr>
      </w:pPr>
    </w:p>
    <w:p w14:paraId="5BAB4B0D">
      <w:pPr>
        <w:spacing w:line="400" w:lineRule="exact"/>
        <w:rPr>
          <w:rFonts w:ascii="宋体" w:hAnsi="宋体"/>
          <w:szCs w:val="21"/>
        </w:rPr>
      </w:pPr>
      <w:r>
        <w:rPr>
          <w:rFonts w:hint="eastAsia" w:ascii="宋体" w:hAnsi="宋体"/>
          <w:szCs w:val="21"/>
        </w:rPr>
        <w:t>甲方单位：（盖章）                          乙方单位：（盖章）</w:t>
      </w:r>
    </w:p>
    <w:p w14:paraId="4C8B47F4">
      <w:pPr>
        <w:spacing w:line="400" w:lineRule="exact"/>
        <w:rPr>
          <w:rFonts w:ascii="宋体" w:hAnsi="宋体"/>
          <w:szCs w:val="21"/>
        </w:rPr>
      </w:pPr>
    </w:p>
    <w:p w14:paraId="37D07D5D">
      <w:pPr>
        <w:spacing w:line="400" w:lineRule="exact"/>
        <w:rPr>
          <w:rFonts w:ascii="宋体" w:hAnsi="宋体"/>
          <w:szCs w:val="21"/>
        </w:rPr>
      </w:pPr>
      <w:r>
        <w:rPr>
          <w:rFonts w:hint="eastAsia" w:ascii="宋体" w:hAnsi="宋体"/>
          <w:szCs w:val="21"/>
        </w:rPr>
        <w:t>法定代表人：                               法定代表人：</w:t>
      </w:r>
    </w:p>
    <w:p w14:paraId="3F755EA9">
      <w:pPr>
        <w:spacing w:line="400" w:lineRule="exact"/>
        <w:rPr>
          <w:rFonts w:ascii="宋体" w:hAnsi="宋体"/>
          <w:szCs w:val="21"/>
        </w:rPr>
      </w:pPr>
    </w:p>
    <w:p w14:paraId="12E5A885">
      <w:pPr>
        <w:spacing w:line="400" w:lineRule="exact"/>
        <w:ind w:firstLine="555"/>
        <w:rPr>
          <w:rFonts w:ascii="宋体" w:hAnsi="宋体"/>
          <w:szCs w:val="21"/>
        </w:rPr>
      </w:pPr>
      <w:r>
        <w:rPr>
          <w:rFonts w:hint="eastAsia" w:ascii="宋体" w:hAnsi="宋体"/>
          <w:szCs w:val="21"/>
        </w:rPr>
        <w:t xml:space="preserve"> </w:t>
      </w:r>
      <w:permStart w:id="28" w:edGrp="everyone"/>
      <w:r>
        <w:rPr>
          <w:rFonts w:hint="eastAsia" w:ascii="宋体" w:hAnsi="宋体"/>
          <w:szCs w:val="21"/>
        </w:rPr>
        <w:t xml:space="preserve">2026年    月    日  </w:t>
      </w:r>
      <w:permEnd w:id="28"/>
      <w:r>
        <w:rPr>
          <w:rFonts w:hint="eastAsia" w:ascii="宋体" w:hAnsi="宋体"/>
          <w:szCs w:val="21"/>
        </w:rPr>
        <w:t xml:space="preserve">                          </w:t>
      </w:r>
      <w:permStart w:id="29" w:edGrp="everyone"/>
      <w:r>
        <w:rPr>
          <w:rFonts w:hint="eastAsia" w:ascii="宋体" w:hAnsi="宋体"/>
          <w:szCs w:val="21"/>
        </w:rPr>
        <w:t xml:space="preserve"> 2026年    月    日</w:t>
      </w:r>
      <w:permEnd w:id="29"/>
    </w:p>
    <w:p w14:paraId="41D227D3">
      <w:pPr>
        <w:spacing w:line="400" w:lineRule="exact"/>
        <w:ind w:right="420"/>
        <w:jc w:val="center"/>
        <w:rPr>
          <w:rFonts w:ascii="宋体" w:hAnsi="宋体"/>
          <w:b/>
          <w:bCs/>
          <w:sz w:val="44"/>
          <w:szCs w:val="44"/>
        </w:rPr>
      </w:pPr>
      <w:r>
        <w:rPr>
          <w:rFonts w:ascii="仿宋_GB2312" w:eastAsia="仿宋_GB2312"/>
          <w:sz w:val="24"/>
          <w:szCs w:val="28"/>
        </w:rPr>
        <w:br w:type="page"/>
      </w:r>
      <w:r>
        <w:rPr>
          <w:rFonts w:hint="eastAsia" w:ascii="宋体" w:hAnsi="宋体"/>
          <w:b/>
          <w:bCs/>
          <w:sz w:val="44"/>
          <w:szCs w:val="44"/>
        </w:rPr>
        <w:t xml:space="preserve"> </w:t>
      </w:r>
    </w:p>
    <w:p w14:paraId="22CB82CD">
      <w:pPr>
        <w:spacing w:line="500" w:lineRule="exact"/>
        <w:ind w:right="420"/>
        <w:jc w:val="center"/>
        <w:rPr>
          <w:rFonts w:ascii="宋体" w:hAnsi="宋体"/>
          <w:b/>
          <w:bCs/>
          <w:sz w:val="44"/>
          <w:szCs w:val="44"/>
        </w:rPr>
      </w:pPr>
    </w:p>
    <w:p w14:paraId="4DBA7BFB">
      <w:pPr>
        <w:spacing w:line="500" w:lineRule="exact"/>
        <w:ind w:right="420"/>
        <w:jc w:val="center"/>
        <w:rPr>
          <w:rFonts w:ascii="仿宋_GB2312" w:eastAsia="仿宋_GB2312"/>
          <w:sz w:val="24"/>
          <w:szCs w:val="28"/>
        </w:rPr>
      </w:pPr>
      <w:r>
        <w:rPr>
          <w:rFonts w:hint="eastAsia" w:ascii="宋体" w:hAnsi="宋体"/>
          <w:b/>
          <w:bCs/>
          <w:sz w:val="44"/>
          <w:szCs w:val="44"/>
        </w:rPr>
        <w:t>廉洁守信承诺书</w:t>
      </w:r>
    </w:p>
    <w:p w14:paraId="54C630DA">
      <w:pPr>
        <w:spacing w:line="400" w:lineRule="exact"/>
        <w:ind w:firstLine="480" w:firstLineChars="200"/>
        <w:rPr>
          <w:rFonts w:ascii="仿宋_GB2312" w:eastAsia="仿宋_GB2312"/>
          <w:sz w:val="24"/>
          <w:szCs w:val="28"/>
        </w:rPr>
      </w:pPr>
    </w:p>
    <w:p w14:paraId="571EFA35">
      <w:pPr>
        <w:spacing w:line="500" w:lineRule="exact"/>
        <w:ind w:firstLine="420" w:firstLineChars="200"/>
        <w:rPr>
          <w:rFonts w:ascii="宋体" w:hAnsi="宋体"/>
          <w:szCs w:val="21"/>
        </w:rPr>
      </w:pPr>
      <w:r>
        <w:rPr>
          <w:rFonts w:hint="eastAsia" w:ascii="宋体" w:hAnsi="宋体"/>
          <w:szCs w:val="21"/>
        </w:rPr>
        <w:t>为加强工程廉政建设，规范工程建设行为，有效预防违纪违法问题的发生，在此我向组织承诺：</w:t>
      </w:r>
    </w:p>
    <w:p w14:paraId="2723D855">
      <w:pPr>
        <w:spacing w:line="500" w:lineRule="exact"/>
        <w:ind w:firstLine="420" w:firstLineChars="200"/>
        <w:rPr>
          <w:rFonts w:ascii="宋体" w:hAnsi="宋体"/>
          <w:szCs w:val="21"/>
        </w:rPr>
      </w:pPr>
      <w:r>
        <w:rPr>
          <w:rFonts w:hint="eastAsia" w:ascii="宋体" w:hAnsi="宋体"/>
          <w:szCs w:val="21"/>
        </w:rPr>
        <w:t>1、严格遵守国家、省、市、区关于工程建设的各项法律规章和廉政建设的各项规定。</w:t>
      </w:r>
    </w:p>
    <w:p w14:paraId="07DEE10B">
      <w:pPr>
        <w:spacing w:line="500" w:lineRule="exact"/>
        <w:ind w:firstLine="420" w:firstLineChars="200"/>
        <w:rPr>
          <w:rFonts w:ascii="宋体" w:hAnsi="宋体"/>
          <w:szCs w:val="21"/>
        </w:rPr>
      </w:pPr>
      <w:r>
        <w:rPr>
          <w:rFonts w:hint="eastAsia" w:ascii="宋体" w:hAnsi="宋体"/>
          <w:szCs w:val="21"/>
        </w:rPr>
        <w:t>2、加强对各参建单位履约监管，建立完善信用信息互认共享、守信激励和失信惩戒等机制，促进工程建设领域诚信体系建设，引导企业诚实守信，不断增强经营主体的诚信意识。</w:t>
      </w:r>
    </w:p>
    <w:p w14:paraId="01018CCD">
      <w:pPr>
        <w:spacing w:line="500" w:lineRule="exact"/>
        <w:ind w:firstLine="420" w:firstLineChars="200"/>
        <w:rPr>
          <w:rFonts w:ascii="宋体" w:hAnsi="宋体"/>
          <w:szCs w:val="21"/>
        </w:rPr>
      </w:pPr>
      <w:r>
        <w:rPr>
          <w:rFonts w:hint="eastAsia" w:ascii="宋体" w:hAnsi="宋体"/>
          <w:szCs w:val="21"/>
        </w:rPr>
        <w:t>3、不接受或索要各参建单位的回扣、礼金、有价证券、贵重物品和好处费、感谢费等。</w:t>
      </w:r>
    </w:p>
    <w:p w14:paraId="72B120A9">
      <w:pPr>
        <w:spacing w:line="500" w:lineRule="exact"/>
        <w:ind w:firstLine="420" w:firstLineChars="200"/>
        <w:rPr>
          <w:rFonts w:ascii="宋体" w:hAnsi="宋体"/>
          <w:szCs w:val="21"/>
        </w:rPr>
      </w:pPr>
      <w:r>
        <w:rPr>
          <w:rFonts w:hint="eastAsia" w:ascii="宋体" w:hAnsi="宋体"/>
          <w:szCs w:val="21"/>
        </w:rPr>
        <w:t>4、不到各参建单位报销应由个人支付的费用。</w:t>
      </w:r>
    </w:p>
    <w:p w14:paraId="0A7A5EC1">
      <w:pPr>
        <w:spacing w:line="500" w:lineRule="exact"/>
        <w:ind w:firstLine="420" w:firstLineChars="200"/>
        <w:rPr>
          <w:rFonts w:ascii="宋体" w:hAnsi="宋体"/>
          <w:szCs w:val="21"/>
        </w:rPr>
      </w:pPr>
      <w:r>
        <w:rPr>
          <w:rFonts w:hint="eastAsia" w:ascii="宋体" w:hAnsi="宋体"/>
          <w:szCs w:val="21"/>
        </w:rPr>
        <w:t>5、不参加可能对公正执行公务有影响的宴请和娱乐活动。</w:t>
      </w:r>
    </w:p>
    <w:p w14:paraId="144A8BD7">
      <w:pPr>
        <w:spacing w:line="500" w:lineRule="exact"/>
        <w:ind w:firstLine="420" w:firstLineChars="200"/>
        <w:rPr>
          <w:rFonts w:ascii="宋体" w:hAnsi="宋体"/>
          <w:szCs w:val="21"/>
        </w:rPr>
      </w:pPr>
      <w:r>
        <w:rPr>
          <w:rFonts w:hint="eastAsia" w:ascii="宋体" w:hAnsi="宋体"/>
          <w:szCs w:val="21"/>
        </w:rPr>
        <w:t>6、不要求或接受各参建单位为本人住房装修、婚丧嫁娶、家属和子女就业、旅游以及出国（境）等提供方便。</w:t>
      </w:r>
    </w:p>
    <w:p w14:paraId="50CDAC78">
      <w:pPr>
        <w:spacing w:line="500" w:lineRule="exact"/>
        <w:ind w:firstLine="420" w:firstLineChars="200"/>
        <w:rPr>
          <w:rFonts w:ascii="宋体" w:hAnsi="宋体"/>
          <w:szCs w:val="21"/>
        </w:rPr>
      </w:pPr>
      <w:r>
        <w:rPr>
          <w:rFonts w:hint="eastAsia" w:ascii="宋体" w:hAnsi="宋体"/>
          <w:szCs w:val="21"/>
        </w:rPr>
        <w:t>7、不向施工单位介绍家属或亲友从事与工程有关的材料设备供应、工程分包等经济活动。</w:t>
      </w:r>
    </w:p>
    <w:p w14:paraId="64CF49B0">
      <w:pPr>
        <w:spacing w:line="500" w:lineRule="exact"/>
        <w:ind w:firstLine="420" w:firstLineChars="200"/>
        <w:rPr>
          <w:rFonts w:ascii="宋体" w:hAnsi="宋体"/>
          <w:szCs w:val="21"/>
        </w:rPr>
      </w:pPr>
      <w:r>
        <w:rPr>
          <w:rFonts w:hint="eastAsia" w:ascii="宋体" w:hAnsi="宋体"/>
          <w:szCs w:val="21"/>
        </w:rPr>
        <w:t>8、不以任何理由向施工单位强行推荐分包单位，或强行要求施工单位购买合同规定以外的材料和设备。</w:t>
      </w:r>
    </w:p>
    <w:p w14:paraId="3ECE1763">
      <w:pPr>
        <w:spacing w:line="500" w:lineRule="exact"/>
        <w:ind w:firstLine="420" w:firstLineChars="200"/>
        <w:rPr>
          <w:rFonts w:ascii="宋体" w:hAnsi="宋体"/>
          <w:szCs w:val="21"/>
        </w:rPr>
      </w:pPr>
      <w:r>
        <w:rPr>
          <w:rFonts w:hint="eastAsia" w:ascii="宋体" w:hAnsi="宋体"/>
          <w:szCs w:val="21"/>
        </w:rPr>
        <w:t>9、不以任何形式和理由对各参建单位及其人员的投诉举报行为进行打击报复。</w:t>
      </w:r>
    </w:p>
    <w:p w14:paraId="59E28FED">
      <w:pPr>
        <w:spacing w:line="500" w:lineRule="exact"/>
        <w:ind w:firstLine="420" w:firstLineChars="200"/>
        <w:rPr>
          <w:rFonts w:ascii="宋体" w:hAnsi="宋体"/>
          <w:szCs w:val="21"/>
        </w:rPr>
      </w:pPr>
      <w:r>
        <w:rPr>
          <w:rFonts w:hint="eastAsia" w:ascii="宋体" w:hAnsi="宋体"/>
          <w:szCs w:val="21"/>
        </w:rPr>
        <w:t>10、自觉接受各方监督，如有不廉洁行为，自愿接受处理。</w:t>
      </w:r>
    </w:p>
    <w:p w14:paraId="462AB672">
      <w:pPr>
        <w:spacing w:line="500" w:lineRule="exact"/>
        <w:ind w:firstLine="2940" w:firstLineChars="1400"/>
        <w:rPr>
          <w:rFonts w:ascii="宋体" w:hAnsi="宋体"/>
          <w:szCs w:val="21"/>
        </w:rPr>
      </w:pPr>
    </w:p>
    <w:p w14:paraId="75738DC8">
      <w:pPr>
        <w:spacing w:line="500" w:lineRule="exact"/>
        <w:ind w:firstLine="2940" w:firstLineChars="1400"/>
        <w:jc w:val="right"/>
        <w:rPr>
          <w:rFonts w:ascii="宋体" w:hAnsi="宋体"/>
          <w:szCs w:val="21"/>
        </w:rPr>
      </w:pPr>
    </w:p>
    <w:p w14:paraId="18FF2504">
      <w:pPr>
        <w:spacing w:line="500" w:lineRule="exact"/>
        <w:ind w:right="840" w:firstLine="2940" w:firstLineChars="1400"/>
        <w:jc w:val="center"/>
        <w:rPr>
          <w:rFonts w:ascii="宋体" w:hAnsi="宋体"/>
          <w:szCs w:val="21"/>
        </w:rPr>
      </w:pPr>
      <w:r>
        <w:rPr>
          <w:rFonts w:hint="eastAsia" w:ascii="宋体" w:hAnsi="宋体"/>
          <w:szCs w:val="21"/>
        </w:rPr>
        <w:t xml:space="preserve">                                承诺人：                </w:t>
      </w:r>
    </w:p>
    <w:p w14:paraId="510EFEA3">
      <w:pPr>
        <w:spacing w:line="500" w:lineRule="exact"/>
        <w:ind w:firstLine="2940" w:firstLineChars="1400"/>
        <w:jc w:val="right"/>
        <w:rPr>
          <w:rFonts w:ascii="宋体" w:hAnsi="宋体"/>
          <w:szCs w:val="21"/>
        </w:rPr>
      </w:pPr>
    </w:p>
    <w:p w14:paraId="58B6E183">
      <w:pPr>
        <w:spacing w:line="500" w:lineRule="exact"/>
        <w:ind w:firstLine="2940" w:firstLineChars="1400"/>
        <w:jc w:val="right"/>
        <w:rPr>
          <w:rFonts w:ascii="宋体" w:hAnsi="宋体"/>
          <w:szCs w:val="21"/>
        </w:rPr>
      </w:pPr>
    </w:p>
    <w:p w14:paraId="4B0FAE45">
      <w:pPr>
        <w:spacing w:line="500" w:lineRule="exact"/>
        <w:ind w:firstLine="2940" w:firstLineChars="1400"/>
        <w:jc w:val="right"/>
        <w:rPr>
          <w:rFonts w:ascii="宋体" w:hAnsi="宋体"/>
          <w:szCs w:val="21"/>
        </w:rPr>
      </w:pPr>
      <w:r>
        <w:rPr>
          <w:rFonts w:hint="eastAsia" w:ascii="宋体" w:hAnsi="宋体"/>
          <w:szCs w:val="21"/>
        </w:rPr>
        <w:t xml:space="preserve">  </w:t>
      </w:r>
      <w:permStart w:id="30" w:edGrp="everyone"/>
      <w:r>
        <w:rPr>
          <w:rFonts w:hint="eastAsia" w:ascii="宋体" w:hAnsi="宋体"/>
          <w:szCs w:val="21"/>
        </w:rPr>
        <w:t>2026年    月    日</w:t>
      </w:r>
      <w:permEnd w:id="30"/>
    </w:p>
    <w:p w14:paraId="341DDF0A"/>
    <w:p w14:paraId="20A417B4">
      <w:pPr>
        <w:pStyle w:val="2"/>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17556"/>
    </w:sdtPr>
    <w:sdtContent>
      <w:sdt>
        <w:sdtPr>
          <w:id w:val="171357217"/>
        </w:sdtPr>
        <w:sdtContent>
          <w:p w14:paraId="42B9262C">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14:paraId="0EA8FDE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D0449">
    <w:pPr>
      <w:pStyle w:val="5"/>
      <w:jc w:val="left"/>
    </w:pPr>
    <w:permStart w:id="31" w:edGrp="everyone"/>
    <w:permEnd w:id="3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CTUbzq11PqeoQPVv2EicMSnXhc=" w:salt="IjbY49QgMmuRB3BVjkN+s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2D"/>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B0F"/>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CA1"/>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1AB2"/>
    <w:rsid w:val="000B2074"/>
    <w:rsid w:val="000B21B0"/>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5FBA"/>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3CD"/>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0A94"/>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53B"/>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7C2"/>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60F"/>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1FE"/>
    <w:rsid w:val="00200206"/>
    <w:rsid w:val="00200342"/>
    <w:rsid w:val="002009D1"/>
    <w:rsid w:val="00200A5E"/>
    <w:rsid w:val="002012D7"/>
    <w:rsid w:val="00201577"/>
    <w:rsid w:val="00201A51"/>
    <w:rsid w:val="00201AD6"/>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9F3"/>
    <w:rsid w:val="00225A07"/>
    <w:rsid w:val="00225CAC"/>
    <w:rsid w:val="00225E2A"/>
    <w:rsid w:val="00225ECC"/>
    <w:rsid w:val="002269C5"/>
    <w:rsid w:val="00226AB8"/>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AEE"/>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6FE"/>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37FA"/>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20"/>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499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1E"/>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41B"/>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0E6"/>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03F"/>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3C50"/>
    <w:rsid w:val="003C400F"/>
    <w:rsid w:val="003C44D3"/>
    <w:rsid w:val="003C49ED"/>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4ED5"/>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90D"/>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6AD"/>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A1D"/>
    <w:rsid w:val="004B0E81"/>
    <w:rsid w:val="004B170E"/>
    <w:rsid w:val="004B1B3C"/>
    <w:rsid w:val="004B1B97"/>
    <w:rsid w:val="004B1E7A"/>
    <w:rsid w:val="004B218C"/>
    <w:rsid w:val="004B21B6"/>
    <w:rsid w:val="004B25D6"/>
    <w:rsid w:val="004B29AF"/>
    <w:rsid w:val="004B2AA0"/>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CEC"/>
    <w:rsid w:val="00530F57"/>
    <w:rsid w:val="00531B30"/>
    <w:rsid w:val="005328CB"/>
    <w:rsid w:val="0053299E"/>
    <w:rsid w:val="005329D5"/>
    <w:rsid w:val="005330AF"/>
    <w:rsid w:val="005330CB"/>
    <w:rsid w:val="00533333"/>
    <w:rsid w:val="0053372D"/>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2C7C"/>
    <w:rsid w:val="005B3005"/>
    <w:rsid w:val="005B3020"/>
    <w:rsid w:val="005B31C0"/>
    <w:rsid w:val="005B336A"/>
    <w:rsid w:val="005B3685"/>
    <w:rsid w:val="005B36A8"/>
    <w:rsid w:val="005B3DD2"/>
    <w:rsid w:val="005B426F"/>
    <w:rsid w:val="005B47B0"/>
    <w:rsid w:val="005B491F"/>
    <w:rsid w:val="005B4A03"/>
    <w:rsid w:val="005B4D7B"/>
    <w:rsid w:val="005B4E96"/>
    <w:rsid w:val="005B535B"/>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58"/>
    <w:rsid w:val="006421E8"/>
    <w:rsid w:val="006424C2"/>
    <w:rsid w:val="006424CA"/>
    <w:rsid w:val="00642892"/>
    <w:rsid w:val="0064372F"/>
    <w:rsid w:val="00644207"/>
    <w:rsid w:val="006444C2"/>
    <w:rsid w:val="00644C0D"/>
    <w:rsid w:val="0064511A"/>
    <w:rsid w:val="006453A6"/>
    <w:rsid w:val="00645447"/>
    <w:rsid w:val="006456DF"/>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4D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C13"/>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A7B"/>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967"/>
    <w:rsid w:val="006C6ACF"/>
    <w:rsid w:val="006C6D6C"/>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1848"/>
    <w:rsid w:val="006E2053"/>
    <w:rsid w:val="006E210F"/>
    <w:rsid w:val="006E25B8"/>
    <w:rsid w:val="006E26DD"/>
    <w:rsid w:val="006E2D09"/>
    <w:rsid w:val="006E2E85"/>
    <w:rsid w:val="006E2F7C"/>
    <w:rsid w:val="006E3323"/>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594"/>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253"/>
    <w:rsid w:val="0078290C"/>
    <w:rsid w:val="007833B6"/>
    <w:rsid w:val="00783A7F"/>
    <w:rsid w:val="00783F03"/>
    <w:rsid w:val="00784749"/>
    <w:rsid w:val="007849A3"/>
    <w:rsid w:val="00784BBE"/>
    <w:rsid w:val="00784C9A"/>
    <w:rsid w:val="00785010"/>
    <w:rsid w:val="007850CE"/>
    <w:rsid w:val="0078520E"/>
    <w:rsid w:val="007854A4"/>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567"/>
    <w:rsid w:val="00795670"/>
    <w:rsid w:val="007956FB"/>
    <w:rsid w:val="00795955"/>
    <w:rsid w:val="007959B4"/>
    <w:rsid w:val="00795AC1"/>
    <w:rsid w:val="00795C3C"/>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442"/>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383"/>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051"/>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3F"/>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1B7"/>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4FD6"/>
    <w:rsid w:val="00885A15"/>
    <w:rsid w:val="00885E09"/>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585"/>
    <w:rsid w:val="008A681F"/>
    <w:rsid w:val="008A6F55"/>
    <w:rsid w:val="008A7632"/>
    <w:rsid w:val="008A7699"/>
    <w:rsid w:val="008A798C"/>
    <w:rsid w:val="008A7A16"/>
    <w:rsid w:val="008A7E21"/>
    <w:rsid w:val="008B00BD"/>
    <w:rsid w:val="008B0160"/>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A4E"/>
    <w:rsid w:val="008C5D03"/>
    <w:rsid w:val="008C5F4F"/>
    <w:rsid w:val="008C6289"/>
    <w:rsid w:val="008C63C8"/>
    <w:rsid w:val="008C6738"/>
    <w:rsid w:val="008C7047"/>
    <w:rsid w:val="008C711A"/>
    <w:rsid w:val="008C7419"/>
    <w:rsid w:val="008C74C6"/>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92D"/>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4097"/>
    <w:rsid w:val="008F417B"/>
    <w:rsid w:val="008F43A0"/>
    <w:rsid w:val="008F48D5"/>
    <w:rsid w:val="008F4C09"/>
    <w:rsid w:val="008F505A"/>
    <w:rsid w:val="008F524C"/>
    <w:rsid w:val="008F582F"/>
    <w:rsid w:val="008F5A65"/>
    <w:rsid w:val="008F6598"/>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3C5"/>
    <w:rsid w:val="00927A26"/>
    <w:rsid w:val="00927B7C"/>
    <w:rsid w:val="00927EDA"/>
    <w:rsid w:val="00930031"/>
    <w:rsid w:val="009300FC"/>
    <w:rsid w:val="009304D9"/>
    <w:rsid w:val="00930581"/>
    <w:rsid w:val="009310FE"/>
    <w:rsid w:val="00931210"/>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7A4"/>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1AF"/>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DAC"/>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78F"/>
    <w:rsid w:val="00A03198"/>
    <w:rsid w:val="00A031D3"/>
    <w:rsid w:val="00A0344B"/>
    <w:rsid w:val="00A034F2"/>
    <w:rsid w:val="00A036D0"/>
    <w:rsid w:val="00A03B46"/>
    <w:rsid w:val="00A03FE3"/>
    <w:rsid w:val="00A04830"/>
    <w:rsid w:val="00A049EC"/>
    <w:rsid w:val="00A05283"/>
    <w:rsid w:val="00A0651F"/>
    <w:rsid w:val="00A06DA5"/>
    <w:rsid w:val="00A06E9B"/>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ED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0D4"/>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D47"/>
    <w:rsid w:val="00A66E46"/>
    <w:rsid w:val="00A66F69"/>
    <w:rsid w:val="00A6703E"/>
    <w:rsid w:val="00A67101"/>
    <w:rsid w:val="00A67551"/>
    <w:rsid w:val="00A676CC"/>
    <w:rsid w:val="00A67759"/>
    <w:rsid w:val="00A67896"/>
    <w:rsid w:val="00A67CAF"/>
    <w:rsid w:val="00A70A69"/>
    <w:rsid w:val="00A70D22"/>
    <w:rsid w:val="00A712C7"/>
    <w:rsid w:val="00A7155B"/>
    <w:rsid w:val="00A716B2"/>
    <w:rsid w:val="00A7185F"/>
    <w:rsid w:val="00A7188B"/>
    <w:rsid w:val="00A71AA1"/>
    <w:rsid w:val="00A71B29"/>
    <w:rsid w:val="00A71E1E"/>
    <w:rsid w:val="00A71F30"/>
    <w:rsid w:val="00A72132"/>
    <w:rsid w:val="00A7278F"/>
    <w:rsid w:val="00A72FC4"/>
    <w:rsid w:val="00A730CB"/>
    <w:rsid w:val="00A7356F"/>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99D"/>
    <w:rsid w:val="00AC1A91"/>
    <w:rsid w:val="00AC1D6C"/>
    <w:rsid w:val="00AC2232"/>
    <w:rsid w:val="00AC22BD"/>
    <w:rsid w:val="00AC2754"/>
    <w:rsid w:val="00AC333B"/>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A7C"/>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2C4"/>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5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64C"/>
    <w:rsid w:val="00BD7C68"/>
    <w:rsid w:val="00BD7DE0"/>
    <w:rsid w:val="00BE0159"/>
    <w:rsid w:val="00BE0EFF"/>
    <w:rsid w:val="00BE1336"/>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BF7EB2"/>
    <w:rsid w:val="00C001AB"/>
    <w:rsid w:val="00C00410"/>
    <w:rsid w:val="00C0044B"/>
    <w:rsid w:val="00C004C9"/>
    <w:rsid w:val="00C00F5A"/>
    <w:rsid w:val="00C01065"/>
    <w:rsid w:val="00C011A3"/>
    <w:rsid w:val="00C012BB"/>
    <w:rsid w:val="00C014F8"/>
    <w:rsid w:val="00C01913"/>
    <w:rsid w:val="00C01936"/>
    <w:rsid w:val="00C02254"/>
    <w:rsid w:val="00C022E7"/>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186"/>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7D3"/>
    <w:rsid w:val="00C44BA0"/>
    <w:rsid w:val="00C44E0D"/>
    <w:rsid w:val="00C45285"/>
    <w:rsid w:val="00C4581D"/>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44"/>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74"/>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3F"/>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3FA"/>
    <w:rsid w:val="00CC0545"/>
    <w:rsid w:val="00CC077A"/>
    <w:rsid w:val="00CC1238"/>
    <w:rsid w:val="00CC146B"/>
    <w:rsid w:val="00CC14BF"/>
    <w:rsid w:val="00CC203A"/>
    <w:rsid w:val="00CC23C4"/>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74F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B43"/>
    <w:rsid w:val="00D47C4D"/>
    <w:rsid w:val="00D50073"/>
    <w:rsid w:val="00D504F6"/>
    <w:rsid w:val="00D50B8A"/>
    <w:rsid w:val="00D5101D"/>
    <w:rsid w:val="00D511F8"/>
    <w:rsid w:val="00D51839"/>
    <w:rsid w:val="00D51BAA"/>
    <w:rsid w:val="00D52134"/>
    <w:rsid w:val="00D52946"/>
    <w:rsid w:val="00D5298A"/>
    <w:rsid w:val="00D53396"/>
    <w:rsid w:val="00D53C48"/>
    <w:rsid w:val="00D53D62"/>
    <w:rsid w:val="00D54123"/>
    <w:rsid w:val="00D544D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DB4"/>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7B"/>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2E"/>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44E"/>
    <w:rsid w:val="00E95D38"/>
    <w:rsid w:val="00E961F3"/>
    <w:rsid w:val="00E96387"/>
    <w:rsid w:val="00E9658C"/>
    <w:rsid w:val="00E968B3"/>
    <w:rsid w:val="00E96A98"/>
    <w:rsid w:val="00E96E45"/>
    <w:rsid w:val="00E97CAB"/>
    <w:rsid w:val="00E97F2A"/>
    <w:rsid w:val="00EA01E8"/>
    <w:rsid w:val="00EA0F56"/>
    <w:rsid w:val="00EA12E7"/>
    <w:rsid w:val="00EA175E"/>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A58"/>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3F70"/>
    <w:rsid w:val="00EC40E8"/>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DD"/>
    <w:rsid w:val="00EE3427"/>
    <w:rsid w:val="00EE351C"/>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6E0"/>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2775"/>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63"/>
    <w:rsid w:val="00FF6CF4"/>
    <w:rsid w:val="00FF6D61"/>
    <w:rsid w:val="00FF6E38"/>
    <w:rsid w:val="00FF6EF3"/>
    <w:rsid w:val="00FF7048"/>
    <w:rsid w:val="00FF7107"/>
    <w:rsid w:val="00FF7979"/>
    <w:rsid w:val="00FF7C90"/>
    <w:rsid w:val="00FF7E4F"/>
    <w:rsid w:val="082A2581"/>
    <w:rsid w:val="0FB10308"/>
    <w:rsid w:val="25255B41"/>
    <w:rsid w:val="41956E4E"/>
    <w:rsid w:val="45A9143A"/>
    <w:rsid w:val="578C0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semiHidden/>
    <w:unhideWhenUsed/>
    <w:qFormat/>
    <w:uiPriority w:val="99"/>
    <w:pPr>
      <w:spacing w:after="120"/>
      <w:ind w:left="420" w:leftChars="200"/>
    </w:pPr>
  </w:style>
  <w:style w:type="paragraph" w:styleId="3">
    <w:name w:val="Body Text"/>
    <w:basedOn w:val="1"/>
    <w:next w:val="1"/>
    <w:link w:val="10"/>
    <w:qFormat/>
    <w:uiPriority w:val="0"/>
    <w:pPr>
      <w:tabs>
        <w:tab w:val="left" w:pos="567"/>
      </w:tabs>
      <w:spacing w:before="120" w:line="22" w:lineRule="atLeast"/>
    </w:pPr>
    <w:rPr>
      <w:rFonts w:ascii="宋体" w:hAnsi="宋体"/>
      <w:kern w:val="0"/>
      <w:sz w:val="24"/>
      <w:szCs w:val="24"/>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1"/>
    <w:next w:val="1"/>
    <w:link w:val="12"/>
    <w:qFormat/>
    <w:uiPriority w:val="0"/>
    <w:pPr>
      <w:ind w:firstLine="420" w:firstLineChars="200"/>
    </w:p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正文文本 Char"/>
    <w:basedOn w:val="9"/>
    <w:link w:val="3"/>
    <w:qFormat/>
    <w:uiPriority w:val="0"/>
    <w:rPr>
      <w:rFonts w:ascii="宋体" w:hAnsi="宋体" w:eastAsia="宋体" w:cs="Times New Roman"/>
      <w:kern w:val="0"/>
      <w:sz w:val="24"/>
      <w:szCs w:val="24"/>
    </w:rPr>
  </w:style>
  <w:style w:type="character" w:customStyle="1" w:styleId="11">
    <w:name w:val="正文文本缩进 Char"/>
    <w:basedOn w:val="9"/>
    <w:link w:val="2"/>
    <w:semiHidden/>
    <w:qFormat/>
    <w:uiPriority w:val="99"/>
    <w:rPr>
      <w:rFonts w:ascii="Times New Roman" w:hAnsi="Times New Roman" w:eastAsia="宋体" w:cs="Times New Roman"/>
    </w:rPr>
  </w:style>
  <w:style w:type="character" w:customStyle="1" w:styleId="12">
    <w:name w:val="正文首行缩进 2 Char"/>
    <w:basedOn w:val="11"/>
    <w:link w:val="6"/>
    <w:qFormat/>
    <w:uiPriority w:val="0"/>
    <w:rPr>
      <w:rFonts w:ascii="Times New Roman" w:hAnsi="Times New Roman" w:eastAsia="宋体" w:cs="Times New Roman"/>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4">
    <w:name w:val="页眉 Char"/>
    <w:basedOn w:val="9"/>
    <w:link w:val="5"/>
    <w:qFormat/>
    <w:uiPriority w:val="99"/>
    <w:rPr>
      <w:rFonts w:ascii="Times New Roman" w:hAnsi="Times New Roman" w:eastAsia="宋体" w:cs="Times New Roman"/>
      <w:sz w:val="18"/>
      <w:szCs w:val="18"/>
    </w:rPr>
  </w:style>
  <w:style w:type="character" w:customStyle="1" w:styleId="15">
    <w:name w:val="页脚 Char"/>
    <w:basedOn w:val="9"/>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12</Pages>
  <Words>1849</Words>
  <Characters>1876</Characters>
  <Lines>53</Lines>
  <Paragraphs>14</Paragraphs>
  <TotalTime>19</TotalTime>
  <ScaleCrop>false</ScaleCrop>
  <LinksUpToDate>false</LinksUpToDate>
  <CharactersWithSpaces>1970</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2022-08-19T10:35:00Z</dcterms:created>
  <dc:creator>周巧英</dc:creator>
  <cp:lastModifiedBy>Administrator</cp:lastModifiedBy>
  <dcterms:modified xsi:type="dcterms:W3CDTF">2026-06-10T07:11:04Z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eyJoZGlkIjoiOTkwMmY2ZjMyYTZhMjdlNTFhOTA4NzE0ZjBiMWZhOTAiLCJ1c2VySWQiOiI0MDc3NTYxOTYifQ==</vt:lpwstr>
  </property>
  <property fmtid="{D5CDD505-2E9C-101B-9397-08002B2CF9AE}" pid="3" name="KSOProductBuildVer">
    <vt:lpwstr>2052-12.1.0.26895</vt:lpwstr>
  </property>
  <property fmtid="{D5CDD505-2E9C-101B-9397-08002B2CF9AE}" pid="4" name="ICV">
    <vt:lpwstr>C8A7FE5938D74C96B43F96E16C9C495E_13</vt:lpwstr>
  </property>
</Properties>
</file>