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145445">
      <w:pPr>
        <w:jc w:val="cente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九龙村居家养老中心和老年人助餐点项目</w:t>
      </w:r>
    </w:p>
    <w:p w14:paraId="244C0CF0">
      <w:pPr>
        <w:jc w:val="center"/>
        <w:rPr>
          <w:rFonts w:hint="eastAsia" w:ascii="宋体" w:hAnsi="宋体" w:eastAsia="宋体" w:cs="宋体"/>
          <w:b/>
          <w:bCs/>
          <w:sz w:val="32"/>
          <w:szCs w:val="32"/>
        </w:rPr>
      </w:pPr>
      <w:r>
        <w:rPr>
          <w:rFonts w:hint="eastAsia" w:ascii="宋体" w:hAnsi="宋体" w:eastAsia="宋体" w:cs="宋体"/>
          <w:b/>
          <w:bCs/>
          <w:sz w:val="32"/>
          <w:szCs w:val="32"/>
          <w:lang w:val="en-US" w:eastAsia="zh-CN"/>
        </w:rPr>
        <w:t>工程量清单及招标控制价</w:t>
      </w:r>
      <w:r>
        <w:rPr>
          <w:rFonts w:hint="eastAsia" w:ascii="宋体" w:hAnsi="宋体" w:eastAsia="宋体" w:cs="宋体"/>
          <w:b/>
          <w:bCs/>
          <w:sz w:val="32"/>
          <w:szCs w:val="32"/>
        </w:rPr>
        <w:t>编制说明</w:t>
      </w:r>
    </w:p>
    <w:p w14:paraId="49E5B2B3">
      <w:pPr>
        <w:spacing w:line="360" w:lineRule="auto"/>
        <w:rPr>
          <w:rFonts w:cs="宋体" w:asciiTheme="minorEastAsia" w:hAnsiTheme="minorEastAsia"/>
          <w:b/>
          <w:sz w:val="24"/>
        </w:rPr>
      </w:pPr>
      <w:r>
        <w:rPr>
          <w:rFonts w:hint="eastAsia" w:cs="宋体" w:asciiTheme="minorEastAsia" w:hAnsiTheme="minorEastAsia"/>
          <w:b/>
          <w:sz w:val="24"/>
        </w:rPr>
        <w:t>一、工程概况</w:t>
      </w:r>
    </w:p>
    <w:p w14:paraId="0D600957">
      <w:pPr>
        <w:spacing w:line="360" w:lineRule="auto"/>
        <w:ind w:firstLine="480" w:firstLineChars="200"/>
        <w:rPr>
          <w:rFonts w:hint="eastAsia" w:cs="宋体" w:asciiTheme="minorEastAsia" w:hAnsiTheme="minorEastAsia"/>
          <w:color w:val="auto"/>
          <w:sz w:val="24"/>
          <w:highlight w:val="none"/>
          <w:lang w:val="en-US" w:eastAsia="zh-CN"/>
        </w:rPr>
      </w:pPr>
      <w:r>
        <w:rPr>
          <w:rFonts w:hint="eastAsia" w:cs="宋体" w:asciiTheme="minorEastAsia" w:hAnsiTheme="minorEastAsia"/>
          <w:sz w:val="24"/>
          <w:lang w:val="en-US" w:eastAsia="zh-CN"/>
        </w:rPr>
        <w:t>九龙村居家养老中心和老年人助餐点项目，位于常州市孟河镇，</w:t>
      </w:r>
      <w:r>
        <w:rPr>
          <w:rFonts w:hint="eastAsia" w:cs="宋体" w:asciiTheme="minorEastAsia" w:hAnsiTheme="minorEastAsia"/>
          <w:kern w:val="2"/>
          <w:sz w:val="24"/>
          <w:szCs w:val="24"/>
          <w:lang w:val="en-US" w:eastAsia="zh-CN" w:bidi="ar-SA"/>
        </w:rPr>
        <w:t>主要内容为拆除工程、室内装饰工程</w:t>
      </w:r>
      <w:r>
        <w:rPr>
          <w:rFonts w:hint="eastAsia" w:cs="宋体" w:asciiTheme="minorEastAsia" w:hAnsiTheme="minorEastAsia"/>
          <w:color w:val="auto"/>
          <w:sz w:val="24"/>
          <w:highlight w:val="none"/>
          <w:lang w:val="en-US" w:eastAsia="zh-CN"/>
        </w:rPr>
        <w:t>、水电安装工程、智能化系统预留等。</w:t>
      </w:r>
    </w:p>
    <w:p w14:paraId="7B0E246D">
      <w:pPr>
        <w:tabs>
          <w:tab w:val="left" w:pos="0"/>
          <w:tab w:val="left" w:pos="540"/>
        </w:tabs>
        <w:spacing w:line="360" w:lineRule="auto"/>
        <w:rPr>
          <w:rFonts w:cs="宋体" w:asciiTheme="minorEastAsia" w:hAnsiTheme="minorEastAsia"/>
          <w:b/>
          <w:sz w:val="24"/>
        </w:rPr>
      </w:pPr>
      <w:r>
        <w:rPr>
          <w:rFonts w:hint="eastAsia" w:cs="宋体" w:asciiTheme="minorEastAsia" w:hAnsiTheme="minorEastAsia"/>
          <w:b/>
          <w:sz w:val="24"/>
        </w:rPr>
        <w:t>二、编制依据</w:t>
      </w:r>
    </w:p>
    <w:p w14:paraId="418C288C">
      <w:pPr>
        <w:spacing w:line="360" w:lineRule="auto"/>
        <w:ind w:firstLine="480" w:firstLineChars="200"/>
        <w:rPr>
          <w:rFonts w:hint="eastAsia"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1、《建设工程工程量清单计价规范》GB50500-2013；</w:t>
      </w:r>
    </w:p>
    <w:p w14:paraId="3FDA3CD3">
      <w:pPr>
        <w:spacing w:line="360" w:lineRule="auto"/>
        <w:ind w:firstLine="480" w:firstLineChars="200"/>
        <w:rPr>
          <w:rFonts w:hint="eastAsia" w:eastAsia="宋体" w:cs="宋体" w:asciiTheme="minorEastAsia" w:hAnsiTheme="minorEastAsia"/>
          <w:color w:val="000000" w:themeColor="text1"/>
          <w:sz w:val="24"/>
          <w:lang w:eastAsia="zh-CN"/>
          <w14:textFill>
            <w14:solidFill>
              <w14:schemeClr w14:val="tx1"/>
            </w14:solidFill>
          </w14:textFill>
        </w:rPr>
      </w:pPr>
      <w:r>
        <w:rPr>
          <w:rFonts w:hint="eastAsia" w:ascii="宋体" w:hAnsi="宋体" w:eastAsia="宋体" w:cs="宋体"/>
          <w:b w:val="0"/>
          <w:bCs w:val="0"/>
          <w:color w:val="000000"/>
          <w:kern w:val="2"/>
          <w:sz w:val="24"/>
          <w:szCs w:val="24"/>
          <w:lang w:val="en-US" w:eastAsia="zh-CN"/>
        </w:rPr>
        <w:t>2、</w:t>
      </w:r>
      <w:r>
        <w:rPr>
          <w:rFonts w:hint="eastAsia" w:ascii="宋体" w:hAnsi="宋体" w:eastAsia="宋体" w:cs="宋体"/>
          <w:b w:val="0"/>
          <w:bCs w:val="0"/>
          <w:color w:val="000000"/>
          <w:kern w:val="2"/>
          <w:sz w:val="24"/>
          <w:szCs w:val="24"/>
        </w:rPr>
        <w:t>《通用安装工程工程量清单计价规范》（GB50856-2013）</w:t>
      </w:r>
      <w:r>
        <w:rPr>
          <w:rFonts w:hint="eastAsia" w:ascii="宋体" w:hAnsi="宋体" w:eastAsia="宋体" w:cs="宋体"/>
          <w:b w:val="0"/>
          <w:bCs w:val="0"/>
          <w:color w:val="000000"/>
          <w:kern w:val="2"/>
          <w:sz w:val="24"/>
          <w:szCs w:val="24"/>
          <w:lang w:eastAsia="zh-CN"/>
        </w:rPr>
        <w:t>；</w:t>
      </w:r>
    </w:p>
    <w:p w14:paraId="11FCA1EB">
      <w:pPr>
        <w:spacing w:line="360" w:lineRule="auto"/>
        <w:ind w:firstLine="480" w:firstLine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lang w:val="en-US" w:eastAsia="zh-CN"/>
          <w14:textFill>
            <w14:solidFill>
              <w14:schemeClr w14:val="tx1"/>
            </w14:solidFill>
          </w14:textFill>
        </w:rPr>
        <w:t>3</w:t>
      </w:r>
      <w:r>
        <w:rPr>
          <w:rFonts w:hint="eastAsia" w:cs="宋体" w:asciiTheme="minorEastAsia" w:hAnsiTheme="minorEastAsia"/>
          <w:color w:val="000000" w:themeColor="text1"/>
          <w:sz w:val="24"/>
          <w14:textFill>
            <w14:solidFill>
              <w14:schemeClr w14:val="tx1"/>
            </w14:solidFill>
          </w14:textFill>
        </w:rPr>
        <w:t>、《江苏省建筑与装饰工程计价定额》2014版；</w:t>
      </w:r>
    </w:p>
    <w:p w14:paraId="6AFFF591">
      <w:pPr>
        <w:spacing w:line="360" w:lineRule="auto"/>
        <w:ind w:firstLine="480" w:firstLine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lang w:val="en-US" w:eastAsia="zh-CN"/>
          <w14:textFill>
            <w14:solidFill>
              <w14:schemeClr w14:val="tx1"/>
            </w14:solidFill>
          </w14:textFill>
        </w:rPr>
        <w:t>4</w:t>
      </w:r>
      <w:r>
        <w:rPr>
          <w:rFonts w:hint="eastAsia" w:cs="宋体" w:asciiTheme="minorEastAsia" w:hAnsiTheme="minorEastAsia"/>
          <w:color w:val="000000" w:themeColor="text1"/>
          <w:sz w:val="24"/>
          <w14:textFill>
            <w14:solidFill>
              <w14:schemeClr w14:val="tx1"/>
            </w14:solidFill>
          </w14:textFill>
        </w:rPr>
        <w:t>、《江苏省安装工程计价定额》2014版；</w:t>
      </w:r>
    </w:p>
    <w:p w14:paraId="0E309C24">
      <w:pPr>
        <w:spacing w:line="360" w:lineRule="auto"/>
        <w:ind w:firstLine="480" w:firstLine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lang w:val="en-US" w:eastAsia="zh-CN"/>
          <w14:textFill>
            <w14:solidFill>
              <w14:schemeClr w14:val="tx1"/>
            </w14:solidFill>
          </w14:textFill>
        </w:rPr>
        <w:t>5</w:t>
      </w:r>
      <w:r>
        <w:rPr>
          <w:rFonts w:hint="eastAsia" w:cs="宋体" w:asciiTheme="minorEastAsia" w:hAnsiTheme="minorEastAsia"/>
          <w:color w:val="000000" w:themeColor="text1"/>
          <w:sz w:val="24"/>
          <w14:textFill>
            <w14:solidFill>
              <w14:schemeClr w14:val="tx1"/>
            </w14:solidFill>
          </w14:textFill>
        </w:rPr>
        <w:t>、《江苏省2014机械台班定额》；</w:t>
      </w:r>
    </w:p>
    <w:p w14:paraId="4EC6694F">
      <w:pPr>
        <w:spacing w:line="360" w:lineRule="auto"/>
        <w:ind w:firstLine="480" w:firstLine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lang w:val="en-US" w:eastAsia="zh-CN"/>
          <w14:textFill>
            <w14:solidFill>
              <w14:schemeClr w14:val="tx1"/>
            </w14:solidFill>
          </w14:textFill>
        </w:rPr>
        <w:t>6</w:t>
      </w:r>
      <w:r>
        <w:rPr>
          <w:rFonts w:hint="eastAsia" w:cs="宋体" w:asciiTheme="minorEastAsia" w:hAnsiTheme="minorEastAsia"/>
          <w:color w:val="000000" w:themeColor="text1"/>
          <w:sz w:val="24"/>
          <w14:textFill>
            <w14:solidFill>
              <w14:schemeClr w14:val="tx1"/>
            </w14:solidFill>
          </w14:textFill>
        </w:rPr>
        <w:t>、《房屋建筑与装饰工程工程量计算规范》GB50854-2013；</w:t>
      </w:r>
    </w:p>
    <w:p w14:paraId="21F3AFC3">
      <w:pPr>
        <w:spacing w:line="360" w:lineRule="auto"/>
        <w:ind w:firstLine="480" w:firstLine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lang w:val="en-US" w:eastAsia="zh-CN"/>
          <w14:textFill>
            <w14:solidFill>
              <w14:schemeClr w14:val="tx1"/>
            </w14:solidFill>
          </w14:textFill>
        </w:rPr>
        <w:t>7</w:t>
      </w:r>
      <w:r>
        <w:rPr>
          <w:rFonts w:hint="eastAsia" w:cs="宋体" w:asciiTheme="minorEastAsia" w:hAnsiTheme="minorEastAsia"/>
          <w:color w:val="000000" w:themeColor="text1"/>
          <w:sz w:val="24"/>
          <w14:textFill>
            <w14:solidFill>
              <w14:schemeClr w14:val="tx1"/>
            </w14:solidFill>
          </w14:textFill>
        </w:rPr>
        <w:t>、《通用安装工程工程量计算规范》GB50856-2013；</w:t>
      </w:r>
    </w:p>
    <w:p w14:paraId="291ECECC">
      <w:pPr>
        <w:spacing w:line="360" w:lineRule="auto"/>
        <w:ind w:firstLine="480" w:firstLineChars="200"/>
        <w:rPr>
          <w:rFonts w:hint="eastAsia"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lang w:val="en-US" w:eastAsia="zh-CN"/>
          <w14:textFill>
            <w14:solidFill>
              <w14:schemeClr w14:val="tx1"/>
            </w14:solidFill>
          </w14:textFill>
        </w:rPr>
        <w:t>8</w:t>
      </w:r>
      <w:r>
        <w:rPr>
          <w:rFonts w:hint="eastAsia" w:cs="宋体" w:asciiTheme="minorEastAsia" w:hAnsiTheme="minorEastAsia"/>
          <w:color w:val="000000" w:themeColor="text1"/>
          <w:sz w:val="24"/>
          <w14:textFill>
            <w14:solidFill>
              <w14:schemeClr w14:val="tx1"/>
            </w14:solidFill>
          </w14:textFill>
        </w:rPr>
        <w:t>、《江苏省建设工程费用定额》（</w:t>
      </w:r>
      <w:r>
        <w:rPr>
          <w:rFonts w:cs="宋体" w:asciiTheme="minorEastAsia" w:hAnsiTheme="minorEastAsia"/>
          <w:color w:val="000000" w:themeColor="text1"/>
          <w:sz w:val="24"/>
          <w14:textFill>
            <w14:solidFill>
              <w14:schemeClr w14:val="tx1"/>
            </w14:solidFill>
          </w14:textFill>
        </w:rPr>
        <w:t>20</w:t>
      </w:r>
      <w:r>
        <w:rPr>
          <w:rFonts w:hint="eastAsia" w:cs="宋体" w:asciiTheme="minorEastAsia" w:hAnsiTheme="minorEastAsia"/>
          <w:color w:val="000000" w:themeColor="text1"/>
          <w:sz w:val="24"/>
          <w14:textFill>
            <w14:solidFill>
              <w14:schemeClr w14:val="tx1"/>
            </w14:solidFill>
          </w14:textFill>
        </w:rPr>
        <w:t>14版)；</w:t>
      </w:r>
    </w:p>
    <w:p w14:paraId="29A357AC">
      <w:pPr>
        <w:spacing w:line="360" w:lineRule="auto"/>
        <w:ind w:firstLine="480" w:firstLineChars="200"/>
        <w:rPr>
          <w:rFonts w:hint="default" w:cs="宋体" w:asciiTheme="minorEastAsia" w:hAnsiTheme="minorEastAsia" w:eastAsiaTheme="minorEastAsia"/>
          <w:color w:val="000000" w:themeColor="text1"/>
          <w:sz w:val="24"/>
          <w:lang w:val="en-US" w:eastAsia="zh-CN"/>
          <w14:textFill>
            <w14:solidFill>
              <w14:schemeClr w14:val="tx1"/>
            </w14:solidFill>
          </w14:textFill>
        </w:rPr>
      </w:pPr>
      <w:r>
        <w:rPr>
          <w:rFonts w:hint="eastAsia" w:cs="宋体" w:asciiTheme="minorEastAsia" w:hAnsiTheme="minorEastAsia"/>
          <w:color w:val="000000" w:themeColor="text1"/>
          <w:sz w:val="24"/>
          <w:lang w:val="en-US" w:eastAsia="zh-CN"/>
          <w14:textFill>
            <w14:solidFill>
              <w14:schemeClr w14:val="tx1"/>
            </w14:solidFill>
          </w14:textFill>
        </w:rPr>
        <w:t>9、2009《江苏省房屋修缮工程计价表》；</w:t>
      </w:r>
    </w:p>
    <w:p w14:paraId="2CF7F570">
      <w:pPr>
        <w:spacing w:line="360" w:lineRule="auto"/>
        <w:ind w:firstLine="480" w:firstLineChars="200"/>
        <w:rPr>
          <w:rFonts w:hint="eastAsia" w:cs="宋体" w:asciiTheme="minorEastAsia" w:hAnsiTheme="minorEastAsia"/>
          <w:color w:val="000000" w:themeColor="text1"/>
          <w:sz w:val="24"/>
          <w:lang w:val="en-US" w:eastAsia="zh-CN"/>
          <w14:textFill>
            <w14:solidFill>
              <w14:schemeClr w14:val="tx1"/>
            </w14:solidFill>
          </w14:textFill>
        </w:rPr>
      </w:pPr>
      <w:r>
        <w:rPr>
          <w:rFonts w:hint="eastAsia" w:cs="宋体" w:asciiTheme="minorEastAsia" w:hAnsiTheme="minorEastAsia"/>
          <w:color w:val="000000" w:themeColor="text1"/>
          <w:sz w:val="24"/>
          <w:lang w:val="en-US" w:eastAsia="zh-CN"/>
          <w14:textFill>
            <w14:solidFill>
              <w14:schemeClr w14:val="tx1"/>
            </w14:solidFill>
          </w14:textFill>
        </w:rPr>
        <w:t>10、人工单价按苏建函【2026】27号省住房城乡建设厅关于发布建设工程人工工资指导价文件执行；</w:t>
      </w:r>
    </w:p>
    <w:p w14:paraId="1A874C6D">
      <w:pPr>
        <w:spacing w:line="360" w:lineRule="auto"/>
        <w:ind w:firstLine="480" w:firstLineChars="200"/>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lang w:val="en-US" w:eastAsia="zh-CN"/>
          <w14:textFill>
            <w14:solidFill>
              <w14:schemeClr w14:val="tx1"/>
            </w14:solidFill>
          </w14:textFill>
        </w:rPr>
        <w:t>11</w:t>
      </w:r>
      <w:r>
        <w:rPr>
          <w:rFonts w:hint="eastAsia" w:cs="宋体" w:asciiTheme="minorEastAsia" w:hAnsiTheme="minorEastAsia"/>
          <w:color w:val="000000" w:themeColor="text1"/>
          <w:sz w:val="24"/>
          <w14:textFill>
            <w14:solidFill>
              <w14:schemeClr w14:val="tx1"/>
            </w14:solidFill>
          </w14:textFill>
        </w:rPr>
        <w:t>、委托方提供的设计图纸</w:t>
      </w:r>
      <w:r>
        <w:rPr>
          <w:rFonts w:hint="eastAsia" w:cs="宋体" w:asciiTheme="minorEastAsia" w:hAnsiTheme="minorEastAsia"/>
          <w:color w:val="000000" w:themeColor="text1"/>
          <w:sz w:val="24"/>
          <w:lang w:val="en-US" w:eastAsia="zh-CN"/>
          <w14:textFill>
            <w14:solidFill>
              <w14:schemeClr w14:val="tx1"/>
            </w14:solidFill>
          </w14:textFill>
        </w:rPr>
        <w:t>等</w:t>
      </w:r>
      <w:r>
        <w:rPr>
          <w:rFonts w:hint="eastAsia" w:cs="宋体" w:asciiTheme="minorEastAsia" w:hAnsiTheme="minorEastAsia"/>
          <w:color w:val="000000" w:themeColor="text1"/>
          <w:sz w:val="24"/>
          <w:lang w:eastAsia="zh-CN"/>
          <w14:textFill>
            <w14:solidFill>
              <w14:schemeClr w14:val="tx1"/>
            </w14:solidFill>
          </w14:textFill>
        </w:rPr>
        <w:t>。</w:t>
      </w:r>
    </w:p>
    <w:p w14:paraId="5803A66B">
      <w:pPr>
        <w:tabs>
          <w:tab w:val="left" w:pos="0"/>
          <w:tab w:val="left" w:pos="540"/>
        </w:tabs>
        <w:spacing w:line="360" w:lineRule="auto"/>
        <w:rPr>
          <w:rFonts w:cs="宋体" w:asciiTheme="minorEastAsia" w:hAnsiTheme="minorEastAsia"/>
          <w:b/>
          <w:sz w:val="24"/>
        </w:rPr>
      </w:pPr>
      <w:r>
        <w:rPr>
          <w:rFonts w:hint="eastAsia" w:cs="宋体" w:asciiTheme="minorEastAsia" w:hAnsiTheme="minorEastAsia"/>
          <w:b/>
          <w:sz w:val="24"/>
        </w:rPr>
        <w:t>三、编制范围</w:t>
      </w:r>
    </w:p>
    <w:p w14:paraId="4065AF83">
      <w:pPr>
        <w:spacing w:line="360" w:lineRule="auto"/>
        <w:ind w:firstLine="480" w:firstLineChars="200"/>
        <w:rPr>
          <w:rFonts w:hint="eastAsia" w:asciiTheme="minorEastAsia" w:hAnsiTheme="minorEastAsia" w:eastAsiaTheme="minorEastAsia"/>
          <w:sz w:val="24"/>
          <w:lang w:eastAsia="zh-CN"/>
        </w:rPr>
      </w:pPr>
      <w:r>
        <w:rPr>
          <w:rFonts w:hint="eastAsia" w:asciiTheme="minorEastAsia" w:hAnsiTheme="minorEastAsia"/>
          <w:sz w:val="24"/>
        </w:rPr>
        <w:t>工程量清单及施工图范围内的全部工程</w:t>
      </w:r>
      <w:r>
        <w:rPr>
          <w:rFonts w:hint="eastAsia" w:asciiTheme="minorEastAsia" w:hAnsiTheme="minorEastAsia"/>
          <w:sz w:val="24"/>
          <w:lang w:eastAsia="zh-CN"/>
        </w:rPr>
        <w:t>。</w:t>
      </w:r>
    </w:p>
    <w:p w14:paraId="64E9CFF5">
      <w:pPr>
        <w:tabs>
          <w:tab w:val="left" w:pos="0"/>
          <w:tab w:val="left" w:pos="540"/>
        </w:tabs>
        <w:spacing w:line="360" w:lineRule="auto"/>
        <w:rPr>
          <w:rFonts w:cs="宋体" w:asciiTheme="minorEastAsia" w:hAnsiTheme="minorEastAsia"/>
          <w:b/>
          <w:sz w:val="24"/>
        </w:rPr>
      </w:pPr>
      <w:r>
        <w:rPr>
          <w:rFonts w:hint="eastAsia" w:cs="宋体" w:asciiTheme="minorEastAsia" w:hAnsiTheme="minorEastAsia"/>
          <w:b/>
          <w:sz w:val="24"/>
        </w:rPr>
        <w:t>四、编制说明</w:t>
      </w:r>
    </w:p>
    <w:p w14:paraId="72A4140C">
      <w:pPr>
        <w:tabs>
          <w:tab w:val="left" w:pos="0"/>
          <w:tab w:val="left" w:pos="540"/>
        </w:tabs>
        <w:spacing w:line="360" w:lineRule="auto"/>
        <w:rPr>
          <w:rFonts w:hint="eastAsia" w:asciiTheme="minorEastAsia" w:hAnsiTheme="minorEastAsia"/>
          <w:b/>
          <w:bCs/>
          <w:sz w:val="24"/>
        </w:rPr>
      </w:pPr>
      <w:r>
        <w:rPr>
          <w:rFonts w:hint="eastAsia" w:asciiTheme="minorEastAsia" w:hAnsiTheme="minorEastAsia"/>
          <w:b/>
          <w:bCs/>
          <w:sz w:val="24"/>
        </w:rPr>
        <w:t>（</w:t>
      </w:r>
      <w:r>
        <w:rPr>
          <w:rFonts w:hint="eastAsia" w:asciiTheme="minorEastAsia" w:hAnsiTheme="minorEastAsia"/>
          <w:b/>
          <w:bCs/>
          <w:sz w:val="24"/>
          <w:lang w:val="en-US" w:eastAsia="zh-CN"/>
        </w:rPr>
        <w:t>一</w:t>
      </w:r>
      <w:r>
        <w:rPr>
          <w:rFonts w:hint="eastAsia" w:asciiTheme="minorEastAsia" w:hAnsiTheme="minorEastAsia"/>
          <w:b/>
          <w:bCs/>
          <w:sz w:val="24"/>
        </w:rPr>
        <w:t>）、</w:t>
      </w:r>
      <w:r>
        <w:rPr>
          <w:rFonts w:hint="eastAsia" w:asciiTheme="minorEastAsia" w:hAnsiTheme="minorEastAsia"/>
          <w:b/>
          <w:bCs/>
          <w:sz w:val="24"/>
          <w:lang w:val="en-US" w:eastAsia="zh-CN"/>
        </w:rPr>
        <w:t>装饰</w:t>
      </w:r>
      <w:r>
        <w:rPr>
          <w:rFonts w:hint="eastAsia" w:asciiTheme="minorEastAsia" w:hAnsiTheme="minorEastAsia"/>
          <w:b/>
          <w:bCs/>
          <w:sz w:val="24"/>
        </w:rPr>
        <w:t>编制说明</w:t>
      </w:r>
    </w:p>
    <w:p w14:paraId="2B1C80F9">
      <w:pPr>
        <w:spacing w:line="360" w:lineRule="auto"/>
        <w:ind w:firstLine="480" w:firstLineChars="200"/>
        <w:rPr>
          <w:rFonts w:hint="eastAsia" w:asciiTheme="minorEastAsia" w:hAnsiTheme="minorEastAsia"/>
          <w:sz w:val="24"/>
        </w:rPr>
      </w:pPr>
      <w:r>
        <w:rPr>
          <w:rFonts w:hint="eastAsia" w:asciiTheme="minorEastAsia" w:hAnsiTheme="minorEastAsia"/>
          <w:sz w:val="24"/>
          <w:lang w:val="en-US" w:eastAsia="zh-CN"/>
        </w:rPr>
        <w:t>1、</w:t>
      </w:r>
      <w:r>
        <w:rPr>
          <w:rFonts w:hint="eastAsia" w:asciiTheme="minorEastAsia" w:hAnsiTheme="minorEastAsia"/>
          <w:sz w:val="24"/>
        </w:rPr>
        <w:t>本工程各清单项目仅列出了主要工作内容，除另有规定和说明外，应视为已经包含完成该项目所列或未列的全部工作内容。本清单所列工程数量是现场情况估算和暂定的，仅作为投标的共同基础，不能作为最终结算与支付的依据。</w:t>
      </w:r>
    </w:p>
    <w:p w14:paraId="35873FA5">
      <w:pPr>
        <w:spacing w:line="360" w:lineRule="auto"/>
        <w:ind w:firstLine="480" w:firstLineChars="200"/>
        <w:rPr>
          <w:rFonts w:hint="eastAsia" w:asciiTheme="minorEastAsia" w:hAnsiTheme="minorEastAsia"/>
          <w:sz w:val="24"/>
        </w:rPr>
      </w:pPr>
      <w:r>
        <w:rPr>
          <w:rFonts w:hint="eastAsia" w:asciiTheme="minorEastAsia" w:hAnsiTheme="minorEastAsia"/>
          <w:sz w:val="24"/>
          <w:lang w:val="en-US" w:eastAsia="zh-CN"/>
        </w:rPr>
        <w:t>2、</w:t>
      </w:r>
      <w:r>
        <w:rPr>
          <w:rFonts w:hint="eastAsia" w:asciiTheme="minorEastAsia" w:hAnsiTheme="minorEastAsia"/>
          <w:sz w:val="24"/>
        </w:rPr>
        <w:t>本工程所用材料、设备均需符合绿色环保的要求且辐射值在国家规定范围之内。所有材料卸力费、上料费、保管费、配合费、二次搬运费均应考虑在综合单价中，不再另外计取。</w:t>
      </w:r>
    </w:p>
    <w:p w14:paraId="075DDE16">
      <w:pPr>
        <w:spacing w:line="360" w:lineRule="auto"/>
        <w:ind w:firstLine="480" w:firstLineChars="200"/>
        <w:rPr>
          <w:rFonts w:hint="eastAsia" w:asciiTheme="minorEastAsia" w:hAnsiTheme="minorEastAsia"/>
          <w:sz w:val="24"/>
        </w:rPr>
      </w:pPr>
      <w:r>
        <w:rPr>
          <w:rFonts w:hint="eastAsia" w:asciiTheme="minorEastAsia" w:hAnsiTheme="minorEastAsia"/>
          <w:sz w:val="24"/>
          <w:lang w:val="en-US" w:eastAsia="zh-CN"/>
        </w:rPr>
        <w:t>3、</w:t>
      </w:r>
      <w:r>
        <w:rPr>
          <w:rFonts w:hint="eastAsia" w:asciiTheme="minorEastAsia" w:hAnsiTheme="minorEastAsia"/>
          <w:sz w:val="24"/>
        </w:rPr>
        <w:t>本工程清单中所有镀锌钢材均为热镀锌钢材，所有不锈钢均为304不锈钢；</w:t>
      </w:r>
    </w:p>
    <w:p w14:paraId="6152D263">
      <w:pPr>
        <w:spacing w:line="360" w:lineRule="auto"/>
        <w:ind w:firstLine="480" w:firstLineChars="200"/>
        <w:rPr>
          <w:rFonts w:hint="eastAsia" w:asciiTheme="minorEastAsia" w:hAnsiTheme="minorEastAsia"/>
          <w:color w:val="auto"/>
          <w:sz w:val="24"/>
        </w:rPr>
      </w:pPr>
      <w:r>
        <w:rPr>
          <w:rFonts w:hint="eastAsia" w:asciiTheme="minorEastAsia" w:hAnsiTheme="minorEastAsia"/>
          <w:color w:val="auto"/>
          <w:sz w:val="24"/>
          <w:lang w:val="en-US" w:eastAsia="zh-CN"/>
        </w:rPr>
        <w:t>4、</w:t>
      </w:r>
      <w:r>
        <w:rPr>
          <w:rFonts w:hint="eastAsia" w:asciiTheme="minorEastAsia" w:hAnsiTheme="minorEastAsia"/>
          <w:color w:val="auto"/>
          <w:sz w:val="24"/>
        </w:rPr>
        <w:t>投标报价时应根据图纸充分考虑各种材料的材料损耗，结算不调整。</w:t>
      </w:r>
    </w:p>
    <w:p w14:paraId="47F7E926">
      <w:pPr>
        <w:spacing w:line="360" w:lineRule="auto"/>
        <w:ind w:firstLine="480" w:firstLineChars="200"/>
        <w:rPr>
          <w:rFonts w:hint="eastAsia" w:asciiTheme="minorEastAsia" w:hAnsiTheme="minorEastAsia"/>
          <w:color w:val="auto"/>
          <w:sz w:val="24"/>
        </w:rPr>
      </w:pPr>
      <w:r>
        <w:rPr>
          <w:rFonts w:hint="eastAsia" w:asciiTheme="minorEastAsia" w:hAnsiTheme="minorEastAsia"/>
          <w:color w:val="auto"/>
          <w:sz w:val="24"/>
          <w:lang w:val="en-US" w:eastAsia="zh-CN"/>
        </w:rPr>
        <w:t>5、</w:t>
      </w:r>
      <w:r>
        <w:rPr>
          <w:rFonts w:hint="eastAsia" w:asciiTheme="minorEastAsia" w:hAnsiTheme="minorEastAsia"/>
          <w:color w:val="auto"/>
          <w:sz w:val="24"/>
        </w:rPr>
        <w:t>清单中所有墙地砖、不锈钢、铝板饰面、石材等的切割、折边、抽槽、倒角、磨边、开孔、</w:t>
      </w:r>
      <w:r>
        <w:rPr>
          <w:rFonts w:hint="eastAsia" w:asciiTheme="minorEastAsia" w:hAnsiTheme="minorEastAsia"/>
          <w:color w:val="auto"/>
          <w:sz w:val="24"/>
          <w:lang w:val="en-US" w:eastAsia="zh-CN"/>
        </w:rPr>
        <w:t>背贴钢筋、背贴加强石、见光、亚光、防碱背涂、防水抗裂剂背涂处理、六面防护、表面结晶处理、加强骨架、开孔</w:t>
      </w:r>
      <w:r>
        <w:rPr>
          <w:rFonts w:hint="eastAsia" w:asciiTheme="minorEastAsia" w:hAnsiTheme="minorEastAsia"/>
          <w:color w:val="auto"/>
          <w:sz w:val="24"/>
        </w:rPr>
        <w:t>等费用, 应考虑在相应的综合单价内，结算时不再另计；</w:t>
      </w:r>
    </w:p>
    <w:p w14:paraId="4E6EDB12">
      <w:pPr>
        <w:spacing w:line="360" w:lineRule="auto"/>
        <w:ind w:firstLine="480" w:firstLineChars="200"/>
        <w:rPr>
          <w:rFonts w:hint="eastAsia" w:asciiTheme="minorEastAsia" w:hAnsiTheme="minorEastAsia"/>
          <w:sz w:val="24"/>
        </w:rPr>
      </w:pPr>
      <w:r>
        <w:rPr>
          <w:rFonts w:hint="eastAsia" w:asciiTheme="minorEastAsia" w:hAnsiTheme="minorEastAsia"/>
          <w:sz w:val="24"/>
          <w:lang w:val="en-US" w:eastAsia="zh-CN"/>
        </w:rPr>
        <w:t>6、</w:t>
      </w:r>
      <w:r>
        <w:rPr>
          <w:rFonts w:hint="eastAsia" w:asciiTheme="minorEastAsia" w:hAnsiTheme="minorEastAsia"/>
          <w:sz w:val="24"/>
        </w:rPr>
        <w:t>现场所有木饰面、不锈钢饰面、玻璃、墙地砖等所有边角施工完成后，为满足观感质量而打的美容胶以及细部收刹做法，投标单位自行考虑费用，结算不再另计。</w:t>
      </w:r>
    </w:p>
    <w:p w14:paraId="206FB84F">
      <w:pPr>
        <w:spacing w:line="360" w:lineRule="auto"/>
        <w:ind w:firstLine="480" w:firstLineChars="200"/>
        <w:rPr>
          <w:rFonts w:hint="eastAsia" w:asciiTheme="minorEastAsia" w:hAnsiTheme="minorEastAsia"/>
          <w:sz w:val="24"/>
        </w:rPr>
      </w:pPr>
      <w:r>
        <w:rPr>
          <w:rFonts w:hint="eastAsia" w:asciiTheme="minorEastAsia" w:hAnsiTheme="minorEastAsia"/>
          <w:sz w:val="24"/>
          <w:lang w:val="en-US" w:eastAsia="zh-CN"/>
        </w:rPr>
        <w:t>7、</w:t>
      </w:r>
      <w:r>
        <w:rPr>
          <w:rFonts w:hint="eastAsia" w:asciiTheme="minorEastAsia" w:hAnsiTheme="minorEastAsia"/>
          <w:sz w:val="24"/>
        </w:rPr>
        <w:t>本工程所用埋件（后置埋件）、吊筋、龙骨、钢骨架、基层板、饰面材料等含量由投标人按照施工图纸及相关规范自行测算报价，结算时不作调整。清单中所有的的钢含量基层，投标人根据图纸，自行测算含量，结算不再调整。</w:t>
      </w:r>
    </w:p>
    <w:p w14:paraId="32366D4A">
      <w:pPr>
        <w:spacing w:line="360" w:lineRule="auto"/>
        <w:ind w:firstLine="480" w:firstLineChars="200"/>
        <w:rPr>
          <w:rFonts w:hint="eastAsia" w:asciiTheme="minorEastAsia" w:hAnsiTheme="minorEastAsia"/>
          <w:sz w:val="24"/>
        </w:rPr>
      </w:pPr>
      <w:r>
        <w:rPr>
          <w:rFonts w:hint="eastAsia" w:asciiTheme="minorEastAsia" w:hAnsiTheme="minorEastAsia"/>
          <w:sz w:val="24"/>
          <w:lang w:val="en-US" w:eastAsia="zh-CN"/>
        </w:rPr>
        <w:t>8、</w:t>
      </w:r>
      <w:r>
        <w:rPr>
          <w:rFonts w:hint="eastAsia" w:asciiTheme="minorEastAsia" w:hAnsiTheme="minorEastAsia"/>
          <w:sz w:val="24"/>
        </w:rPr>
        <w:t>本工程所有装饰面层（如木饰面、套装木门、无机涂料等）颜色、纹理在施工过程中由发包人确认，投标人报价时应充分考虑颜色、纹理更换导致的价格风险；</w:t>
      </w:r>
    </w:p>
    <w:p w14:paraId="76C9AC70">
      <w:pPr>
        <w:spacing w:line="360" w:lineRule="auto"/>
        <w:ind w:firstLine="480" w:firstLineChars="200"/>
        <w:rPr>
          <w:rFonts w:hint="eastAsia" w:asciiTheme="minorEastAsia" w:hAnsiTheme="minorEastAsia"/>
          <w:sz w:val="24"/>
        </w:rPr>
      </w:pPr>
      <w:r>
        <w:rPr>
          <w:rFonts w:hint="eastAsia" w:asciiTheme="minorEastAsia" w:hAnsiTheme="minorEastAsia"/>
          <w:sz w:val="24"/>
          <w:lang w:val="en-US" w:eastAsia="zh-CN"/>
        </w:rPr>
        <w:t>9、</w:t>
      </w:r>
      <w:r>
        <w:rPr>
          <w:rFonts w:hint="eastAsia" w:asciiTheme="minorEastAsia" w:hAnsiTheme="minorEastAsia"/>
          <w:sz w:val="24"/>
        </w:rPr>
        <w:t>单价及总价措施项目清单未列的，如投标单位认为实际现场需要的其他措施，则投标单位需将其费用自行考虑在投标总价内，结算时不新增措施项目清单；</w:t>
      </w:r>
    </w:p>
    <w:p w14:paraId="072CEE0B">
      <w:pPr>
        <w:spacing w:line="360" w:lineRule="auto"/>
        <w:ind w:firstLine="480" w:firstLineChars="200"/>
        <w:rPr>
          <w:rFonts w:hint="eastAsia" w:asciiTheme="minorEastAsia" w:hAnsiTheme="minorEastAsia"/>
          <w:sz w:val="24"/>
        </w:rPr>
      </w:pPr>
      <w:r>
        <w:rPr>
          <w:rFonts w:hint="eastAsia" w:asciiTheme="minorEastAsia" w:hAnsiTheme="minorEastAsia"/>
          <w:sz w:val="24"/>
          <w:lang w:val="en-US" w:eastAsia="zh-CN"/>
        </w:rPr>
        <w:t>10、</w:t>
      </w:r>
      <w:r>
        <w:rPr>
          <w:rFonts w:hint="eastAsia" w:asciiTheme="minorEastAsia" w:hAnsiTheme="minorEastAsia"/>
          <w:sz w:val="24"/>
        </w:rPr>
        <w:t>本工程所用装饰材料防火等级均应满足设计及规范要求；木基层板、各类免漆板、柜体等木质类均为E1级环保要求；</w:t>
      </w:r>
    </w:p>
    <w:p w14:paraId="2EE21591">
      <w:pPr>
        <w:spacing w:line="360" w:lineRule="auto"/>
        <w:ind w:firstLine="480" w:firstLineChars="200"/>
        <w:rPr>
          <w:rFonts w:hint="eastAsia" w:asciiTheme="minorEastAsia" w:hAnsiTheme="minorEastAsia"/>
          <w:sz w:val="24"/>
        </w:rPr>
      </w:pPr>
      <w:r>
        <w:rPr>
          <w:rFonts w:hint="eastAsia" w:asciiTheme="minorEastAsia" w:hAnsiTheme="minorEastAsia"/>
          <w:sz w:val="24"/>
          <w:lang w:val="en-US" w:eastAsia="zh-CN"/>
        </w:rPr>
        <w:t>11、</w:t>
      </w:r>
      <w:r>
        <w:rPr>
          <w:rFonts w:hint="eastAsia" w:asciiTheme="minorEastAsia" w:hAnsiTheme="minorEastAsia"/>
          <w:sz w:val="24"/>
        </w:rPr>
        <w:t>工程完工后，对包括但不限于装修范围及涉及范围的保洁工作由中标人负责，有关费用投标人综合考虑在投标报价内，结算时招标人不另行支付费用；</w:t>
      </w:r>
      <w:r>
        <w:rPr>
          <w:rFonts w:hint="eastAsia" w:asciiTheme="minorEastAsia" w:hAnsiTheme="minorEastAsia"/>
          <w:sz w:val="24"/>
          <w:lang w:val="en-US" w:eastAsia="zh-CN"/>
        </w:rPr>
        <w:t>竣工保洁工作（包含清洗费用），满足建设单位要求。考虑在综合单价内，不另计算；</w:t>
      </w:r>
    </w:p>
    <w:p w14:paraId="47AFD171">
      <w:pPr>
        <w:spacing w:line="360" w:lineRule="auto"/>
        <w:ind w:firstLine="480" w:firstLineChars="200"/>
        <w:rPr>
          <w:rFonts w:hint="eastAsia" w:asciiTheme="minorEastAsia" w:hAnsiTheme="minorEastAsia"/>
          <w:sz w:val="24"/>
        </w:rPr>
      </w:pPr>
      <w:r>
        <w:rPr>
          <w:rFonts w:hint="eastAsia" w:asciiTheme="minorEastAsia" w:hAnsiTheme="minorEastAsia"/>
          <w:sz w:val="24"/>
          <w:lang w:val="en-US" w:eastAsia="zh-CN"/>
        </w:rPr>
        <w:t>12、</w:t>
      </w:r>
      <w:r>
        <w:rPr>
          <w:rFonts w:hint="eastAsia" w:asciiTheme="minorEastAsia" w:hAnsiTheme="minorEastAsia"/>
          <w:sz w:val="24"/>
        </w:rPr>
        <w:t>本工程所需水、接电或自行发电等费用由承包人负责，相关费用在投标报价中考虑，施工过程中不另计量。</w:t>
      </w:r>
    </w:p>
    <w:p w14:paraId="51220567">
      <w:pPr>
        <w:spacing w:line="360" w:lineRule="auto"/>
        <w:ind w:firstLine="480" w:firstLineChars="200"/>
        <w:rPr>
          <w:rFonts w:hint="eastAsia" w:asciiTheme="minorEastAsia" w:hAnsiTheme="minorEastAsia"/>
          <w:sz w:val="24"/>
        </w:rPr>
      </w:pPr>
      <w:r>
        <w:rPr>
          <w:rFonts w:hint="eastAsia" w:asciiTheme="minorEastAsia" w:hAnsiTheme="minorEastAsia"/>
          <w:sz w:val="24"/>
          <w:lang w:val="en-US" w:eastAsia="zh-CN"/>
        </w:rPr>
        <w:t>13、原顶面管线刷漆、风管等不另计，综合考虑在原顶面刷漆内。</w:t>
      </w:r>
    </w:p>
    <w:p w14:paraId="10429EAF">
      <w:pPr>
        <w:spacing w:line="360" w:lineRule="auto"/>
        <w:ind w:firstLine="480" w:firstLineChars="200"/>
        <w:rPr>
          <w:rFonts w:hint="eastAsia" w:asciiTheme="minorEastAsia" w:hAnsiTheme="minorEastAsia"/>
          <w:sz w:val="24"/>
          <w:lang w:val="en-US" w:eastAsia="zh-CN"/>
        </w:rPr>
      </w:pPr>
      <w:r>
        <w:rPr>
          <w:rFonts w:hint="eastAsia" w:asciiTheme="minorEastAsia" w:hAnsiTheme="minorEastAsia"/>
          <w:sz w:val="24"/>
          <w:lang w:val="en-US" w:eastAsia="zh-CN"/>
        </w:rPr>
        <w:t>14、</w:t>
      </w:r>
      <w:r>
        <w:rPr>
          <w:rFonts w:hint="eastAsia" w:asciiTheme="minorEastAsia" w:hAnsiTheme="minorEastAsia"/>
          <w:sz w:val="24"/>
        </w:rPr>
        <w:t>涉及观感材料类饰面颜色</w:t>
      </w:r>
      <w:r>
        <w:rPr>
          <w:rFonts w:hint="eastAsia" w:asciiTheme="minorEastAsia" w:hAnsiTheme="minorEastAsia"/>
          <w:sz w:val="24"/>
          <w:lang w:eastAsia="zh-CN"/>
        </w:rPr>
        <w:t>、</w:t>
      </w:r>
      <w:r>
        <w:rPr>
          <w:rFonts w:hint="eastAsia" w:asciiTheme="minorEastAsia" w:hAnsiTheme="minorEastAsia"/>
          <w:sz w:val="24"/>
          <w:lang w:val="en-US" w:eastAsia="zh-CN"/>
        </w:rPr>
        <w:t>纹路等</w:t>
      </w:r>
      <w:r>
        <w:rPr>
          <w:rFonts w:hint="eastAsia" w:asciiTheme="minorEastAsia" w:hAnsiTheme="minorEastAsia"/>
          <w:sz w:val="24"/>
        </w:rPr>
        <w:t>在施工中由业主确认，施工前封样按照甲方要求确定</w:t>
      </w:r>
      <w:r>
        <w:rPr>
          <w:rFonts w:hint="eastAsia" w:asciiTheme="minorEastAsia" w:hAnsiTheme="minorEastAsia"/>
          <w:sz w:val="24"/>
          <w:lang w:eastAsia="zh-CN"/>
        </w:rPr>
        <w:t>，</w:t>
      </w:r>
      <w:r>
        <w:rPr>
          <w:rFonts w:hint="eastAsia" w:asciiTheme="minorEastAsia" w:hAnsiTheme="minorEastAsia"/>
          <w:sz w:val="24"/>
        </w:rPr>
        <w:t>投标报价时应充分考虑</w:t>
      </w:r>
      <w:r>
        <w:rPr>
          <w:rFonts w:hint="eastAsia" w:asciiTheme="minorEastAsia" w:hAnsiTheme="minorEastAsia"/>
          <w:sz w:val="24"/>
          <w:lang w:val="en-US" w:eastAsia="zh-CN"/>
        </w:rPr>
        <w:t>以上内容</w:t>
      </w:r>
      <w:r>
        <w:rPr>
          <w:rFonts w:hint="eastAsia" w:asciiTheme="minorEastAsia" w:hAnsiTheme="minorEastAsia"/>
          <w:sz w:val="24"/>
        </w:rPr>
        <w:t>更换导致的价格风险</w:t>
      </w:r>
      <w:r>
        <w:rPr>
          <w:rFonts w:hint="eastAsia" w:asciiTheme="minorEastAsia" w:hAnsiTheme="minorEastAsia"/>
          <w:sz w:val="24"/>
          <w:lang w:eastAsia="zh-CN"/>
        </w:rPr>
        <w:t>，</w:t>
      </w:r>
      <w:r>
        <w:rPr>
          <w:rFonts w:hint="eastAsia" w:asciiTheme="minorEastAsia" w:hAnsiTheme="minorEastAsia"/>
          <w:sz w:val="24"/>
        </w:rPr>
        <w:t>结算时</w:t>
      </w:r>
      <w:r>
        <w:rPr>
          <w:rFonts w:hint="eastAsia" w:asciiTheme="minorEastAsia" w:hAnsiTheme="minorEastAsia"/>
          <w:sz w:val="24"/>
          <w:lang w:val="en-US" w:eastAsia="zh-CN"/>
        </w:rPr>
        <w:t>单价</w:t>
      </w:r>
      <w:r>
        <w:rPr>
          <w:rFonts w:hint="eastAsia" w:asciiTheme="minorEastAsia" w:hAnsiTheme="minorEastAsia"/>
          <w:sz w:val="24"/>
        </w:rPr>
        <w:t>不调整</w:t>
      </w:r>
      <w:r>
        <w:rPr>
          <w:rFonts w:hint="eastAsia" w:asciiTheme="minorEastAsia" w:hAnsiTheme="minorEastAsia"/>
          <w:sz w:val="24"/>
          <w:lang w:val="en-US" w:eastAsia="zh-CN"/>
        </w:rPr>
        <w:t>。</w:t>
      </w:r>
    </w:p>
    <w:p w14:paraId="4C73A95D">
      <w:pPr>
        <w:spacing w:line="360" w:lineRule="auto"/>
        <w:ind w:firstLine="480" w:firstLineChars="200"/>
        <w:rPr>
          <w:rFonts w:hint="eastAsia" w:asciiTheme="minorEastAsia" w:hAnsiTheme="minorEastAsia"/>
          <w:sz w:val="24"/>
          <w:lang w:val="en-US" w:eastAsia="zh-CN"/>
        </w:rPr>
      </w:pPr>
      <w:r>
        <w:rPr>
          <w:rFonts w:hint="eastAsia" w:asciiTheme="minorEastAsia" w:hAnsiTheme="minorEastAsia"/>
          <w:sz w:val="24"/>
          <w:lang w:val="en-US" w:eastAsia="zh-CN"/>
        </w:rPr>
        <w:t>15、所有墙地砖损耗（含设计排版、采购、施工等所有损耗）投标人在投标报价中充分考虑，选型定样需甲方确认。</w:t>
      </w:r>
    </w:p>
    <w:p w14:paraId="19A6EF6A">
      <w:pPr>
        <w:spacing w:line="360" w:lineRule="auto"/>
        <w:ind w:firstLine="480" w:firstLineChars="200"/>
        <w:rPr>
          <w:rFonts w:hint="eastAsia" w:asciiTheme="minorEastAsia" w:hAnsiTheme="minorEastAsia"/>
          <w:sz w:val="24"/>
          <w:lang w:val="en-US" w:eastAsia="zh-CN"/>
        </w:rPr>
      </w:pPr>
      <w:r>
        <w:rPr>
          <w:rFonts w:hint="eastAsia" w:asciiTheme="minorEastAsia" w:hAnsiTheme="minorEastAsia"/>
          <w:sz w:val="24"/>
          <w:lang w:val="en-US" w:eastAsia="zh-CN"/>
        </w:rPr>
        <w:t xml:space="preserve">16、所有按“项”为单位设置的分部分项清单和单价措施清单，投标人应充分熟悉现场情况，考虑本项目的施工组织设计和施工方案，现场根据甲方要求及相关政策法规实施，在报价中予以综合考虑，结算时该项价格不做任何调整。 </w:t>
      </w:r>
    </w:p>
    <w:p w14:paraId="1062980D">
      <w:pPr>
        <w:spacing w:line="360" w:lineRule="auto"/>
        <w:ind w:firstLine="480" w:firstLineChars="200"/>
        <w:rPr>
          <w:rFonts w:hint="eastAsia" w:asciiTheme="minorEastAsia" w:hAnsiTheme="minorEastAsia"/>
          <w:sz w:val="24"/>
          <w:lang w:eastAsia="zh-CN"/>
        </w:rPr>
      </w:pPr>
      <w:r>
        <w:rPr>
          <w:rFonts w:hint="eastAsia" w:asciiTheme="minorEastAsia" w:hAnsiTheme="minorEastAsia"/>
          <w:sz w:val="24"/>
          <w:lang w:val="en-US" w:eastAsia="zh-CN"/>
        </w:rPr>
        <w:t>17、投标综合单价应包含按图纸设计及规范要求施工所可能发生的一切费用。</w:t>
      </w:r>
    </w:p>
    <w:p w14:paraId="4C7C4DD9">
      <w:pPr>
        <w:spacing w:line="360" w:lineRule="auto"/>
        <w:ind w:firstLine="480" w:firstLineChars="200"/>
        <w:rPr>
          <w:rFonts w:hint="default" w:asciiTheme="minorEastAsia" w:hAnsiTheme="minorEastAsia"/>
          <w:sz w:val="24"/>
          <w:lang w:val="en-US" w:eastAsia="zh-CN"/>
        </w:rPr>
      </w:pPr>
      <w:r>
        <w:rPr>
          <w:rFonts w:hint="eastAsia" w:asciiTheme="minorEastAsia" w:hAnsiTheme="minorEastAsia"/>
          <w:sz w:val="24"/>
          <w:lang w:val="en-US" w:eastAsia="zh-CN"/>
        </w:rPr>
        <w:t>18、</w:t>
      </w:r>
      <w:r>
        <w:rPr>
          <w:rFonts w:hint="default" w:asciiTheme="minorEastAsia" w:hAnsiTheme="minorEastAsia"/>
          <w:sz w:val="24"/>
          <w:lang w:val="en-US" w:eastAsia="zh-CN"/>
        </w:rPr>
        <w:t>涉及木制品的综合单价中均按已考虑基层、油漆、防火、防腐漆在内，在工作内容栏内不再单独列入。</w:t>
      </w:r>
    </w:p>
    <w:p w14:paraId="1EA262C4">
      <w:pPr>
        <w:spacing w:line="360" w:lineRule="auto"/>
        <w:ind w:firstLine="480" w:firstLineChars="200"/>
        <w:rPr>
          <w:rFonts w:hint="eastAsia" w:asciiTheme="minorEastAsia" w:hAnsiTheme="minorEastAsia"/>
          <w:sz w:val="24"/>
        </w:rPr>
      </w:pPr>
      <w:r>
        <w:rPr>
          <w:rFonts w:hint="eastAsia" w:asciiTheme="minorEastAsia" w:hAnsiTheme="minorEastAsia"/>
          <w:sz w:val="24"/>
          <w:lang w:val="en-US" w:eastAsia="zh-CN"/>
        </w:rPr>
        <w:t>19、</w:t>
      </w:r>
      <w:r>
        <w:rPr>
          <w:rFonts w:hint="eastAsia" w:asciiTheme="minorEastAsia" w:hAnsiTheme="minorEastAsia"/>
          <w:sz w:val="24"/>
        </w:rPr>
        <w:t>门吸</w:t>
      </w:r>
      <w:r>
        <w:rPr>
          <w:rFonts w:hint="eastAsia" w:asciiTheme="minorEastAsia" w:hAnsiTheme="minorEastAsia"/>
          <w:sz w:val="24"/>
          <w:lang w:eastAsia="zh-CN"/>
        </w:rPr>
        <w:t>、</w:t>
      </w:r>
      <w:r>
        <w:rPr>
          <w:rFonts w:hint="eastAsia" w:asciiTheme="minorEastAsia" w:hAnsiTheme="minorEastAsia"/>
          <w:sz w:val="24"/>
          <w:lang w:val="en-US" w:eastAsia="zh-CN"/>
        </w:rPr>
        <w:t>地锁等</w:t>
      </w:r>
      <w:r>
        <w:rPr>
          <w:rFonts w:hint="eastAsia" w:asciiTheme="minorEastAsia" w:hAnsiTheme="minorEastAsia"/>
          <w:sz w:val="24"/>
        </w:rPr>
        <w:t>安装在地砖或石材地面上，在地砖或石材面上开孔、不锈钢螺丝固定等应考虑在相应的综合单价内，结算时综合单价不应安装方式不同而调整。</w:t>
      </w:r>
    </w:p>
    <w:p w14:paraId="5073A857">
      <w:pPr>
        <w:spacing w:line="360" w:lineRule="auto"/>
        <w:ind w:firstLine="480" w:firstLineChars="200"/>
        <w:rPr>
          <w:rFonts w:hint="eastAsia" w:asciiTheme="minorEastAsia" w:hAnsiTheme="minorEastAsia"/>
          <w:sz w:val="24"/>
        </w:rPr>
      </w:pPr>
      <w:r>
        <w:rPr>
          <w:rFonts w:hint="eastAsia" w:asciiTheme="minorEastAsia" w:hAnsiTheme="minorEastAsia"/>
          <w:sz w:val="24"/>
          <w:lang w:val="en-US" w:eastAsia="zh-CN"/>
        </w:rPr>
        <w:t>20、摄像头、风口、</w:t>
      </w:r>
      <w:r>
        <w:rPr>
          <w:rFonts w:hint="eastAsia" w:asciiTheme="minorEastAsia" w:hAnsiTheme="minorEastAsia"/>
          <w:sz w:val="24"/>
        </w:rPr>
        <w:t>烟感、喷淋开孔费均应含在相应的投标综合单价内，结算时不单独计量。</w:t>
      </w:r>
    </w:p>
    <w:p w14:paraId="0ABD13E2">
      <w:pPr>
        <w:spacing w:line="360" w:lineRule="auto"/>
        <w:ind w:firstLine="480" w:firstLineChars="200"/>
        <w:rPr>
          <w:rFonts w:hint="eastAsia" w:asciiTheme="minorEastAsia" w:hAnsiTheme="minorEastAsia"/>
          <w:sz w:val="24"/>
          <w:lang w:val="en-US" w:eastAsia="zh-CN"/>
        </w:rPr>
      </w:pPr>
      <w:r>
        <w:rPr>
          <w:rFonts w:hint="eastAsia" w:asciiTheme="minorEastAsia" w:hAnsiTheme="minorEastAsia"/>
          <w:sz w:val="24"/>
          <w:lang w:val="en-US" w:eastAsia="zh-CN"/>
        </w:rPr>
        <w:t>21、</w:t>
      </w:r>
      <w:r>
        <w:rPr>
          <w:rFonts w:hint="eastAsia" w:asciiTheme="minorEastAsia" w:hAnsiTheme="minorEastAsia"/>
          <w:sz w:val="24"/>
        </w:rPr>
        <w:t>投标人应按投标所选品牌施工，并于施工前向甲方提供相关样品及在施工现场做小样并经甲方认可。</w:t>
      </w:r>
    </w:p>
    <w:p w14:paraId="4627914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cs="宋体" w:asciiTheme="minorEastAsia" w:hAnsiTheme="minorEastAsia"/>
          <w:color w:val="000000" w:themeColor="text1"/>
          <w:sz w:val="24"/>
          <w:lang w:val="en-US" w:eastAsia="zh-CN"/>
          <w14:textFill>
            <w14:solidFill>
              <w14:schemeClr w14:val="tx1"/>
            </w14:solidFill>
          </w14:textFill>
        </w:rPr>
      </w:pPr>
      <w:r>
        <w:rPr>
          <w:rFonts w:hint="eastAsia" w:cs="宋体" w:asciiTheme="minorEastAsia" w:hAnsiTheme="minorEastAsia"/>
          <w:color w:val="000000" w:themeColor="text1"/>
          <w:sz w:val="24"/>
          <w:lang w:val="en-US" w:eastAsia="zh-CN"/>
          <w14:textFill>
            <w14:solidFill>
              <w14:schemeClr w14:val="tx1"/>
            </w14:solidFill>
          </w14:textFill>
        </w:rPr>
        <w:t>22、投标人应对招标图纸及项目特征的完整性、可实施性进行核查，如需深化设计或补充施工细节，相关责任及费用均由投标人承担并在综合单价中体现，结算时不另行计取。</w:t>
      </w:r>
    </w:p>
    <w:p w14:paraId="130F732A">
      <w:pPr>
        <w:spacing w:line="360" w:lineRule="auto"/>
        <w:rPr>
          <w:rFonts w:hint="eastAsia" w:asciiTheme="minorEastAsia" w:hAnsiTheme="minorEastAsia"/>
          <w:b/>
          <w:bCs/>
          <w:color w:val="auto"/>
          <w:sz w:val="24"/>
          <w:highlight w:val="none"/>
        </w:rPr>
      </w:pPr>
      <w:r>
        <w:rPr>
          <w:rFonts w:hint="eastAsia" w:asciiTheme="minorEastAsia" w:hAnsiTheme="minorEastAsia"/>
          <w:b/>
          <w:bCs/>
          <w:color w:val="auto"/>
          <w:sz w:val="24"/>
          <w:highlight w:val="none"/>
        </w:rPr>
        <w:t>（</w:t>
      </w:r>
      <w:r>
        <w:rPr>
          <w:rFonts w:hint="eastAsia" w:asciiTheme="minorEastAsia" w:hAnsiTheme="minorEastAsia"/>
          <w:b/>
          <w:bCs/>
          <w:color w:val="auto"/>
          <w:sz w:val="24"/>
          <w:highlight w:val="none"/>
          <w:lang w:val="en-US" w:eastAsia="zh-CN"/>
        </w:rPr>
        <w:t>二</w:t>
      </w:r>
      <w:r>
        <w:rPr>
          <w:rFonts w:hint="eastAsia" w:asciiTheme="minorEastAsia" w:hAnsiTheme="minorEastAsia"/>
          <w:b/>
          <w:bCs/>
          <w:color w:val="auto"/>
          <w:sz w:val="24"/>
          <w:highlight w:val="none"/>
        </w:rPr>
        <w:t>）、安装编制说明</w:t>
      </w:r>
    </w:p>
    <w:p w14:paraId="74EBAB1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cs="宋体" w:asciiTheme="minorEastAsia" w:hAnsiTheme="minorEastAsia"/>
          <w:color w:val="000000" w:themeColor="text1"/>
          <w:sz w:val="24"/>
          <w:lang w:val="en-US" w:eastAsia="zh-CN"/>
          <w14:textFill>
            <w14:solidFill>
              <w14:schemeClr w14:val="tx1"/>
            </w14:solidFill>
          </w14:textFill>
        </w:rPr>
      </w:pPr>
      <w:r>
        <w:rPr>
          <w:rFonts w:hint="eastAsia" w:cs="宋体" w:asciiTheme="minorEastAsia" w:hAnsiTheme="minorEastAsia"/>
          <w:color w:val="000000" w:themeColor="text1"/>
          <w:sz w:val="24"/>
          <w:lang w:val="en-US" w:eastAsia="zh-CN"/>
          <w14:textFill>
            <w14:solidFill>
              <w14:schemeClr w14:val="tx1"/>
            </w14:solidFill>
          </w14:textFill>
        </w:rPr>
        <w:t>1、AL1照明插座配电箱进线配管配线按15m暂计入控制价；</w:t>
      </w:r>
    </w:p>
    <w:p w14:paraId="60AF9A8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cs="宋体" w:asciiTheme="minorEastAsia" w:hAnsiTheme="minorEastAsia"/>
          <w:color w:val="000000" w:themeColor="text1"/>
          <w:sz w:val="24"/>
          <w:lang w:val="en-US" w:eastAsia="zh-CN"/>
          <w14:textFill>
            <w14:solidFill>
              <w14:schemeClr w14:val="tx1"/>
            </w14:solidFill>
          </w14:textFill>
        </w:rPr>
      </w:pPr>
      <w:r>
        <w:rPr>
          <w:rFonts w:hint="eastAsia" w:cs="宋体" w:asciiTheme="minorEastAsia" w:hAnsiTheme="minorEastAsia"/>
          <w:color w:val="000000" w:themeColor="text1"/>
          <w:sz w:val="24"/>
          <w:lang w:val="en-US" w:eastAsia="zh-CN"/>
          <w14:textFill>
            <w14:solidFill>
              <w14:schemeClr w14:val="tx1"/>
            </w14:solidFill>
          </w14:textFill>
        </w:rPr>
        <w:t>2、电热水器、小厨宝未计入本次控制价；</w:t>
      </w:r>
    </w:p>
    <w:p w14:paraId="48E53E0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cs="宋体" w:asciiTheme="minorEastAsia" w:hAnsiTheme="minorEastAsia"/>
          <w:color w:val="000000" w:themeColor="text1"/>
          <w:sz w:val="24"/>
          <w:lang w:val="en-US" w:eastAsia="zh-CN"/>
          <w14:textFill>
            <w14:solidFill>
              <w14:schemeClr w14:val="tx1"/>
            </w14:solidFill>
          </w14:textFill>
        </w:rPr>
      </w:pPr>
      <w:r>
        <w:rPr>
          <w:rFonts w:hint="eastAsia" w:cs="宋体" w:asciiTheme="minorEastAsia" w:hAnsiTheme="minorEastAsia"/>
          <w:color w:val="000000" w:themeColor="text1"/>
          <w:sz w:val="24"/>
          <w:lang w:val="en-US" w:eastAsia="zh-CN"/>
          <w14:textFill>
            <w14:solidFill>
              <w14:schemeClr w14:val="tx1"/>
            </w14:solidFill>
          </w14:textFill>
        </w:rPr>
        <w:t>3、厨房304食品级不锈钢三斗水池及水龙头未计入本次控制价；</w:t>
      </w:r>
    </w:p>
    <w:p w14:paraId="0EC963E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default" w:cs="宋体" w:asciiTheme="minorEastAsia" w:hAnsiTheme="minorEastAsia"/>
          <w:color w:val="000000" w:themeColor="text1"/>
          <w:sz w:val="24"/>
          <w:lang w:val="en-US" w:eastAsia="zh-CN"/>
          <w14:textFill>
            <w14:solidFill>
              <w14:schemeClr w14:val="tx1"/>
            </w14:solidFill>
          </w14:textFill>
        </w:rPr>
      </w:pPr>
      <w:r>
        <w:rPr>
          <w:rFonts w:hint="eastAsia" w:cs="宋体" w:asciiTheme="minorEastAsia" w:hAnsiTheme="minorEastAsia"/>
          <w:color w:val="000000" w:themeColor="text1"/>
          <w:sz w:val="24"/>
          <w:lang w:val="en-US" w:eastAsia="zh-CN"/>
          <w14:textFill>
            <w14:solidFill>
              <w14:schemeClr w14:val="tx1"/>
            </w14:solidFill>
          </w14:textFill>
        </w:rPr>
        <w:t>4、台下盆水龙头按普通冷热水龙头计入本次控制价；</w:t>
      </w:r>
    </w:p>
    <w:p w14:paraId="49C3F02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cs="宋体" w:asciiTheme="minorEastAsia" w:hAnsiTheme="minorEastAsia"/>
          <w:color w:val="000000" w:themeColor="text1"/>
          <w:sz w:val="24"/>
          <w:lang w:val="en-US" w:eastAsia="zh-CN"/>
          <w14:textFill>
            <w14:solidFill>
              <w14:schemeClr w14:val="tx1"/>
            </w14:solidFill>
          </w14:textFill>
        </w:rPr>
      </w:pPr>
      <w:r>
        <w:rPr>
          <w:rFonts w:hint="eastAsia" w:cs="宋体" w:asciiTheme="minorEastAsia" w:hAnsiTheme="minorEastAsia"/>
          <w:color w:val="000000" w:themeColor="text1"/>
          <w:sz w:val="24"/>
          <w:lang w:val="en-US" w:eastAsia="zh-CN"/>
          <w14:textFill>
            <w14:solidFill>
              <w14:schemeClr w14:val="tx1"/>
            </w14:solidFill>
          </w14:textFill>
        </w:rPr>
        <w:t>5、弱电系统仅预留弱电箱、桥架及配管等。</w:t>
      </w:r>
    </w:p>
    <w:p w14:paraId="10FF45D2">
      <w:pPr>
        <w:tabs>
          <w:tab w:val="left" w:pos="0"/>
          <w:tab w:val="left" w:pos="540"/>
        </w:tabs>
        <w:spacing w:line="360" w:lineRule="auto"/>
        <w:rPr>
          <w:rFonts w:hint="eastAsia" w:cs="宋体" w:asciiTheme="minorEastAsia" w:hAnsiTheme="minorEastAsia"/>
          <w:b/>
          <w:sz w:val="24"/>
          <w:lang w:val="en-US" w:eastAsia="zh-CN"/>
        </w:rPr>
      </w:pPr>
      <w:r>
        <w:rPr>
          <w:rFonts w:hint="eastAsia" w:cs="宋体" w:asciiTheme="minorEastAsia" w:hAnsiTheme="minorEastAsia"/>
          <w:b/>
          <w:sz w:val="24"/>
          <w:lang w:val="en-US" w:eastAsia="zh-CN"/>
        </w:rPr>
        <w:t>五、其他说明</w:t>
      </w:r>
    </w:p>
    <w:p w14:paraId="3742018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default" w:cs="宋体" w:asciiTheme="minorEastAsia" w:hAnsiTheme="minorEastAsia"/>
          <w:color w:val="000000" w:themeColor="text1"/>
          <w:sz w:val="24"/>
          <w:lang w:val="en-US" w:eastAsia="zh-CN"/>
          <w14:textFill>
            <w14:solidFill>
              <w14:schemeClr w14:val="tx1"/>
            </w14:solidFill>
          </w14:textFill>
        </w:rPr>
      </w:pPr>
      <w:r>
        <w:rPr>
          <w:rFonts w:hint="eastAsia" w:cs="宋体" w:asciiTheme="minorEastAsia" w:hAnsiTheme="minorEastAsia"/>
          <w:color w:val="000000" w:themeColor="text1"/>
          <w:sz w:val="24"/>
          <w:lang w:val="en-US" w:eastAsia="zh-CN"/>
          <w14:textFill>
            <w14:solidFill>
              <w14:schemeClr w14:val="tx1"/>
            </w14:solidFill>
          </w14:textFill>
        </w:rPr>
        <w:t>1、按照镇采购工作相关要求，本项目招标控制价按标底总价下浮15%计取。</w:t>
      </w:r>
    </w:p>
    <w:p w14:paraId="2B039E81">
      <w:pPr>
        <w:spacing w:line="500" w:lineRule="exact"/>
        <w:ind w:firstLine="7000" w:firstLineChars="2500"/>
        <w:jc w:val="left"/>
        <w:rPr>
          <w:rFonts w:hint="default" w:ascii="宋体" w:hAnsi="宋体" w:cs="仿宋_GB2312"/>
          <w:color w:val="auto"/>
          <w:sz w:val="28"/>
          <w:szCs w:val="28"/>
          <w:lang w:val="en-US" w:eastAsia="zh-CN"/>
        </w:rPr>
      </w:pPr>
      <w:bookmarkStart w:id="0" w:name="_GoBack"/>
      <w:bookmarkEnd w:id="0"/>
    </w:p>
    <w:sectPr>
      <w:pgSz w:w="11906" w:h="16838"/>
      <w:pgMar w:top="1270" w:right="1800" w:bottom="930" w:left="1800" w:header="851" w:footer="992" w:gutter="0"/>
      <w:pgBorders>
        <w:top w:val="none" w:sz="0" w:space="0"/>
        <w:left w:val="none" w:sz="0" w:space="0"/>
        <w:bottom w:val="none" w:sz="0" w:space="0"/>
        <w:right w:val="none" w:sz="0" w:space="0"/>
      </w:pgBorders>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zMWU3ZjU5M2FmOWUxZGYyNjUzMGQyNDA4MTZiNGYifQ=="/>
  </w:docVars>
  <w:rsids>
    <w:rsidRoot w:val="78361017"/>
    <w:rsid w:val="00016CEC"/>
    <w:rsid w:val="000438A7"/>
    <w:rsid w:val="00064F47"/>
    <w:rsid w:val="000E02E9"/>
    <w:rsid w:val="00100BFE"/>
    <w:rsid w:val="00143292"/>
    <w:rsid w:val="00152FA3"/>
    <w:rsid w:val="001838C9"/>
    <w:rsid w:val="001E6349"/>
    <w:rsid w:val="0020433B"/>
    <w:rsid w:val="002171D2"/>
    <w:rsid w:val="00247032"/>
    <w:rsid w:val="002544E7"/>
    <w:rsid w:val="002575F4"/>
    <w:rsid w:val="002B5EAA"/>
    <w:rsid w:val="002C2AD3"/>
    <w:rsid w:val="002E6D8E"/>
    <w:rsid w:val="002F41F6"/>
    <w:rsid w:val="0036424A"/>
    <w:rsid w:val="003672DC"/>
    <w:rsid w:val="003C5AA0"/>
    <w:rsid w:val="003C5BFB"/>
    <w:rsid w:val="003D4563"/>
    <w:rsid w:val="004269FE"/>
    <w:rsid w:val="0048145E"/>
    <w:rsid w:val="0048555D"/>
    <w:rsid w:val="00493F0A"/>
    <w:rsid w:val="004A0581"/>
    <w:rsid w:val="004D5688"/>
    <w:rsid w:val="00505FC4"/>
    <w:rsid w:val="005356C3"/>
    <w:rsid w:val="0054025C"/>
    <w:rsid w:val="00553E9F"/>
    <w:rsid w:val="00586D33"/>
    <w:rsid w:val="005B0BFE"/>
    <w:rsid w:val="005C1353"/>
    <w:rsid w:val="005F1694"/>
    <w:rsid w:val="006305E6"/>
    <w:rsid w:val="0064559E"/>
    <w:rsid w:val="00647F30"/>
    <w:rsid w:val="0067028C"/>
    <w:rsid w:val="00680A3D"/>
    <w:rsid w:val="006D728C"/>
    <w:rsid w:val="006F2FC1"/>
    <w:rsid w:val="00753550"/>
    <w:rsid w:val="007D4E8A"/>
    <w:rsid w:val="008338AE"/>
    <w:rsid w:val="00845410"/>
    <w:rsid w:val="008508BB"/>
    <w:rsid w:val="0087569F"/>
    <w:rsid w:val="008831B1"/>
    <w:rsid w:val="008B0F3E"/>
    <w:rsid w:val="008C2D83"/>
    <w:rsid w:val="008D5029"/>
    <w:rsid w:val="008E7233"/>
    <w:rsid w:val="00913D43"/>
    <w:rsid w:val="0091770D"/>
    <w:rsid w:val="009302EF"/>
    <w:rsid w:val="00937456"/>
    <w:rsid w:val="009530A9"/>
    <w:rsid w:val="00982A16"/>
    <w:rsid w:val="009D4E62"/>
    <w:rsid w:val="00AA79C6"/>
    <w:rsid w:val="00AC7145"/>
    <w:rsid w:val="00AF4634"/>
    <w:rsid w:val="00B14879"/>
    <w:rsid w:val="00B76C4B"/>
    <w:rsid w:val="00BA4537"/>
    <w:rsid w:val="00BF0703"/>
    <w:rsid w:val="00C01CD9"/>
    <w:rsid w:val="00C243EF"/>
    <w:rsid w:val="00C71D8F"/>
    <w:rsid w:val="00CA0DA7"/>
    <w:rsid w:val="00CC0E51"/>
    <w:rsid w:val="00D67571"/>
    <w:rsid w:val="00D803AB"/>
    <w:rsid w:val="00D93BBF"/>
    <w:rsid w:val="00DB2C6B"/>
    <w:rsid w:val="00E25D8C"/>
    <w:rsid w:val="00E458AA"/>
    <w:rsid w:val="00E604BD"/>
    <w:rsid w:val="00E8050C"/>
    <w:rsid w:val="00E859F9"/>
    <w:rsid w:val="00E96B4F"/>
    <w:rsid w:val="00EB3E9F"/>
    <w:rsid w:val="00EB7352"/>
    <w:rsid w:val="00ED4EBE"/>
    <w:rsid w:val="00F03DDC"/>
    <w:rsid w:val="00FD2EDD"/>
    <w:rsid w:val="00FD2EE3"/>
    <w:rsid w:val="00FD6FCD"/>
    <w:rsid w:val="00FF01FE"/>
    <w:rsid w:val="01207465"/>
    <w:rsid w:val="01D726F2"/>
    <w:rsid w:val="025C1C41"/>
    <w:rsid w:val="02755DFE"/>
    <w:rsid w:val="03050A00"/>
    <w:rsid w:val="07FE721D"/>
    <w:rsid w:val="085B7E00"/>
    <w:rsid w:val="085F37FD"/>
    <w:rsid w:val="08714C92"/>
    <w:rsid w:val="08B1314F"/>
    <w:rsid w:val="096D32B3"/>
    <w:rsid w:val="09761C22"/>
    <w:rsid w:val="09FA1A4D"/>
    <w:rsid w:val="0A062BC2"/>
    <w:rsid w:val="0B5001B3"/>
    <w:rsid w:val="0B6C0341"/>
    <w:rsid w:val="0C484F66"/>
    <w:rsid w:val="0C8D3AAD"/>
    <w:rsid w:val="0CFC3FDC"/>
    <w:rsid w:val="0D172366"/>
    <w:rsid w:val="0D925D34"/>
    <w:rsid w:val="0F1F58A5"/>
    <w:rsid w:val="10305DCD"/>
    <w:rsid w:val="10350017"/>
    <w:rsid w:val="108F295C"/>
    <w:rsid w:val="11B629FB"/>
    <w:rsid w:val="12080009"/>
    <w:rsid w:val="126170C1"/>
    <w:rsid w:val="13946A80"/>
    <w:rsid w:val="13C65773"/>
    <w:rsid w:val="13EC77E2"/>
    <w:rsid w:val="147014C1"/>
    <w:rsid w:val="14963F96"/>
    <w:rsid w:val="153F6C41"/>
    <w:rsid w:val="15DF1EA0"/>
    <w:rsid w:val="15F45C99"/>
    <w:rsid w:val="161A63AD"/>
    <w:rsid w:val="16441480"/>
    <w:rsid w:val="1693585C"/>
    <w:rsid w:val="16D3646B"/>
    <w:rsid w:val="170240B9"/>
    <w:rsid w:val="17B66696"/>
    <w:rsid w:val="17DF1AA2"/>
    <w:rsid w:val="17F378CF"/>
    <w:rsid w:val="1A092C9A"/>
    <w:rsid w:val="1A902CBE"/>
    <w:rsid w:val="1B1B5C44"/>
    <w:rsid w:val="1BB455C7"/>
    <w:rsid w:val="1C1E62FF"/>
    <w:rsid w:val="1C287DA4"/>
    <w:rsid w:val="1D1125A5"/>
    <w:rsid w:val="1D72321A"/>
    <w:rsid w:val="1D9A36A2"/>
    <w:rsid w:val="1DAA17BA"/>
    <w:rsid w:val="1EED7F7A"/>
    <w:rsid w:val="1F145C75"/>
    <w:rsid w:val="221958FB"/>
    <w:rsid w:val="22462F48"/>
    <w:rsid w:val="23C30BB3"/>
    <w:rsid w:val="23D76E57"/>
    <w:rsid w:val="24251814"/>
    <w:rsid w:val="24700EB4"/>
    <w:rsid w:val="24A31DAF"/>
    <w:rsid w:val="2584489B"/>
    <w:rsid w:val="265B2A53"/>
    <w:rsid w:val="2725381D"/>
    <w:rsid w:val="277E3FCB"/>
    <w:rsid w:val="27CF50B2"/>
    <w:rsid w:val="284553B4"/>
    <w:rsid w:val="29246AA9"/>
    <w:rsid w:val="29383010"/>
    <w:rsid w:val="294609CE"/>
    <w:rsid w:val="29B520E8"/>
    <w:rsid w:val="2A157B78"/>
    <w:rsid w:val="2A2B114A"/>
    <w:rsid w:val="2ACB56A5"/>
    <w:rsid w:val="2B032D2F"/>
    <w:rsid w:val="2B5E36E1"/>
    <w:rsid w:val="2B947461"/>
    <w:rsid w:val="2B9D683D"/>
    <w:rsid w:val="2C3B13EC"/>
    <w:rsid w:val="2CBA4DB9"/>
    <w:rsid w:val="2CEF1979"/>
    <w:rsid w:val="2E933214"/>
    <w:rsid w:val="2FAC6889"/>
    <w:rsid w:val="2FBD203A"/>
    <w:rsid w:val="2FD45215"/>
    <w:rsid w:val="313C17A4"/>
    <w:rsid w:val="32811051"/>
    <w:rsid w:val="32CF2DA3"/>
    <w:rsid w:val="345A1A55"/>
    <w:rsid w:val="3534097B"/>
    <w:rsid w:val="35C744C7"/>
    <w:rsid w:val="3643700C"/>
    <w:rsid w:val="369E56E1"/>
    <w:rsid w:val="36AE456E"/>
    <w:rsid w:val="36E44B5A"/>
    <w:rsid w:val="373B0A61"/>
    <w:rsid w:val="374331C7"/>
    <w:rsid w:val="37781718"/>
    <w:rsid w:val="377E089E"/>
    <w:rsid w:val="38090CCF"/>
    <w:rsid w:val="38EC6703"/>
    <w:rsid w:val="38F35859"/>
    <w:rsid w:val="394538AA"/>
    <w:rsid w:val="39754786"/>
    <w:rsid w:val="39B03912"/>
    <w:rsid w:val="39F5707E"/>
    <w:rsid w:val="3B3A2DF7"/>
    <w:rsid w:val="3B3A6E39"/>
    <w:rsid w:val="3B662930"/>
    <w:rsid w:val="3C375004"/>
    <w:rsid w:val="3D1A5CB8"/>
    <w:rsid w:val="3DA23CB8"/>
    <w:rsid w:val="3DF56D8F"/>
    <w:rsid w:val="3ED93797"/>
    <w:rsid w:val="401F54D9"/>
    <w:rsid w:val="402147D7"/>
    <w:rsid w:val="41206F3B"/>
    <w:rsid w:val="41344333"/>
    <w:rsid w:val="41A2381A"/>
    <w:rsid w:val="41D3399B"/>
    <w:rsid w:val="42020A85"/>
    <w:rsid w:val="423B3BDC"/>
    <w:rsid w:val="424C1285"/>
    <w:rsid w:val="42665955"/>
    <w:rsid w:val="42E3612B"/>
    <w:rsid w:val="431E6A1C"/>
    <w:rsid w:val="433C7ACC"/>
    <w:rsid w:val="435117C9"/>
    <w:rsid w:val="43F565F9"/>
    <w:rsid w:val="44783A06"/>
    <w:rsid w:val="44C567BE"/>
    <w:rsid w:val="454B2480"/>
    <w:rsid w:val="457E3758"/>
    <w:rsid w:val="45D00471"/>
    <w:rsid w:val="45FC52CC"/>
    <w:rsid w:val="46B34867"/>
    <w:rsid w:val="470F730E"/>
    <w:rsid w:val="47C85DD2"/>
    <w:rsid w:val="47DA402A"/>
    <w:rsid w:val="4B1A1F6F"/>
    <w:rsid w:val="4B456BA5"/>
    <w:rsid w:val="4BA97FB1"/>
    <w:rsid w:val="4BB01B20"/>
    <w:rsid w:val="4BFC47EC"/>
    <w:rsid w:val="4CC93721"/>
    <w:rsid w:val="4D3E3535"/>
    <w:rsid w:val="4D923CCB"/>
    <w:rsid w:val="4D963C84"/>
    <w:rsid w:val="4E301135"/>
    <w:rsid w:val="4EDD0D8A"/>
    <w:rsid w:val="4EF92269"/>
    <w:rsid w:val="4F01466A"/>
    <w:rsid w:val="50696FAA"/>
    <w:rsid w:val="51741E7C"/>
    <w:rsid w:val="522649CA"/>
    <w:rsid w:val="522D4B2B"/>
    <w:rsid w:val="530A05AF"/>
    <w:rsid w:val="53634D2D"/>
    <w:rsid w:val="54930C6A"/>
    <w:rsid w:val="54A70C44"/>
    <w:rsid w:val="54C50E3B"/>
    <w:rsid w:val="551A391F"/>
    <w:rsid w:val="55983288"/>
    <w:rsid w:val="56444E85"/>
    <w:rsid w:val="565C42B5"/>
    <w:rsid w:val="56AE1DF3"/>
    <w:rsid w:val="56B45E9F"/>
    <w:rsid w:val="56C360E3"/>
    <w:rsid w:val="57620443"/>
    <w:rsid w:val="57DB6301"/>
    <w:rsid w:val="58CD7592"/>
    <w:rsid w:val="5AE721C9"/>
    <w:rsid w:val="5B516965"/>
    <w:rsid w:val="5BE857AC"/>
    <w:rsid w:val="5E0A2A5B"/>
    <w:rsid w:val="5E2D3EF3"/>
    <w:rsid w:val="5EA12711"/>
    <w:rsid w:val="5F545347"/>
    <w:rsid w:val="60026EAC"/>
    <w:rsid w:val="6033204C"/>
    <w:rsid w:val="60ED7BD8"/>
    <w:rsid w:val="60F10A94"/>
    <w:rsid w:val="60FA26D8"/>
    <w:rsid w:val="6177799E"/>
    <w:rsid w:val="61DB40F1"/>
    <w:rsid w:val="6218135D"/>
    <w:rsid w:val="628726BA"/>
    <w:rsid w:val="62CF4B45"/>
    <w:rsid w:val="62EE6BC3"/>
    <w:rsid w:val="6396613F"/>
    <w:rsid w:val="640332EE"/>
    <w:rsid w:val="64CE2822"/>
    <w:rsid w:val="65332CF8"/>
    <w:rsid w:val="6534131C"/>
    <w:rsid w:val="65A62D78"/>
    <w:rsid w:val="6603159B"/>
    <w:rsid w:val="66214BD4"/>
    <w:rsid w:val="66AA43B3"/>
    <w:rsid w:val="66AD4DB8"/>
    <w:rsid w:val="6710264E"/>
    <w:rsid w:val="68C77975"/>
    <w:rsid w:val="690C7466"/>
    <w:rsid w:val="69EC1E2F"/>
    <w:rsid w:val="6A8579B1"/>
    <w:rsid w:val="6A90057A"/>
    <w:rsid w:val="6BB45612"/>
    <w:rsid w:val="6BC44E95"/>
    <w:rsid w:val="6C767982"/>
    <w:rsid w:val="6CBA65C0"/>
    <w:rsid w:val="6CC4275D"/>
    <w:rsid w:val="6D7B3098"/>
    <w:rsid w:val="6DA50B11"/>
    <w:rsid w:val="6E6C4BB6"/>
    <w:rsid w:val="6EE03669"/>
    <w:rsid w:val="6EFB7FAF"/>
    <w:rsid w:val="6F21423E"/>
    <w:rsid w:val="708804A5"/>
    <w:rsid w:val="70DC2814"/>
    <w:rsid w:val="712551F4"/>
    <w:rsid w:val="712D0052"/>
    <w:rsid w:val="714479C8"/>
    <w:rsid w:val="72202FDB"/>
    <w:rsid w:val="74780FE9"/>
    <w:rsid w:val="74AC5FB0"/>
    <w:rsid w:val="77535013"/>
    <w:rsid w:val="775D7731"/>
    <w:rsid w:val="77823C03"/>
    <w:rsid w:val="778A0A55"/>
    <w:rsid w:val="77AF1F27"/>
    <w:rsid w:val="77F02F8E"/>
    <w:rsid w:val="78361017"/>
    <w:rsid w:val="78540E39"/>
    <w:rsid w:val="78552835"/>
    <w:rsid w:val="78C6699C"/>
    <w:rsid w:val="78DF7545"/>
    <w:rsid w:val="79C67B14"/>
    <w:rsid w:val="79F35738"/>
    <w:rsid w:val="7A73088A"/>
    <w:rsid w:val="7B3C11A6"/>
    <w:rsid w:val="7B450F0D"/>
    <w:rsid w:val="7B4A6441"/>
    <w:rsid w:val="7BBE4CA9"/>
    <w:rsid w:val="7C3938BC"/>
    <w:rsid w:val="7C7802C6"/>
    <w:rsid w:val="7CC802B2"/>
    <w:rsid w:val="7D0C7A7A"/>
    <w:rsid w:val="7D2A16F6"/>
    <w:rsid w:val="7D4E518F"/>
    <w:rsid w:val="7D693E3E"/>
    <w:rsid w:val="7D8722F3"/>
    <w:rsid w:val="7D916BCD"/>
    <w:rsid w:val="7D9D0B8C"/>
    <w:rsid w:val="7E745D91"/>
    <w:rsid w:val="7F182B5B"/>
    <w:rsid w:val="7F66359E"/>
    <w:rsid w:val="7FCA43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line="480" w:lineRule="auto"/>
    </w:pPr>
    <w:rPr>
      <w:sz w:val="28"/>
      <w:szCs w:val="24"/>
    </w:rPr>
  </w:style>
  <w:style w:type="paragraph" w:styleId="3">
    <w:name w:val="Balloon Text"/>
    <w:basedOn w:val="1"/>
    <w:link w:val="13"/>
    <w:qFormat/>
    <w:uiPriority w:val="0"/>
    <w:rPr>
      <w:sz w:val="18"/>
      <w:szCs w:val="18"/>
    </w:rPr>
  </w:style>
  <w:style w:type="paragraph" w:styleId="4">
    <w:name w:val="footer"/>
    <w:basedOn w:val="1"/>
    <w:link w:val="15"/>
    <w:autoRedefine/>
    <w:qFormat/>
    <w:uiPriority w:val="0"/>
    <w:pPr>
      <w:tabs>
        <w:tab w:val="center" w:pos="4153"/>
        <w:tab w:val="right" w:pos="8306"/>
      </w:tabs>
      <w:snapToGrid w:val="0"/>
      <w:jc w:val="left"/>
    </w:pPr>
    <w:rPr>
      <w:sz w:val="18"/>
      <w:szCs w:val="18"/>
    </w:rPr>
  </w:style>
  <w:style w:type="paragraph" w:styleId="5">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
    <w:name w:val="font01"/>
    <w:basedOn w:val="9"/>
    <w:autoRedefine/>
    <w:qFormat/>
    <w:uiPriority w:val="0"/>
    <w:rPr>
      <w:rFonts w:hint="eastAsia" w:ascii="宋体" w:hAnsi="宋体" w:eastAsia="宋体" w:cs="宋体"/>
      <w:color w:val="000000"/>
      <w:sz w:val="24"/>
      <w:szCs w:val="24"/>
      <w:u w:val="none"/>
    </w:rPr>
  </w:style>
  <w:style w:type="character" w:customStyle="1" w:styleId="11">
    <w:name w:val="font11"/>
    <w:basedOn w:val="9"/>
    <w:autoRedefine/>
    <w:qFormat/>
    <w:uiPriority w:val="0"/>
    <w:rPr>
      <w:rFonts w:hint="default" w:ascii="Tahoma" w:hAnsi="Tahoma" w:eastAsia="Tahoma" w:cs="Tahoma"/>
      <w:color w:val="000000"/>
      <w:sz w:val="24"/>
      <w:szCs w:val="24"/>
      <w:u w:val="none"/>
    </w:rPr>
  </w:style>
  <w:style w:type="paragraph" w:customStyle="1" w:styleId="12">
    <w:name w:val="List Paragraph"/>
    <w:basedOn w:val="1"/>
    <w:autoRedefine/>
    <w:qFormat/>
    <w:uiPriority w:val="34"/>
    <w:pPr>
      <w:ind w:firstLine="420" w:firstLineChars="200"/>
    </w:pPr>
  </w:style>
  <w:style w:type="character" w:customStyle="1" w:styleId="13">
    <w:name w:val="批注框文本 Char"/>
    <w:basedOn w:val="9"/>
    <w:link w:val="3"/>
    <w:autoRedefine/>
    <w:qFormat/>
    <w:uiPriority w:val="0"/>
    <w:rPr>
      <w:rFonts w:asciiTheme="minorHAnsi" w:hAnsiTheme="minorHAnsi" w:eastAsiaTheme="minorEastAsia" w:cstheme="minorBidi"/>
      <w:kern w:val="2"/>
      <w:sz w:val="18"/>
      <w:szCs w:val="18"/>
    </w:rPr>
  </w:style>
  <w:style w:type="character" w:customStyle="1" w:styleId="14">
    <w:name w:val="页眉 Char"/>
    <w:basedOn w:val="9"/>
    <w:link w:val="5"/>
    <w:autoRedefine/>
    <w:qFormat/>
    <w:uiPriority w:val="0"/>
    <w:rPr>
      <w:rFonts w:asciiTheme="minorHAnsi" w:hAnsiTheme="minorHAnsi" w:eastAsiaTheme="minorEastAsia" w:cstheme="minorBidi"/>
      <w:kern w:val="2"/>
      <w:sz w:val="18"/>
      <w:szCs w:val="18"/>
    </w:rPr>
  </w:style>
  <w:style w:type="character" w:customStyle="1" w:styleId="15">
    <w:name w:val="页脚 Char"/>
    <w:basedOn w:val="9"/>
    <w:link w:val="4"/>
    <w:qFormat/>
    <w:uiPriority w:val="0"/>
    <w:rPr>
      <w:rFonts w:asciiTheme="minorHAnsi" w:hAnsiTheme="minorHAnsi" w:eastAsiaTheme="minorEastAsia" w:cstheme="minorBidi"/>
      <w:kern w:val="2"/>
      <w:sz w:val="18"/>
      <w:szCs w:val="18"/>
    </w:rPr>
  </w:style>
  <w:style w:type="character" w:customStyle="1" w:styleId="16">
    <w:name w:val="15"/>
    <w:basedOn w:val="9"/>
    <w:autoRedefine/>
    <w:qFormat/>
    <w:uiPriority w:val="0"/>
    <w:rPr>
      <w:rFonts w:hint="default" w:ascii="Tahoma" w:hAnsi="Tahoma" w:cs="Tahoma"/>
      <w:color w:val="000000"/>
      <w:sz w:val="24"/>
      <w:szCs w:val="24"/>
    </w:rPr>
  </w:style>
  <w:style w:type="character" w:customStyle="1" w:styleId="17">
    <w:name w:val="16"/>
    <w:basedOn w:val="9"/>
    <w:autoRedefine/>
    <w:qFormat/>
    <w:uiPriority w:val="0"/>
    <w:rPr>
      <w:rFonts w:hint="eastAsia" w:ascii="宋体" w:hAnsi="宋体" w:eastAsia="宋体"/>
      <w:color w:val="000000"/>
      <w:sz w:val="24"/>
      <w:szCs w:val="24"/>
    </w:rPr>
  </w:style>
  <w:style w:type="character" w:customStyle="1" w:styleId="18">
    <w:name w:val="font21"/>
    <w:basedOn w:val="9"/>
    <w:qFormat/>
    <w:uiPriority w:val="0"/>
    <w:rPr>
      <w:rFonts w:hint="eastAsia" w:ascii="仿宋" w:hAnsi="仿宋" w:eastAsia="仿宋" w:cs="仿宋"/>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2007</Words>
  <Characters>2096</Characters>
  <Lines>1</Lines>
  <Paragraphs>1</Paragraphs>
  <TotalTime>9</TotalTime>
  <ScaleCrop>false</ScaleCrop>
  <LinksUpToDate>false</LinksUpToDate>
  <CharactersWithSpaces>2098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2019-12-02T13:52:00Z</dcterms:created>
  <dc:creator>国国</dc:creator>
  <cp:lastModifiedBy>平凡之路</cp:lastModifiedBy>
  <cp:lastPrinted>2019-12-06T00:24:00Z</cp:lastPrinted>
  <dcterms:modified xsi:type="dcterms:W3CDTF">2026-07-01T09:39:29Z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856AD1D238EC4619AA1744DA9C29EFFE_13</vt:lpwstr>
  </property>
  <property fmtid="{D5CDD505-2E9C-101B-9397-08002B2CF9AE}" pid="4" name="commondata">
    <vt:lpwstr>eyJoZGlkIjoiY2VmZjAyMTU2M2ZmOGJlMjk3YjJhMzQ5NjVmZjIyZTEifQ==</vt:lpwstr>
  </property>
  <property fmtid="{D5CDD505-2E9C-101B-9397-08002B2CF9AE}" pid="5" name="KSOTemplateDocerSaveRecord">
    <vt:lpwstr>eyJoZGlkIjoiYWJjYmY1ODA4NTNmM2MyYzQzOWJlYzgwNjliZDkyZTciLCJ1c2VySWQiOiIyMDQ1OTU0NjQifQ==</vt:lpwstr>
  </property>
</Properties>
</file>